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1" w:type="dxa"/>
        <w:tblInd w:w="-423" w:type="dxa"/>
        <w:tblLook w:val="00BF"/>
      </w:tblPr>
      <w:tblGrid>
        <w:gridCol w:w="2681"/>
        <w:gridCol w:w="3685"/>
        <w:gridCol w:w="1276"/>
        <w:gridCol w:w="850"/>
        <w:gridCol w:w="709"/>
      </w:tblGrid>
      <w:tr w:rsidR="00A30DD3" w:rsidRPr="00987524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Experiment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Phenotype measure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Transform</w:t>
            </w:r>
            <w:r>
              <w:rPr>
                <w:rFonts w:ascii="Verdana" w:hAnsi="Verdana"/>
                <w:sz w:val="17"/>
              </w:rPr>
              <w:t xml:space="preserve"> to Gaussian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i/>
                <w:sz w:val="17"/>
                <w:vertAlign w:val="subscript"/>
              </w:rPr>
            </w:pPr>
            <w:r w:rsidRPr="00987524">
              <w:rPr>
                <w:rFonts w:ascii="Verdana" w:hAnsi="Verdana"/>
                <w:i/>
                <w:sz w:val="17"/>
              </w:rPr>
              <w:t>n</w:t>
            </w:r>
            <w:r>
              <w:rPr>
                <w:rFonts w:ascii="Verdana" w:hAnsi="Verdana"/>
                <w:i/>
                <w:sz w:val="17"/>
                <w:vertAlign w:val="subscript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i/>
                <w:sz w:val="17"/>
                <w:vertAlign w:val="subscript"/>
              </w:rPr>
            </w:pPr>
            <w:r w:rsidRPr="00987524">
              <w:rPr>
                <w:rFonts w:ascii="Verdana" w:hAnsi="Verdana"/>
                <w:i/>
                <w:sz w:val="17"/>
              </w:rPr>
              <w:t>n</w:t>
            </w:r>
            <w:r>
              <w:rPr>
                <w:rFonts w:ascii="Verdana" w:hAnsi="Verdana"/>
                <w:i/>
                <w:sz w:val="17"/>
                <w:vertAlign w:val="subscript"/>
              </w:rPr>
              <w:t>male</w:t>
            </w:r>
          </w:p>
        </w:tc>
      </w:tr>
      <w:tr w:rsidR="00A30DD3" w:rsidRPr="00987524">
        <w:tc>
          <w:tcPr>
            <w:tcW w:w="2681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Activity in new home cage</w:t>
            </w: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Total beam breaks due to ambulation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1905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981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Adrenal gland weight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Mean weight of adrenal glands (g)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1863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960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Context freezing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Time freezing to context (sec)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1374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723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Cue freezing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Time freezing during cue (sec)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1518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802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Elevated plus maze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Closed-arm distance (cm)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1850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960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Open-arm distance (cm)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1/3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1882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975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Fear-potentiated startle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Startle response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  <w:vertAlign w:val="superscript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1/3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1642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851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Faecal steroid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Corticosterone (ng/50 mg of faeces)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1090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560</w:t>
            </w:r>
          </w:p>
        </w:tc>
      </w:tr>
      <w:tr w:rsidR="00A30DD3" w:rsidRPr="00987524">
        <w:tc>
          <w:tcPr>
            <w:tcW w:w="2681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KI-67</w:t>
            </w: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KI-67 antigen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715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381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Open field test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Fecal boli count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1925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993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Animal size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Body weight (g)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1/3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1873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959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Body length (cm)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1885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988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Body mass index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1869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973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Biochemistry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Albumin (g/L)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1735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895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Alkaline phosphatase (units/L)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  <w:vertAlign w:val="superscript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1752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904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Alanine transaminase (units/L)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(x + 3)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1651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863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Aspartate transaminase (units/L)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-1/2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1690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886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Calcium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1740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894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Chloride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1791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921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Creatinine (mg/dL)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rank of 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High-density lipoproteins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1653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850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Low-density lipoproteins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1701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877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Phosphorous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(x + 1)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1536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793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Total protein (g/L)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1629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824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Triglycerides (mM)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1503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841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Urea (mM)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(x + 1)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1732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888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IPGTT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Area Under Curve – Glucose (mg/dL)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1771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929</w:t>
            </w:r>
          </w:p>
        </w:tc>
      </w:tr>
      <w:tr w:rsidR="00A30DD3" w:rsidRPr="00987524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Area Under Curve – Insulin (ng/mL)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1379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708</w:t>
            </w:r>
          </w:p>
        </w:tc>
      </w:tr>
      <w:tr w:rsidR="00A30DD3" w:rsidRPr="00987524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Glucose at 0 min (mg/dL)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1849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952</w:t>
            </w:r>
          </w:p>
        </w:tc>
      </w:tr>
      <w:tr w:rsidR="00A30DD3" w:rsidRPr="00987524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Glucose at 75 min (mg/dL)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1784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935</w:t>
            </w:r>
          </w:p>
        </w:tc>
      </w:tr>
      <w:tr w:rsidR="00A30DD3" w:rsidRPr="00987524">
        <w:tc>
          <w:tcPr>
            <w:tcW w:w="268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Ear punch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Mean area of hole in ear (mm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2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  <w:vertAlign w:val="superscript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-1/2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1823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942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Full blood count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Basophil count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rank of 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1929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Hematocrit (%)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spacing w:before="2" w:after="2"/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1583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spacing w:before="2" w:after="2"/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819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Hemoglobin (g/dl)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1580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Lymphocytes (1000/mm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1554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812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Mean cellular hemoglobin (g/dL)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1581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818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Mean cellular volume (um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1585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821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Mean platelet volume (um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rank of 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Monocyte count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rank of 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Neutrophil count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rank of 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1929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996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Plateletcrit (%)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1552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803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Platelets (units/microL)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1574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RBC count (1000000/mm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1580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817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WBC count (1000/mm</w:t>
            </w:r>
            <w:r w:rsidRPr="00987524">
              <w:rPr>
                <w:rFonts w:ascii="Verdana" w:hAnsi="Verdana"/>
                <w:sz w:val="17"/>
                <w:vertAlign w:val="superscript"/>
              </w:rPr>
              <w:t>3</w:t>
            </w:r>
            <w:r w:rsidRPr="00987524"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log</w:t>
            </w:r>
            <w:r w:rsidRPr="00987524">
              <w:rPr>
                <w:rFonts w:ascii="Verdana" w:hAnsi="Verdana"/>
                <w:sz w:val="17"/>
                <w:vertAlign w:val="subscript"/>
              </w:rPr>
              <w:t>10</w:t>
            </w:r>
            <w:r w:rsidRPr="00987524">
              <w:rPr>
                <w:rFonts w:ascii="Verdana" w:hAnsi="Verdana"/>
                <w:sz w:val="17"/>
              </w:rPr>
              <w:t>(x + 1)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1563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816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Immunology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B220+ cells (%)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1/2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1516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CD3+ cells in lymphocytes (%)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1515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782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CD4+ cells in CD3</w:t>
            </w:r>
            <w:r>
              <w:rPr>
                <w:rFonts w:ascii="Verdana" w:hAnsi="Verdana"/>
                <w:sz w:val="17"/>
              </w:rPr>
              <w:t>+</w:t>
            </w:r>
            <w:r w:rsidRPr="00987524">
              <w:rPr>
                <w:rFonts w:ascii="Verdana" w:hAnsi="Verdana"/>
                <w:sz w:val="17"/>
              </w:rPr>
              <w:t xml:space="preserve"> cells (%)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1514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CD4+ cell intensity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1513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784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CD4+ count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1269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673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CD8+ cells in CD3</w:t>
            </w:r>
            <w:r>
              <w:rPr>
                <w:rFonts w:ascii="Verdana" w:hAnsi="Verdana"/>
                <w:sz w:val="17"/>
              </w:rPr>
              <w:t>+</w:t>
            </w:r>
            <w:r w:rsidRPr="00987524">
              <w:rPr>
                <w:rFonts w:ascii="Verdana" w:hAnsi="Verdana"/>
                <w:sz w:val="17"/>
              </w:rPr>
              <w:t xml:space="preserve"> cells (%)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-1/3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1512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782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CD8+ cell intensity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1509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782</w:t>
            </w:r>
          </w:p>
        </w:tc>
      </w:tr>
      <w:tr w:rsidR="00A30DD3" w:rsidRPr="00987524" w:rsidTr="00265F1D">
        <w:tc>
          <w:tcPr>
            <w:tcW w:w="2681" w:type="dxa"/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CD8+ count</w:t>
            </w:r>
          </w:p>
        </w:tc>
        <w:tc>
          <w:tcPr>
            <w:tcW w:w="1276" w:type="dxa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1267</w:t>
            </w:r>
          </w:p>
        </w:tc>
        <w:tc>
          <w:tcPr>
            <w:tcW w:w="709" w:type="dxa"/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671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CD4+:CD8+ ratio</w:t>
            </w:r>
          </w:p>
        </w:tc>
        <w:tc>
          <w:tcPr>
            <w:tcW w:w="1276" w:type="dxa"/>
            <w:tcBorders>
              <w:bottom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rPr>
                <w:rFonts w:ascii="Verdana" w:hAnsi="Verdana"/>
                <w:sz w:val="17"/>
                <w:vertAlign w:val="superscript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-1/3</w:t>
            </w:r>
          </w:p>
        </w:tc>
        <w:tc>
          <w:tcPr>
            <w:tcW w:w="850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1510</w:t>
            </w:r>
          </w:p>
        </w:tc>
        <w:tc>
          <w:tcPr>
            <w:tcW w:w="709" w:type="dxa"/>
            <w:tcBorders>
              <w:bottom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781</w:t>
            </w:r>
          </w:p>
        </w:tc>
      </w:tr>
      <w:tr w:rsidR="00A30DD3" w:rsidRPr="00987524" w:rsidTr="00265F1D">
        <w:tc>
          <w:tcPr>
            <w:tcW w:w="2681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Plethysmography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Respiratory rate (baseline)</w:t>
            </w:r>
          </w:p>
        </w:tc>
        <w:tc>
          <w:tcPr>
            <w:tcW w:w="1276" w:type="dxa"/>
            <w:tcBorders>
              <w:top w:val="dashed" w:sz="4" w:space="0" w:color="808080" w:themeColor="background1" w:themeShade="80"/>
            </w:tcBorders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</w:p>
        </w:tc>
        <w:tc>
          <w:tcPr>
            <w:tcW w:w="850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1812</w:t>
            </w:r>
          </w:p>
        </w:tc>
        <w:tc>
          <w:tcPr>
            <w:tcW w:w="709" w:type="dxa"/>
            <w:tcBorders>
              <w:top w:val="dashed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950</w:t>
            </w:r>
          </w:p>
        </w:tc>
      </w:tr>
      <w:tr w:rsidR="00A30DD3" w:rsidRPr="00987524" w:rsidTr="00265F1D">
        <w:tc>
          <w:tcPr>
            <w:tcW w:w="268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30DD3" w:rsidRPr="00987524" w:rsidRDefault="00A30DD3" w:rsidP="00151812">
            <w:pPr>
              <w:rPr>
                <w:rFonts w:ascii="Verdana" w:hAnsi="Verdana"/>
                <w:sz w:val="17"/>
              </w:rPr>
            </w:pP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Tidal volume (baseline) (mL)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:rsidR="00A30DD3" w:rsidRPr="00987524" w:rsidRDefault="00A30DD3" w:rsidP="00151812">
            <w:pPr>
              <w:spacing w:before="2" w:after="2"/>
              <w:rPr>
                <w:rFonts w:ascii="Verdana" w:hAnsi="Verdana"/>
                <w:sz w:val="17"/>
              </w:rPr>
            </w:pPr>
            <w:r w:rsidRPr="00987524">
              <w:rPr>
                <w:rFonts w:ascii="Verdana" w:hAnsi="Verdana"/>
                <w:sz w:val="17"/>
              </w:rPr>
              <w:t>x</w:t>
            </w:r>
            <w:r w:rsidRPr="00987524">
              <w:rPr>
                <w:rFonts w:ascii="Verdana" w:hAnsi="Verdana"/>
                <w:sz w:val="17"/>
                <w:vertAlign w:val="superscript"/>
              </w:rPr>
              <w:t>1/3</w:t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 w:rsidRPr="00987524">
              <w:rPr>
                <w:rFonts w:ascii="Verdana" w:hAnsi="Verdana"/>
                <w:sz w:val="17"/>
                <w:szCs w:val="16"/>
              </w:rPr>
              <w:t>1801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A30DD3" w:rsidRPr="00987524" w:rsidRDefault="00A30DD3" w:rsidP="00151812">
            <w:pPr>
              <w:jc w:val="center"/>
              <w:rPr>
                <w:rFonts w:ascii="Verdana" w:hAnsi="Verdana"/>
                <w:sz w:val="17"/>
                <w:szCs w:val="16"/>
              </w:rPr>
            </w:pPr>
            <w:r>
              <w:rPr>
                <w:rFonts w:ascii="Verdana" w:hAnsi="Verdana"/>
                <w:sz w:val="17"/>
                <w:szCs w:val="16"/>
              </w:rPr>
              <w:t>939</w:t>
            </w:r>
          </w:p>
        </w:tc>
      </w:tr>
    </w:tbl>
    <w:p w:rsidR="00A83698" w:rsidRDefault="00A30DD3"/>
    <w:sectPr w:rsidR="00A83698" w:rsidSect="00A836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3FA"/>
    <w:multiLevelType w:val="hybridMultilevel"/>
    <w:tmpl w:val="EC52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DF8"/>
    <w:multiLevelType w:val="hybridMultilevel"/>
    <w:tmpl w:val="3A6C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C3B45"/>
    <w:multiLevelType w:val="hybridMultilevel"/>
    <w:tmpl w:val="EFBA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04BB"/>
    <w:multiLevelType w:val="hybridMultilevel"/>
    <w:tmpl w:val="4A306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64B"/>
    <w:multiLevelType w:val="hybridMultilevel"/>
    <w:tmpl w:val="BD1A05A6"/>
    <w:lvl w:ilvl="0" w:tplc="EE1651FC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7926"/>
    <w:multiLevelType w:val="hybridMultilevel"/>
    <w:tmpl w:val="D75A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10DA"/>
    <w:multiLevelType w:val="hybridMultilevel"/>
    <w:tmpl w:val="7E145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15F2"/>
    <w:multiLevelType w:val="hybridMultilevel"/>
    <w:tmpl w:val="97E2391A"/>
    <w:lvl w:ilvl="0" w:tplc="E534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4B9A"/>
    <w:multiLevelType w:val="hybridMultilevel"/>
    <w:tmpl w:val="25C08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E1651FC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9784E"/>
    <w:multiLevelType w:val="hybridMultilevel"/>
    <w:tmpl w:val="29C4C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1651FC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3BE0"/>
    <w:multiLevelType w:val="hybridMultilevel"/>
    <w:tmpl w:val="6AF240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3E3E"/>
    <w:multiLevelType w:val="hybridMultilevel"/>
    <w:tmpl w:val="A0FAF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0DD3"/>
    <w:rsid w:val="00A30D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A30DD3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DD3"/>
    <w:pPr>
      <w:keepNext/>
      <w:keepLines/>
      <w:tabs>
        <w:tab w:val="clear" w:pos="720"/>
      </w:tabs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DD3"/>
    <w:pPr>
      <w:keepNext/>
      <w:tabs>
        <w:tab w:val="clear" w:pos="720"/>
      </w:tabs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DD3"/>
    <w:pPr>
      <w:keepNext/>
      <w:tabs>
        <w:tab w:val="clear" w:pos="720"/>
      </w:tabs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D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0D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30DD3"/>
    <w:rPr>
      <w:rFonts w:ascii="Arial" w:eastAsia="Times New Roman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uiPriority w:val="99"/>
    <w:rsid w:val="00A30DD3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A30DD3"/>
    <w:rPr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A30DD3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DefaultParagraphFont"/>
    <w:rsid w:val="00A30DD3"/>
    <w:rPr>
      <w:color w:val="0000FF"/>
      <w:u w:val="single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rsid w:val="00A30DD3"/>
    <w:rPr>
      <w:sz w:val="18"/>
      <w:szCs w:val="18"/>
    </w:rPr>
  </w:style>
  <w:style w:type="character" w:customStyle="1" w:styleId="CommentTextChar">
    <w:name w:val="Comment Text Char"/>
    <w:basedOn w:val="DefaultParagraphFont"/>
    <w:uiPriority w:val="99"/>
    <w:rsid w:val="00A30DD3"/>
  </w:style>
  <w:style w:type="character" w:customStyle="1" w:styleId="CommentSubjectChar">
    <w:name w:val="Comment Subject Char"/>
    <w:basedOn w:val="CommentTextChar"/>
    <w:uiPriority w:val="99"/>
    <w:rsid w:val="00A30DD3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rsid w:val="00A30DD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A30DD3"/>
    <w:pPr>
      <w:spacing w:after="120"/>
    </w:pPr>
  </w:style>
  <w:style w:type="paragraph" w:styleId="List">
    <w:name w:val="List"/>
    <w:basedOn w:val="Textbody"/>
    <w:rsid w:val="00A30DD3"/>
    <w:rPr>
      <w:rFonts w:cs="Lohit Hindi"/>
    </w:rPr>
  </w:style>
  <w:style w:type="paragraph" w:styleId="Caption">
    <w:name w:val="caption"/>
    <w:basedOn w:val="Normal"/>
    <w:rsid w:val="00A30DD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30DD3"/>
    <w:pPr>
      <w:suppressLineNumbers/>
    </w:pPr>
    <w:rPr>
      <w:rFonts w:cs="Lohit Hindi"/>
    </w:rPr>
  </w:style>
  <w:style w:type="paragraph" w:styleId="Header">
    <w:name w:val="header"/>
    <w:basedOn w:val="Normal"/>
    <w:link w:val="HeaderChar1"/>
    <w:uiPriority w:val="99"/>
    <w:rsid w:val="00A30D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30DD3"/>
    <w:rPr>
      <w:rFonts w:ascii="Cambria" w:eastAsia="WenQuanYi Micro Hei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30D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30DD3"/>
    <w:rPr>
      <w:rFonts w:ascii="Cambria" w:eastAsia="WenQuanYi Micro Hei" w:hAnsi="Cambria" w:cs="Cambria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A30DD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30DD3"/>
    <w:rPr>
      <w:rFonts w:ascii="Lucida Grande" w:eastAsia="WenQuanYi Micro Hei" w:hAnsi="Lucida Grande" w:cs="Cambria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A30DD3"/>
  </w:style>
  <w:style w:type="character" w:customStyle="1" w:styleId="CommentTextChar1">
    <w:name w:val="Comment Text Char1"/>
    <w:basedOn w:val="DefaultParagraphFont"/>
    <w:link w:val="CommentText"/>
    <w:uiPriority w:val="99"/>
    <w:rsid w:val="00A30DD3"/>
    <w:rPr>
      <w:rFonts w:ascii="Cambria" w:eastAsia="WenQuanYi Micro Hei" w:hAnsi="Cambria" w:cs="Cambria"/>
      <w:sz w:val="24"/>
      <w:szCs w:val="24"/>
    </w:rPr>
  </w:style>
  <w:style w:type="paragraph" w:styleId="CommentSubject">
    <w:name w:val="annotation subject"/>
    <w:basedOn w:val="CommentText"/>
    <w:link w:val="CommentSubjectChar1"/>
    <w:uiPriority w:val="99"/>
    <w:rsid w:val="00A30DD3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A30DD3"/>
    <w:rPr>
      <w:b/>
      <w:bCs/>
    </w:rPr>
  </w:style>
  <w:style w:type="character" w:styleId="Hyperlink">
    <w:name w:val="Hyperlink"/>
    <w:basedOn w:val="DefaultParagraphFont"/>
    <w:uiPriority w:val="99"/>
    <w:unhideWhenUsed/>
    <w:rsid w:val="00A30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DD3"/>
    <w:pPr>
      <w:ind w:left="720"/>
      <w:contextualSpacing/>
    </w:pPr>
  </w:style>
  <w:style w:type="table" w:styleId="TableGrid">
    <w:name w:val="Table Grid"/>
    <w:basedOn w:val="TableNormal"/>
    <w:uiPriority w:val="99"/>
    <w:rsid w:val="00A30DD3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List">
    <w:name w:val="Definition List"/>
    <w:basedOn w:val="Normal"/>
    <w:next w:val="Normal"/>
    <w:uiPriority w:val="99"/>
    <w:rsid w:val="00A30DD3"/>
    <w:pPr>
      <w:widowControl w:val="0"/>
      <w:tabs>
        <w:tab w:val="clear" w:pos="720"/>
      </w:tabs>
      <w:suppressAutoHyphens w:val="0"/>
      <w:autoSpaceDE w:val="0"/>
      <w:autoSpaceDN w:val="0"/>
      <w:adjustRightInd w:val="0"/>
      <w:ind w:left="360"/>
    </w:pPr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A30DD3"/>
    <w:pPr>
      <w:tabs>
        <w:tab w:val="clear" w:pos="720"/>
      </w:tabs>
      <w:suppressAutoHyphens w:val="0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DD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A30DD3"/>
    <w:rPr>
      <w:rFonts w:cs="Times New Roman"/>
      <w:vertAlign w:val="superscript"/>
    </w:rPr>
  </w:style>
  <w:style w:type="paragraph" w:styleId="Bibliography">
    <w:name w:val="Bibliography"/>
    <w:basedOn w:val="Normal"/>
    <w:next w:val="Normal"/>
    <w:rsid w:val="00A30DD3"/>
    <w:pPr>
      <w:tabs>
        <w:tab w:val="clear" w:pos="720"/>
      </w:tabs>
      <w:suppressAutoHyphens w:val="0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0DD3"/>
  </w:style>
  <w:style w:type="character" w:styleId="FollowedHyperlink">
    <w:name w:val="FollowedHyperlink"/>
    <w:basedOn w:val="DefaultParagraphFont"/>
    <w:uiPriority w:val="99"/>
    <w:rsid w:val="00A30DD3"/>
    <w:rPr>
      <w:color w:val="993366"/>
      <w:u w:val="single"/>
    </w:rPr>
  </w:style>
  <w:style w:type="paragraph" w:customStyle="1" w:styleId="xl24">
    <w:name w:val="xl24"/>
    <w:basedOn w:val="Normal"/>
    <w:rsid w:val="00A30DD3"/>
    <w:pPr>
      <w:tabs>
        <w:tab w:val="clear" w:pos="720"/>
      </w:tabs>
      <w:suppressAutoHyphens w:val="0"/>
      <w:spacing w:beforeLines="1" w:afterLines="1"/>
    </w:pPr>
    <w:rPr>
      <w:rFonts w:eastAsia="Times New Roman" w:cs="Times New Roman"/>
      <w:sz w:val="14"/>
      <w:szCs w:val="14"/>
    </w:rPr>
  </w:style>
  <w:style w:type="paragraph" w:customStyle="1" w:styleId="font5">
    <w:name w:val="font5"/>
    <w:basedOn w:val="Normal"/>
    <w:rsid w:val="00A30DD3"/>
    <w:pPr>
      <w:tabs>
        <w:tab w:val="clear" w:pos="720"/>
      </w:tabs>
      <w:suppressAutoHyphens w:val="0"/>
      <w:spacing w:beforeLines="1" w:afterLines="1"/>
    </w:pPr>
    <w:rPr>
      <w:rFonts w:ascii="Verdana" w:eastAsiaTheme="minorHAnsi" w:hAnsi="Verdana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Oxford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Wellcome Trust Centre for Human Genetics</dc:creator>
  <cp:keywords/>
  <cp:lastModifiedBy>Wellcome Trust Centre for Human Genetics</cp:lastModifiedBy>
  <cp:revision>1</cp:revision>
  <dcterms:created xsi:type="dcterms:W3CDTF">2014-04-18T23:32:00Z</dcterms:created>
  <dcterms:modified xsi:type="dcterms:W3CDTF">2014-04-18T23:32:00Z</dcterms:modified>
</cp:coreProperties>
</file>