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469" w:rsidRPr="00911B57" w:rsidRDefault="00C56469" w:rsidP="00C56469">
      <w:pPr>
        <w:spacing w:after="0"/>
        <w:rPr>
          <w:b/>
          <w:lang w:val="en-US"/>
        </w:rPr>
      </w:pPr>
      <w:r>
        <w:rPr>
          <w:b/>
          <w:lang w:val="en-US"/>
        </w:rPr>
        <w:t>S4 Table</w:t>
      </w:r>
      <w:r w:rsidRPr="00911B57">
        <w:rPr>
          <w:b/>
          <w:lang w:val="en-US"/>
        </w:rPr>
        <w:t>: Calculation of vaccine contribution to mortality (example for MV as last vaccine)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3083"/>
        <w:gridCol w:w="2677"/>
        <w:gridCol w:w="2426"/>
      </w:tblGrid>
      <w:tr w:rsidR="00C56469" w:rsidRPr="006A145F" w:rsidTr="005304CF">
        <w:tc>
          <w:tcPr>
            <w:tcW w:w="2122" w:type="dxa"/>
            <w:tcBorders>
              <w:bottom w:val="single" w:sz="12" w:space="0" w:color="auto"/>
            </w:tcBorders>
          </w:tcPr>
          <w:p w:rsidR="00C56469" w:rsidRPr="00184AC5" w:rsidRDefault="00C56469" w:rsidP="005304C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Age </w:t>
            </w:r>
            <w:proofErr w:type="spellStart"/>
            <w:r>
              <w:rPr>
                <w:rFonts w:eastAsiaTheme="minorEastAsia"/>
              </w:rPr>
              <w:t>group</w:t>
            </w:r>
            <w:proofErr w:type="spellEnd"/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C56469" w:rsidRPr="00184AC5" w:rsidRDefault="00C56469" w:rsidP="005304C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Vaccination 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Relative mortality</w:t>
            </w:r>
          </w:p>
        </w:tc>
        <w:tc>
          <w:tcPr>
            <w:tcW w:w="5103" w:type="dxa"/>
            <w:gridSpan w:val="2"/>
            <w:tcBorders>
              <w:bottom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 xml:space="preserve">Proportion with most recent vaccine </w:t>
            </w:r>
          </w:p>
        </w:tc>
      </w:tr>
      <w:tr w:rsidR="00C56469" w:rsidTr="005304CF">
        <w:tc>
          <w:tcPr>
            <w:tcW w:w="2122" w:type="dxa"/>
            <w:tcBorders>
              <w:top w:val="single" w:sz="12" w:space="0" w:color="auto"/>
              <w:lef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677" w:type="dxa"/>
            <w:tcBorders>
              <w:top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1992-93</w:t>
            </w:r>
          </w:p>
        </w:tc>
        <w:tc>
          <w:tcPr>
            <w:tcW w:w="2426" w:type="dxa"/>
            <w:tcBorders>
              <w:top w:val="single" w:sz="12" w:space="0" w:color="auto"/>
              <w:righ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2002-2003</w:t>
            </w:r>
          </w:p>
        </w:tc>
      </w:tr>
      <w:tr w:rsidR="00C56469" w:rsidRPr="00D15E4C" w:rsidTr="005304CF">
        <w:tc>
          <w:tcPr>
            <w:tcW w:w="2122" w:type="dxa"/>
            <w:tcBorders>
              <w:lef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1.5 – 8 months</w:t>
            </w:r>
          </w:p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18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DTP unvaccinated</w:t>
            </w:r>
          </w:p>
        </w:tc>
        <w:tc>
          <w:tcPr>
            <w:tcW w:w="3083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1(Ref)</w:t>
            </w:r>
          </w:p>
        </w:tc>
        <w:tc>
          <w:tcPr>
            <w:tcW w:w="2677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10%</w:t>
            </w:r>
          </w:p>
        </w:tc>
        <w:tc>
          <w:tcPr>
            <w:tcW w:w="2426" w:type="dxa"/>
            <w:tcBorders>
              <w:righ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7%</w:t>
            </w:r>
          </w:p>
        </w:tc>
      </w:tr>
      <w:tr w:rsidR="00C56469" w:rsidRPr="00D15E4C" w:rsidTr="005304CF">
        <w:tc>
          <w:tcPr>
            <w:tcW w:w="2122" w:type="dxa"/>
            <w:tcBorders>
              <w:lef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18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DTP as most recent vaccine</w:t>
            </w:r>
          </w:p>
        </w:tc>
        <w:tc>
          <w:tcPr>
            <w:tcW w:w="3083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 xml:space="preserve">2.00 </w:t>
            </w:r>
            <w:r>
              <w:rPr>
                <w:rFonts w:eastAsiaTheme="minorEastAsia"/>
                <w:lang w:val="en-US"/>
              </w:rPr>
              <w:fldChar w:fldCharType="begin"/>
            </w:r>
            <w:r>
              <w:rPr>
                <w:rFonts w:eastAsiaTheme="minorEastAsia"/>
                <w:lang w:val="en-US"/>
              </w:rPr>
              <w:instrText xml:space="preserve"> ADDIN EN.CITE &lt;EndNote&gt;&lt;Cite&gt;&lt;Author&gt;Aaby&lt;/Author&gt;&lt;Year&gt;2016&lt;/Year&gt;&lt;RecNum&gt;2789&lt;/RecNum&gt;&lt;DisplayText&gt;(1)&lt;/DisplayText&gt;&lt;record&gt;&lt;rec-number&gt;2789&lt;/rec-number&gt;&lt;foreign-keys&gt;&lt;key app="EN" db-id="fattseeawpeps1ese295r5fxt0r0aww5st92" timestamp="1462545445"&gt;2789&lt;/key&gt;&lt;/foreign-keys&gt;&lt;ref-type name="Journal Article"&gt;17&lt;/ref-type&gt;&lt;contributors&gt;&lt;authors&gt;&lt;author&gt;Aaby, P.&lt;/author&gt;&lt;author&gt;Ravn, H.&lt;/author&gt;&lt;author&gt;Benn, C.S.&lt;/author&gt;&lt;/authors&gt;&lt;/contributors&gt;&lt;titles&gt;&lt;title&gt;The WHO review of the possible non-specific effects of diphtheria-tetanus-pertussis vaccine&lt;/title&gt;&lt;/titles&gt;&lt;dates&gt;&lt;year&gt;2016&lt;/year&gt;&lt;/dates&gt;&lt;urls&gt;&lt;/urls&gt;&lt;/record&gt;&lt;/Cite&gt;&lt;/EndNote&gt;</w:instrText>
            </w:r>
            <w:r>
              <w:rPr>
                <w:rFonts w:eastAsiaTheme="minorEastAsia"/>
                <w:lang w:val="en-US"/>
              </w:rPr>
              <w:fldChar w:fldCharType="separate"/>
            </w:r>
            <w:r>
              <w:rPr>
                <w:rFonts w:eastAsiaTheme="minorEastAsia"/>
                <w:noProof/>
                <w:lang w:val="en-US"/>
              </w:rPr>
              <w:t>(1)</w:t>
            </w:r>
            <w:r>
              <w:rPr>
                <w:rFonts w:eastAsiaTheme="minorEastAsia"/>
                <w:lang w:val="en-US"/>
              </w:rPr>
              <w:fldChar w:fldCharType="end"/>
            </w:r>
          </w:p>
        </w:tc>
        <w:tc>
          <w:tcPr>
            <w:tcW w:w="2677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90%</w:t>
            </w:r>
          </w:p>
        </w:tc>
        <w:tc>
          <w:tcPr>
            <w:tcW w:w="2426" w:type="dxa"/>
            <w:tcBorders>
              <w:righ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93%</w:t>
            </w:r>
          </w:p>
        </w:tc>
      </w:tr>
      <w:tr w:rsidR="00C56469" w:rsidRPr="00D15E4C" w:rsidTr="005304CF">
        <w:tc>
          <w:tcPr>
            <w:tcW w:w="2122" w:type="dxa"/>
            <w:tcBorders>
              <w:left w:val="single" w:sz="12" w:space="0" w:color="auto"/>
              <w:bottom w:val="single" w:sz="12" w:space="0" w:color="auto"/>
            </w:tcBorders>
          </w:tcPr>
          <w:p w:rsidR="00C56469" w:rsidRPr="001D73C8" w:rsidRDefault="00C56469" w:rsidP="005304CF">
            <w:pPr>
              <w:rPr>
                <w:rFonts w:eastAsiaTheme="minorEastAsia"/>
                <w:b/>
                <w:vertAlign w:val="superscript"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>Contribution of DTP to m</w:t>
            </w:r>
            <w:r w:rsidRPr="00030FA2">
              <w:rPr>
                <w:rFonts w:eastAsiaTheme="minorEastAsia"/>
                <w:b/>
                <w:lang w:val="en-US"/>
              </w:rPr>
              <w:t>ortality</w:t>
            </w:r>
            <w:r>
              <w:rPr>
                <w:rFonts w:eastAsiaTheme="minorEastAsia"/>
                <w:b/>
                <w:lang w:val="en-US"/>
              </w:rPr>
              <w:t xml:space="preserve"> in 2002-3 relative to 1992-3</w:t>
            </w:r>
            <w:r>
              <w:rPr>
                <w:rFonts w:eastAsiaTheme="minorEastAsia"/>
                <w:b/>
                <w:vertAlign w:val="superscript"/>
                <w:lang w:val="en-US"/>
              </w:rPr>
              <w:t>b</w:t>
            </w: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677" w:type="dxa"/>
            <w:tcBorders>
              <w:bottom w:val="single" w:sz="12" w:space="0" w:color="auto"/>
            </w:tcBorders>
          </w:tcPr>
          <w:p w:rsidR="00C56469" w:rsidRPr="00030FA2" w:rsidRDefault="00C56469" w:rsidP="005304CF">
            <w:pPr>
              <w:rPr>
                <w:rFonts w:eastAsiaTheme="minorEastAsia"/>
                <w:b/>
                <w:lang w:val="en-US"/>
              </w:rPr>
            </w:pPr>
            <w:r w:rsidRPr="00030FA2">
              <w:rPr>
                <w:rFonts w:eastAsiaTheme="minorEastAsia"/>
                <w:b/>
                <w:lang w:val="en-US"/>
              </w:rPr>
              <w:t>1 (Ref)</w:t>
            </w:r>
          </w:p>
        </w:tc>
        <w:tc>
          <w:tcPr>
            <w:tcW w:w="2426" w:type="dxa"/>
            <w:tcBorders>
              <w:bottom w:val="single" w:sz="12" w:space="0" w:color="auto"/>
              <w:right w:val="single" w:sz="12" w:space="0" w:color="auto"/>
            </w:tcBorders>
          </w:tcPr>
          <w:p w:rsidR="00C56469" w:rsidRPr="00030FA2" w:rsidRDefault="00C56469" w:rsidP="005304CF">
            <w:pPr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>1.02</w:t>
            </w:r>
          </w:p>
        </w:tc>
      </w:tr>
      <w:tr w:rsidR="00C56469" w:rsidTr="005304CF">
        <w:trPr>
          <w:trHeight w:val="158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11 months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DTP as most recent vaccine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 (ref)</w:t>
            </w:r>
          </w:p>
        </w:tc>
        <w:tc>
          <w:tcPr>
            <w:tcW w:w="2677" w:type="dxa"/>
            <w:tcBorders>
              <w:top w:val="single" w:sz="12" w:space="0" w:color="auto"/>
            </w:tcBorders>
          </w:tcPr>
          <w:p w:rsidR="00C56469" w:rsidRPr="00FC6048" w:rsidRDefault="00C56469" w:rsidP="005304CF">
            <w:pPr>
              <w:rPr>
                <w:rFonts w:eastAsiaTheme="minorEastAsia"/>
                <w:lang w:val="en-US"/>
              </w:rPr>
            </w:pPr>
            <w:r w:rsidRPr="00FC6048">
              <w:rPr>
                <w:rFonts w:eastAsiaTheme="minorEastAsia"/>
                <w:lang w:val="en-US"/>
              </w:rPr>
              <w:t>33%</w:t>
            </w:r>
            <w:r>
              <w:rPr>
                <w:rFonts w:eastAsiaTheme="minorEastAsia"/>
                <w:lang w:val="en-US"/>
              </w:rPr>
              <w:t xml:space="preserve"> </w:t>
            </w:r>
          </w:p>
        </w:tc>
        <w:tc>
          <w:tcPr>
            <w:tcW w:w="2426" w:type="dxa"/>
            <w:tcBorders>
              <w:top w:val="single" w:sz="12" w:space="0" w:color="auto"/>
              <w:right w:val="single" w:sz="12" w:space="0" w:color="auto"/>
            </w:tcBorders>
          </w:tcPr>
          <w:p w:rsidR="00C56469" w:rsidRPr="00FC6048" w:rsidRDefault="00C56469" w:rsidP="005304CF">
            <w:pPr>
              <w:rPr>
                <w:rFonts w:eastAsiaTheme="minorEastAsia"/>
                <w:lang w:val="en-US"/>
              </w:rPr>
            </w:pPr>
            <w:r w:rsidRPr="00FC6048">
              <w:rPr>
                <w:rFonts w:eastAsiaTheme="minorEastAsia"/>
                <w:lang w:val="en-US"/>
              </w:rPr>
              <w:t>25%</w:t>
            </w:r>
          </w:p>
        </w:tc>
      </w:tr>
      <w:tr w:rsidR="00C56469" w:rsidRPr="00233AF3" w:rsidTr="005304CF">
        <w:tc>
          <w:tcPr>
            <w:tcW w:w="2122" w:type="dxa"/>
            <w:tcBorders>
              <w:lef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18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MV as most recent vaccine</w:t>
            </w:r>
          </w:p>
        </w:tc>
        <w:tc>
          <w:tcPr>
            <w:tcW w:w="3083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0.54 (Boys=0.87 , Girls =0.21)</w:t>
            </w:r>
            <w:r w:rsidRPr="00911B57">
              <w:rPr>
                <w:rFonts w:eastAsiaTheme="minorEastAsia"/>
                <w:vertAlign w:val="superscript"/>
                <w:lang w:val="en-US"/>
              </w:rPr>
              <w:t>a</w:t>
            </w:r>
          </w:p>
        </w:tc>
        <w:tc>
          <w:tcPr>
            <w:tcW w:w="2677" w:type="dxa"/>
          </w:tcPr>
          <w:p w:rsidR="00C56469" w:rsidRPr="00FC6048" w:rsidRDefault="00C56469" w:rsidP="005304CF">
            <w:pPr>
              <w:rPr>
                <w:rFonts w:eastAsiaTheme="minorEastAsia"/>
                <w:lang w:val="en-US"/>
              </w:rPr>
            </w:pPr>
            <w:r w:rsidRPr="00FC6048">
              <w:rPr>
                <w:rFonts w:eastAsiaTheme="minorEastAsia"/>
                <w:lang w:val="en-US"/>
              </w:rPr>
              <w:t>30%</w:t>
            </w:r>
            <w:r>
              <w:rPr>
                <w:rFonts w:eastAsiaTheme="minorEastAsia"/>
                <w:lang w:val="en-US"/>
              </w:rPr>
              <w:t xml:space="preserve"> </w:t>
            </w:r>
          </w:p>
        </w:tc>
        <w:tc>
          <w:tcPr>
            <w:tcW w:w="2426" w:type="dxa"/>
            <w:tcBorders>
              <w:right w:val="single" w:sz="12" w:space="0" w:color="auto"/>
            </w:tcBorders>
          </w:tcPr>
          <w:p w:rsidR="00C56469" w:rsidRPr="00FC6048" w:rsidRDefault="00C56469" w:rsidP="005304CF">
            <w:pPr>
              <w:rPr>
                <w:rFonts w:eastAsiaTheme="minorEastAsia"/>
                <w:lang w:val="en-US"/>
              </w:rPr>
            </w:pPr>
            <w:r w:rsidRPr="00FC6048">
              <w:rPr>
                <w:rFonts w:eastAsiaTheme="minorEastAsia"/>
                <w:lang w:val="en-US"/>
              </w:rPr>
              <w:t>41%</w:t>
            </w:r>
          </w:p>
        </w:tc>
      </w:tr>
      <w:tr w:rsidR="00C56469" w:rsidRPr="00233AF3" w:rsidTr="005304CF">
        <w:tc>
          <w:tcPr>
            <w:tcW w:w="2122" w:type="dxa"/>
            <w:tcBorders>
              <w:left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18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 w:rsidRPr="002E577F">
              <w:rPr>
                <w:sz w:val="20"/>
                <w:szCs w:val="20"/>
                <w:lang w:val="en-US"/>
              </w:rPr>
              <w:t>DTP&gt;=MV</w:t>
            </w:r>
            <w:r w:rsidRPr="002E577F">
              <w:rPr>
                <w:rFonts w:eastAsiaTheme="minorEastAsia"/>
                <w:sz w:val="20"/>
                <w:szCs w:val="20"/>
                <w:lang w:val="en-US"/>
              </w:rPr>
              <w:t xml:space="preserve"> as</w:t>
            </w:r>
            <w:r>
              <w:rPr>
                <w:rFonts w:eastAsiaTheme="minorEastAsia"/>
                <w:lang w:val="en-US"/>
              </w:rPr>
              <w:t xml:space="preserve"> most recent vaccine</w:t>
            </w:r>
          </w:p>
        </w:tc>
        <w:tc>
          <w:tcPr>
            <w:tcW w:w="3083" w:type="dxa"/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2.3*(0.54)</w:t>
            </w:r>
          </w:p>
        </w:tc>
        <w:tc>
          <w:tcPr>
            <w:tcW w:w="2677" w:type="dxa"/>
          </w:tcPr>
          <w:p w:rsidR="00C56469" w:rsidRPr="00FC6048" w:rsidRDefault="00C56469" w:rsidP="005304CF">
            <w:pPr>
              <w:rPr>
                <w:rFonts w:eastAsiaTheme="minorEastAsia"/>
                <w:lang w:val="en-US"/>
              </w:rPr>
            </w:pPr>
            <w:r w:rsidRPr="00FC6048">
              <w:rPr>
                <w:rFonts w:eastAsiaTheme="minorEastAsia"/>
                <w:lang w:val="en-US"/>
              </w:rPr>
              <w:t>31%</w:t>
            </w:r>
          </w:p>
        </w:tc>
        <w:tc>
          <w:tcPr>
            <w:tcW w:w="2426" w:type="dxa"/>
            <w:tcBorders>
              <w:right w:val="single" w:sz="12" w:space="0" w:color="auto"/>
            </w:tcBorders>
          </w:tcPr>
          <w:p w:rsidR="00C56469" w:rsidRPr="00FC6048" w:rsidRDefault="00C56469" w:rsidP="005304CF">
            <w:pPr>
              <w:rPr>
                <w:rFonts w:eastAsiaTheme="minorEastAsia"/>
                <w:lang w:val="en-US"/>
              </w:rPr>
            </w:pPr>
            <w:r w:rsidRPr="00FC6048">
              <w:rPr>
                <w:rFonts w:eastAsiaTheme="minorEastAsia"/>
                <w:lang w:val="en-US"/>
              </w:rPr>
              <w:t>28%</w:t>
            </w:r>
          </w:p>
        </w:tc>
      </w:tr>
      <w:tr w:rsidR="00C56469" w:rsidRPr="00625F31" w:rsidTr="005304CF">
        <w:tc>
          <w:tcPr>
            <w:tcW w:w="2122" w:type="dxa"/>
            <w:tcBorders>
              <w:left w:val="single" w:sz="12" w:space="0" w:color="auto"/>
              <w:bottom w:val="single" w:sz="12" w:space="0" w:color="auto"/>
            </w:tcBorders>
          </w:tcPr>
          <w:p w:rsidR="00C56469" w:rsidRPr="00030FA2" w:rsidRDefault="00C56469" w:rsidP="005304CF">
            <w:pPr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>Contribution of MV to m</w:t>
            </w:r>
            <w:r w:rsidRPr="00030FA2">
              <w:rPr>
                <w:rFonts w:eastAsiaTheme="minorEastAsia"/>
                <w:b/>
                <w:lang w:val="en-US"/>
              </w:rPr>
              <w:t>ortality</w:t>
            </w:r>
            <w:r>
              <w:rPr>
                <w:rFonts w:eastAsiaTheme="minorEastAsia"/>
                <w:b/>
                <w:lang w:val="en-US"/>
              </w:rPr>
              <w:t xml:space="preserve"> in 2002-3 relative to in 1992-3</w:t>
            </w:r>
            <w:r>
              <w:rPr>
                <w:rFonts w:eastAsiaTheme="minorEastAsia"/>
                <w:b/>
                <w:vertAlign w:val="superscript"/>
                <w:lang w:val="en-US"/>
              </w:rPr>
              <w:t>c</w:t>
            </w:r>
            <w:r w:rsidRPr="00030FA2">
              <w:rPr>
                <w:rFonts w:eastAsiaTheme="minorEastAsia"/>
                <w:b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C56469" w:rsidRDefault="00C56469" w:rsidP="005304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677" w:type="dxa"/>
            <w:tcBorders>
              <w:bottom w:val="single" w:sz="12" w:space="0" w:color="auto"/>
            </w:tcBorders>
          </w:tcPr>
          <w:p w:rsidR="00C56469" w:rsidRPr="00FC6048" w:rsidRDefault="00C56469" w:rsidP="005304CF">
            <w:pPr>
              <w:rPr>
                <w:rFonts w:eastAsiaTheme="minorEastAsia"/>
                <w:b/>
                <w:lang w:val="en-US"/>
              </w:rPr>
            </w:pPr>
            <w:r w:rsidRPr="00FC6048">
              <w:rPr>
                <w:rFonts w:eastAsiaTheme="minorEastAsia"/>
                <w:b/>
                <w:lang w:val="en-US"/>
              </w:rPr>
              <w:t>1 (Ref)</w:t>
            </w:r>
          </w:p>
        </w:tc>
        <w:tc>
          <w:tcPr>
            <w:tcW w:w="2426" w:type="dxa"/>
            <w:tcBorders>
              <w:bottom w:val="single" w:sz="12" w:space="0" w:color="auto"/>
              <w:right w:val="single" w:sz="12" w:space="0" w:color="auto"/>
            </w:tcBorders>
          </w:tcPr>
          <w:p w:rsidR="00C56469" w:rsidRPr="00FC6048" w:rsidRDefault="00C56469" w:rsidP="005304CF">
            <w:pPr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>0.94</w:t>
            </w:r>
          </w:p>
        </w:tc>
      </w:tr>
    </w:tbl>
    <w:p w:rsidR="00C56469" w:rsidRDefault="00C56469" w:rsidP="00C56469">
      <w:pPr>
        <w:spacing w:after="0" w:line="240" w:lineRule="auto"/>
        <w:rPr>
          <w:rFonts w:eastAsiaTheme="minorEastAsia"/>
          <w:sz w:val="18"/>
          <w:szCs w:val="18"/>
          <w:lang w:val="en-US"/>
        </w:rPr>
      </w:pPr>
      <w:r>
        <w:rPr>
          <w:rFonts w:eastAsiaTheme="minorEastAsia"/>
          <w:sz w:val="18"/>
          <w:szCs w:val="18"/>
          <w:lang w:val="en-US"/>
        </w:rPr>
        <w:t xml:space="preserve">a: </w:t>
      </w:r>
      <w:r w:rsidRPr="00510B74">
        <w:rPr>
          <w:rFonts w:eastAsiaTheme="minorEastAsia"/>
          <w:sz w:val="18"/>
          <w:szCs w:val="18"/>
          <w:lang w:val="en-US"/>
        </w:rPr>
        <w:t>MV is associated with an estimated 46% reduction in mortality</w:t>
      </w:r>
      <w:r>
        <w:rPr>
          <w:rFonts w:eastAsiaTheme="minorEastAsia"/>
          <w:sz w:val="18"/>
          <w:szCs w:val="18"/>
          <w:lang w:val="en-US"/>
        </w:rPr>
        <w:t xml:space="preserve"> </w:t>
      </w:r>
      <w:r>
        <w:rPr>
          <w:rFonts w:eastAsiaTheme="minorEastAsia"/>
          <w:sz w:val="18"/>
          <w:szCs w:val="18"/>
          <w:lang w:val="en-US"/>
        </w:rPr>
        <w:fldChar w:fldCharType="begin"/>
      </w:r>
      <w:r>
        <w:rPr>
          <w:rFonts w:eastAsiaTheme="minorEastAsia"/>
          <w:sz w:val="18"/>
          <w:szCs w:val="18"/>
          <w:lang w:val="en-US"/>
        </w:rPr>
        <w:instrText xml:space="preserve"> ADDIN EN.CITE &lt;EndNote&gt;&lt;Cite&gt;&lt;Author&gt;Higgins&lt;/Author&gt;&lt;Year&gt;2014&lt;/Year&gt;&lt;RecNum&gt;2682&lt;/RecNum&gt;&lt;DisplayText&gt;(2)&lt;/DisplayText&gt;&lt;record&gt;&lt;rec-number&gt;2682&lt;/rec-number&gt;&lt;foreign-keys&gt;&lt;key app="EN" db-id="fattseeawpeps1ese295r5fxt0r0aww5st92" timestamp="1423402651"&gt;2682&lt;/key&gt;&lt;/foreign-keys&gt;&lt;ref-type name="Web Page"&gt;12&lt;/ref-type&gt;&lt;contributors&gt;&lt;authors&gt;&lt;author&gt;Higgins, JPT.&lt;/author&gt;&lt;author&gt;Soares-Weiser, K.&lt;/author&gt;&lt;author&gt;Reingold, A.&lt;/author&gt;&lt;/authors&gt;&lt;/contributors&gt;&lt;titles&gt;&lt;title&gt;Systematic review  of the non-specific effects of BCG, DTP and measles containing vaccines&lt;/title&gt;&lt;/titles&gt;&lt;dates&gt;&lt;year&gt;2014&lt;/year&gt;&lt;/dates&gt;&lt;pub-location&gt;Geneva&lt;/pub-location&gt;&lt;publisher&gt;World Health Organization&lt;/publisher&gt;&lt;urls&gt;&lt;related-urls&gt;&lt;url&gt;http://www.who.int/immunization/sage/meetings/2014/april/3_NSE_Epidemiology_review_Report_to_SAGE_14_Mar_FINAL.pdf?ua=1 &lt;/url&gt;&lt;/related-urls&gt;&lt;/urls&gt;&lt;access-date&gt;08/12/2015&lt;/access-date&gt;&lt;/record&gt;&lt;/Cite&gt;&lt;/EndNote&gt;</w:instrText>
      </w:r>
      <w:r>
        <w:rPr>
          <w:rFonts w:eastAsiaTheme="minorEastAsia"/>
          <w:sz w:val="18"/>
          <w:szCs w:val="18"/>
          <w:lang w:val="en-US"/>
        </w:rPr>
        <w:fldChar w:fldCharType="separate"/>
      </w:r>
      <w:r>
        <w:rPr>
          <w:rFonts w:eastAsiaTheme="minorEastAsia"/>
          <w:noProof/>
          <w:sz w:val="18"/>
          <w:szCs w:val="18"/>
          <w:lang w:val="en-US"/>
        </w:rPr>
        <w:t>(2)</w:t>
      </w:r>
      <w:r>
        <w:rPr>
          <w:rFonts w:eastAsiaTheme="minorEastAsia"/>
          <w:sz w:val="18"/>
          <w:szCs w:val="18"/>
          <w:lang w:val="en-US"/>
        </w:rPr>
        <w:fldChar w:fldCharType="end"/>
      </w:r>
      <w:r w:rsidRPr="00510B74">
        <w:rPr>
          <w:rFonts w:eastAsiaTheme="minorEastAsia"/>
          <w:sz w:val="18"/>
          <w:szCs w:val="18"/>
          <w:lang w:val="en-US"/>
        </w:rPr>
        <w:t>. Thus, we used 0.54 (1-0.46) as factor for calculating the relative reduction in mortality, 0.21 (1-0.79) for girls and 0.87 (1-0.13) for boys.</w:t>
      </w:r>
    </w:p>
    <w:p w:rsidR="00C56469" w:rsidRPr="00510B74" w:rsidRDefault="00C56469" w:rsidP="00C56469">
      <w:pPr>
        <w:spacing w:after="0" w:line="240" w:lineRule="auto"/>
        <w:rPr>
          <w:rFonts w:eastAsiaTheme="minorEastAsia"/>
          <w:sz w:val="18"/>
          <w:szCs w:val="18"/>
          <w:lang w:val="en-US"/>
        </w:rPr>
      </w:pPr>
      <w:proofErr w:type="gramStart"/>
      <w:r>
        <w:rPr>
          <w:rFonts w:eastAsiaTheme="minorEastAsia"/>
          <w:sz w:val="18"/>
          <w:szCs w:val="18"/>
          <w:lang w:val="en-US"/>
        </w:rPr>
        <w:t>b</w:t>
      </w:r>
      <w:proofErr w:type="gramEnd"/>
      <w:r>
        <w:rPr>
          <w:rFonts w:eastAsiaTheme="minorEastAsia"/>
          <w:sz w:val="18"/>
          <w:szCs w:val="18"/>
          <w:lang w:val="en-US"/>
        </w:rPr>
        <w:t xml:space="preserve">: Calculation </w:t>
      </w:r>
      <m:oMath>
        <m:f>
          <m:fPr>
            <m:ctrlPr>
              <w:rPr>
                <w:rFonts w:ascii="Cambria Math" w:hAnsi="Cambria Math"/>
                <w:sz w:val="16"/>
                <w:szCs w:val="16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16"/>
                    <w:szCs w:val="16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(</m:t>
                </m:r>
                <m:d>
                  <m:dPr>
                    <m:ctrl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Proportion with DTP for 1-8 months respectively, in 2002-3</m:t>
                    </m:r>
                  </m:e>
                </m:d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*(2.00)) + DTP unvaccinated*1.00</m:t>
                </m:r>
              </m:e>
            </m:d>
          </m:num>
          <m:den>
            <m:r>
              <m:rPr>
                <m:nor/>
              </m:rPr>
              <w:rPr>
                <w:rFonts w:ascii="Cambria Math" w:hAnsi="Cambria Math"/>
                <w:sz w:val="16"/>
                <w:szCs w:val="16"/>
                <w:lang w:val="en-US"/>
              </w:rPr>
              <m:t xml:space="preserve"> (((Proportion with DTP for 1-8  months respectively, in 1992-3)*(2.00) + DTP unvaccinated *1.00))</m:t>
            </m:r>
          </m:den>
        </m:f>
      </m:oMath>
    </w:p>
    <w:p w:rsidR="00C56469" w:rsidRPr="00510B74" w:rsidRDefault="00C56469" w:rsidP="00C56469">
      <w:pPr>
        <w:spacing w:after="0" w:line="240" w:lineRule="auto"/>
        <w:rPr>
          <w:rFonts w:eastAsiaTheme="minorEastAsia"/>
          <w:sz w:val="18"/>
          <w:szCs w:val="18"/>
          <w:lang w:val="en-US"/>
        </w:rPr>
      </w:pPr>
      <w:r>
        <w:rPr>
          <w:rFonts w:eastAsiaTheme="minorEastAsia"/>
          <w:sz w:val="20"/>
          <w:szCs w:val="20"/>
          <w:lang w:val="en-US"/>
        </w:rPr>
        <w:t>c</w:t>
      </w:r>
      <w:r w:rsidRPr="00911B57">
        <w:rPr>
          <w:rFonts w:eastAsiaTheme="minorEastAsia"/>
          <w:sz w:val="20"/>
          <w:szCs w:val="20"/>
          <w:lang w:val="en-US"/>
        </w:rPr>
        <w:t xml:space="preserve">: Calculation: </w:t>
      </w:r>
      <m:oMath>
        <m:f>
          <m:fPr>
            <m:ctrlPr>
              <w:rPr>
                <w:rFonts w:ascii="Cambria Math" w:hAnsi="Cambria Math"/>
                <w:sz w:val="16"/>
                <w:szCs w:val="16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16"/>
                    <w:szCs w:val="16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Proportion with MV</m:t>
                </m:r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only at 11 months respectively, in 2002</m:t>
                </m:r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3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lang w:val="en-US"/>
                  </w:rPr>
                  <m:t>)</m:t>
                </m:r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1-0.46</m:t>
                    </m:r>
                  </m:e>
                </m:d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 xml:space="preserve">+ </m:t>
                </m:r>
                <m:d>
                  <m:dPr>
                    <m:ctrl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 xml:space="preserve">Proportion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iCs/>
                        <w:sz w:val="16"/>
                        <w:szCs w:val="16"/>
                        <w:lang w:val="en-US"/>
                      </w:rPr>
                      <m:t>with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 xml:space="preserve"> MV+DTP at 11 months respectively, in 2002-3</m:t>
                    </m:r>
                  </m:e>
                </m:d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2.3-1</m:t>
                    </m:r>
                  </m:e>
                </m:d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 xml:space="preserve">+ </m:t>
                </m:r>
                <m:d>
                  <m:dPr>
                    <m:ctrl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Proportion with DTP or unvaccinated at 11 months respectively, in 2002-3</m:t>
                    </m:r>
                  </m:e>
                </m:d>
                <m:r>
                  <m:rPr>
                    <m:nor/>
                  </m:rP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*(1</m:t>
                </m:r>
              </m:e>
            </m:d>
          </m:num>
          <m:den>
            <m:r>
              <m:rPr>
                <m:nor/>
              </m:rPr>
              <w:rPr>
                <w:rFonts w:ascii="Cambria Math" w:hAnsi="Cambria Math"/>
                <w:sz w:val="16"/>
                <w:szCs w:val="16"/>
                <w:lang w:val="en-US"/>
              </w:rPr>
              <m:t>(Proportion with MV-only at 11 months respectively, in 1992-3)*(1-0.46)+ (Proportion with MV+DTP at 11 months respectively, in 1992-3)*(2.3-1)+ (Proportion with DTP or unvaccinated at 11 months respectively, in 1992-3)*(1)</m:t>
            </m:r>
          </m:den>
        </m:f>
      </m:oMath>
    </w:p>
    <w:p w:rsidR="00C56469" w:rsidRPr="00184AC5" w:rsidRDefault="00C56469" w:rsidP="00C56469">
      <w:pPr>
        <w:spacing w:line="240" w:lineRule="auto"/>
        <w:rPr>
          <w:rFonts w:eastAsiaTheme="minorEastAsia"/>
          <w:sz w:val="16"/>
          <w:szCs w:val="16"/>
          <w:lang w:val="en-GB"/>
        </w:rPr>
      </w:pPr>
    </w:p>
    <w:p w:rsidR="00C56469" w:rsidRPr="003C266C" w:rsidRDefault="00C56469" w:rsidP="00C56469">
      <w:pPr>
        <w:pStyle w:val="EndNoteBibliography"/>
        <w:spacing w:after="0"/>
      </w:pPr>
      <w:r>
        <w:rPr>
          <w:rFonts w:eastAsiaTheme="minorEastAsia"/>
        </w:rPr>
        <w:fldChar w:fldCharType="begin"/>
      </w:r>
      <w:r>
        <w:rPr>
          <w:rFonts w:eastAsiaTheme="minorEastAsia"/>
        </w:rPr>
        <w:instrText xml:space="preserve"> ADDIN EN.REFLIST </w:instrText>
      </w:r>
      <w:r>
        <w:rPr>
          <w:rFonts w:eastAsiaTheme="minorEastAsia"/>
        </w:rPr>
        <w:fldChar w:fldCharType="separate"/>
      </w:r>
      <w:r w:rsidRPr="003C266C">
        <w:t>1.</w:t>
      </w:r>
      <w:r w:rsidRPr="003C266C">
        <w:tab/>
        <w:t>Aaby P, Ravn H, Benn CS. The WHO review of the possible non-specific effects of diphtheria-tetanus-pertussis vaccine. 2016.</w:t>
      </w:r>
    </w:p>
    <w:p w:rsidR="00C56469" w:rsidRPr="003C266C" w:rsidRDefault="00C56469" w:rsidP="00C56469">
      <w:pPr>
        <w:pStyle w:val="EndNoteBibliography"/>
      </w:pPr>
      <w:r w:rsidRPr="003C266C">
        <w:t>2.</w:t>
      </w:r>
      <w:r w:rsidRPr="003C266C">
        <w:tab/>
        <w:t xml:space="preserve">Higgins J, Soares-Weiser K, Reingold A. Systematic review  of the non-specific effects of BCG, DTP and measles containing vaccines Geneva: World Health Organization; 2014. Available from: </w:t>
      </w:r>
      <w:hyperlink r:id="rId5" w:history="1">
        <w:r w:rsidRPr="003C266C">
          <w:rPr>
            <w:rStyle w:val="Hyperlink"/>
          </w:rPr>
          <w:t>http://www.who.int/immunization/sage/meetings/2014/april/3_NSE_Epidemiology_review_Report_to_SAGE_14_Mar_FINAL.pdf?ua=1</w:t>
        </w:r>
      </w:hyperlink>
      <w:r w:rsidRPr="003C266C">
        <w:t xml:space="preserve"> </w:t>
      </w:r>
    </w:p>
    <w:p w:rsidR="006D467D" w:rsidRDefault="00C56469" w:rsidP="00C56469">
      <w:r>
        <w:rPr>
          <w:rFonts w:eastAsiaTheme="minorEastAsia"/>
          <w:lang w:val="en-US"/>
        </w:rPr>
        <w:fldChar w:fldCharType="end"/>
      </w:r>
      <w:bookmarkStart w:id="0" w:name="_GoBack"/>
      <w:bookmarkEnd w:id="0"/>
    </w:p>
    <w:sectPr w:rsidR="006D467D" w:rsidSect="00C56469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69"/>
    <w:rsid w:val="00643632"/>
    <w:rsid w:val="00C56469"/>
    <w:rsid w:val="00E2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C56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Tegn"/>
    <w:rsid w:val="00C56469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Tegn">
    <w:name w:val="EndNote Bibliography Tegn"/>
    <w:basedOn w:val="Standardskrifttypeiafsnit"/>
    <w:link w:val="EndNoteBibliography"/>
    <w:rsid w:val="00C56469"/>
    <w:rPr>
      <w:rFonts w:ascii="Calibri" w:hAnsi="Calibri"/>
      <w:noProof/>
      <w:lang w:val="en-US"/>
    </w:rPr>
  </w:style>
  <w:style w:type="character" w:styleId="Hyperlink">
    <w:name w:val="Hyperlink"/>
    <w:basedOn w:val="Standardskrifttypeiafsnit"/>
    <w:uiPriority w:val="99"/>
    <w:unhideWhenUsed/>
    <w:rsid w:val="00C56469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56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6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C56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Tegn"/>
    <w:rsid w:val="00C56469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Tegn">
    <w:name w:val="EndNote Bibliography Tegn"/>
    <w:basedOn w:val="Standardskrifttypeiafsnit"/>
    <w:link w:val="EndNoteBibliography"/>
    <w:rsid w:val="00C56469"/>
    <w:rPr>
      <w:rFonts w:ascii="Calibri" w:hAnsi="Calibri"/>
      <w:noProof/>
      <w:lang w:val="en-US"/>
    </w:rPr>
  </w:style>
  <w:style w:type="character" w:styleId="Hyperlink">
    <w:name w:val="Hyperlink"/>
    <w:basedOn w:val="Standardskrifttypeiafsnit"/>
    <w:uiPriority w:val="99"/>
    <w:unhideWhenUsed/>
    <w:rsid w:val="00C56469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56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6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ho.int/immunization/sage/meetings/2014/april/3_NSE_Epidemiology_review_Report_to_SAGE_14_Mar_FINAL.pdf?ua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3173</Characters>
  <Application>Microsoft Office Word</Application>
  <DocSecurity>0</DocSecurity>
  <Lines>26</Lines>
  <Paragraphs>7</Paragraphs>
  <ScaleCrop>false</ScaleCrop>
  <Company>Region Hovedstaden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Stine Byberg</dc:creator>
  <cp:lastModifiedBy>Stine Byberg</cp:lastModifiedBy>
  <cp:revision>1</cp:revision>
  <dcterms:created xsi:type="dcterms:W3CDTF">2017-05-10T10:59:00Z</dcterms:created>
  <dcterms:modified xsi:type="dcterms:W3CDTF">2017-05-10T10:59:00Z</dcterms:modified>
</cp:coreProperties>
</file>