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23F" w:rsidRDefault="00D626BB" w:rsidP="0024023F">
      <w:pPr>
        <w:ind w:firstLine="708"/>
        <w:jc w:val="center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t>SUPPORTING INFORMATION</w:t>
      </w:r>
      <w:r w:rsidR="0024023F" w:rsidRPr="00653DDE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b/>
          <w:lang w:val="en-US"/>
        </w:rPr>
        <w:t>S</w:t>
      </w:r>
      <w:r w:rsidR="0024023F" w:rsidRPr="00653DDE">
        <w:rPr>
          <w:rFonts w:ascii="Times New Roman" w:hAnsi="Times New Roman"/>
          <w:b/>
          <w:lang w:val="en-US"/>
        </w:rPr>
        <w:t>1</w:t>
      </w:r>
    </w:p>
    <w:p w:rsidR="00B36A12" w:rsidRPr="000369B3" w:rsidRDefault="00B36A12" w:rsidP="00B36A12">
      <w:pPr>
        <w:spacing w:line="480" w:lineRule="auto"/>
        <w:rPr>
          <w:rFonts w:ascii="Times New Roman" w:hAnsi="Times New Roman"/>
          <w:lang w:val="en-US"/>
        </w:rPr>
      </w:pPr>
      <w:r w:rsidRPr="000A04B5">
        <w:rPr>
          <w:rFonts w:ascii="Times New Roman" w:hAnsi="Times New Roman"/>
          <w:b/>
          <w:lang w:val="en-US"/>
        </w:rPr>
        <w:t xml:space="preserve">Table </w:t>
      </w:r>
      <w:r w:rsidR="00D626BB">
        <w:rPr>
          <w:rFonts w:ascii="Times New Roman" w:hAnsi="Times New Roman"/>
          <w:b/>
          <w:lang w:val="en-US"/>
        </w:rPr>
        <w:t>S</w:t>
      </w:r>
      <w:r w:rsidRPr="000A04B5">
        <w:rPr>
          <w:rFonts w:ascii="Times New Roman" w:hAnsi="Times New Roman"/>
          <w:b/>
          <w:lang w:val="en-US"/>
        </w:rPr>
        <w:t>1.</w:t>
      </w:r>
      <w:r w:rsidRPr="000A04B5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Spatial distribution of Slender-billed gull </w:t>
      </w:r>
      <w:proofErr w:type="spellStart"/>
      <w:r>
        <w:rPr>
          <w:rFonts w:ascii="Times New Roman" w:hAnsi="Times New Roman"/>
          <w:lang w:val="en-US"/>
        </w:rPr>
        <w:t>resightings</w:t>
      </w:r>
      <w:proofErr w:type="spellEnd"/>
      <w:r>
        <w:rPr>
          <w:rFonts w:ascii="Times New Roman" w:hAnsi="Times New Roman"/>
          <w:lang w:val="en-US"/>
        </w:rPr>
        <w:t xml:space="preserve"> during breeding period.</w:t>
      </w:r>
    </w:p>
    <w:tbl>
      <w:tblPr>
        <w:tblW w:w="6422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27"/>
        <w:gridCol w:w="475"/>
        <w:gridCol w:w="1234"/>
        <w:gridCol w:w="609"/>
        <w:gridCol w:w="777"/>
      </w:tblGrid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0369B3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 w:eastAsia="es-ES"/>
              </w:rPr>
            </w:pPr>
          </w:p>
        </w:tc>
        <w:tc>
          <w:tcPr>
            <w:tcW w:w="3095" w:type="dxa"/>
            <w:gridSpan w:val="4"/>
            <w:shd w:val="clear" w:color="auto" w:fill="auto"/>
            <w:noWrap/>
            <w:vAlign w:val="bottom"/>
          </w:tcPr>
          <w:p w:rsidR="00B36A12" w:rsidRPr="00F37A0B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b/>
                <w:color w:val="000000"/>
                <w:lang w:val="es-ES" w:eastAsia="es-ES"/>
              </w:rPr>
            </w:pPr>
            <w:proofErr w:type="spellStart"/>
            <w:r w:rsidRPr="00F37A0B">
              <w:rPr>
                <w:rFonts w:ascii="Times New Roman" w:eastAsia="Times New Roman" w:hAnsi="Times New Roman"/>
                <w:b/>
                <w:color w:val="000000"/>
                <w:lang w:val="es-ES" w:eastAsia="es-ES"/>
              </w:rPr>
              <w:t>Colony</w:t>
            </w:r>
            <w:proofErr w:type="spellEnd"/>
            <w:r w:rsidRPr="00F37A0B">
              <w:rPr>
                <w:rFonts w:ascii="Times New Roman" w:eastAsia="Times New Roman" w:hAnsi="Times New Roman"/>
                <w:b/>
                <w:color w:val="000000"/>
                <w:lang w:val="es-ES" w:eastAsia="es-ES"/>
              </w:rPr>
              <w:t xml:space="preserve"> of </w:t>
            </w:r>
            <w:proofErr w:type="spellStart"/>
            <w:r w:rsidRPr="00F37A0B">
              <w:rPr>
                <w:rFonts w:ascii="Times New Roman" w:eastAsia="Times New Roman" w:hAnsi="Times New Roman"/>
                <w:b/>
                <w:color w:val="000000"/>
                <w:lang w:val="es-ES" w:eastAsia="es-ES"/>
              </w:rPr>
              <w:t>origin</w:t>
            </w:r>
            <w:proofErr w:type="spellEnd"/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</w:p>
        </w:tc>
        <w:tc>
          <w:tcPr>
            <w:tcW w:w="1709" w:type="dxa"/>
            <w:gridSpan w:val="2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Ebro Delta</w:t>
            </w:r>
          </w:p>
        </w:tc>
        <w:tc>
          <w:tcPr>
            <w:tcW w:w="1386" w:type="dxa"/>
            <w:gridSpan w:val="2"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proofErr w:type="spellStart"/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Doñana</w:t>
            </w:r>
            <w:proofErr w:type="spellEnd"/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F37A0B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b/>
                <w:color w:val="000000"/>
                <w:lang w:val="es-ES" w:eastAsia="es-ES"/>
              </w:rPr>
            </w:pPr>
            <w:proofErr w:type="spellStart"/>
            <w:r w:rsidRPr="00F37A0B">
              <w:rPr>
                <w:rFonts w:ascii="Times New Roman" w:eastAsia="Times New Roman" w:hAnsi="Times New Roman"/>
                <w:b/>
                <w:color w:val="000000"/>
                <w:lang w:val="es-ES" w:eastAsia="es-ES"/>
              </w:rPr>
              <w:t>Resighting</w:t>
            </w:r>
            <w:proofErr w:type="spellEnd"/>
            <w:r w:rsidRPr="00F37A0B">
              <w:rPr>
                <w:rFonts w:ascii="Times New Roman" w:eastAsia="Times New Roman" w:hAnsi="Times New Roman"/>
                <w:b/>
                <w:color w:val="000000"/>
                <w:lang w:val="es-ES" w:eastAsia="es-ES"/>
              </w:rPr>
              <w:t xml:space="preserve"> </w:t>
            </w:r>
            <w:proofErr w:type="spellStart"/>
            <w:r w:rsidRPr="00F37A0B">
              <w:rPr>
                <w:rFonts w:ascii="Times New Roman" w:eastAsia="Times New Roman" w:hAnsi="Times New Roman"/>
                <w:b/>
                <w:color w:val="000000"/>
                <w:lang w:val="es-ES" w:eastAsia="es-ES"/>
              </w:rPr>
              <w:t>location</w:t>
            </w:r>
            <w:proofErr w:type="spellEnd"/>
            <w:r w:rsidRPr="00F37A0B">
              <w:rPr>
                <w:rFonts w:ascii="Times New Roman" w:eastAsia="Times New Roman" w:hAnsi="Times New Roman"/>
                <w:b/>
                <w:color w:val="000000"/>
                <w:lang w:val="es-ES" w:eastAsia="es-ES"/>
              </w:rPr>
              <w:t> 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N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%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N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%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Ebro</w:t>
            </w: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</w:t>
            </w: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Delta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299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60.8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4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0.3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France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38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7.7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2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0.1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Levante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45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9.1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14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1.0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proofErr w:type="spellStart"/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Doñana</w:t>
            </w:r>
            <w:proofErr w:type="spellEnd"/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11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2.2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1369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95.9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Ebro Delta</w:t>
            </w: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&amp;</w:t>
            </w: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France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32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6.5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0.0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Ebro Delta</w:t>
            </w: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&amp;</w:t>
            </w: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Levante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57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11.6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0.1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Ebro Delta </w:t>
            </w: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&amp;</w:t>
            </w: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</w:t>
            </w:r>
            <w:proofErr w:type="spellStart"/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Doñana</w:t>
            </w:r>
            <w:proofErr w:type="spellEnd"/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0.0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5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0.4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France</w:t>
            </w: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&amp;</w:t>
            </w: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Levante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3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0.6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0.0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France</w:t>
            </w: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&amp;</w:t>
            </w: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</w:t>
            </w:r>
            <w:proofErr w:type="spellStart"/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Doñana</w:t>
            </w:r>
            <w:proofErr w:type="spellEnd"/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5C2D2B">
              <w:rPr>
                <w:rFonts w:ascii="Times New Roman" w:eastAsia="Times New Roman" w:hAnsi="Times New Roman"/>
                <w:color w:val="000000"/>
                <w:lang w:val="es-ES" w:eastAsia="es-ES"/>
              </w:rPr>
              <w:t>2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0.4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4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0.3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Levante </w:t>
            </w: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&amp;</w:t>
            </w: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</w:t>
            </w:r>
            <w:proofErr w:type="spellStart"/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Doñana</w:t>
            </w:r>
            <w:proofErr w:type="spellEnd"/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0.0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28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2.0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Ebro Delta</w:t>
            </w: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&amp; </w:t>
            </w: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France</w:t>
            </w: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&amp; </w:t>
            </w: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Levante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4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0.8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0.1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Ebro Delta</w:t>
            </w: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&amp;</w:t>
            </w: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Levante </w:t>
            </w: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&amp; </w:t>
            </w:r>
            <w:proofErr w:type="spellStart"/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Doñana</w:t>
            </w:r>
            <w:proofErr w:type="spellEnd"/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0.2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0.0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Ebro Delta total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392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79.7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11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0.8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France total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80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16.3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7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0.5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Levante total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110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22.4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44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3.1</w:t>
            </w:r>
          </w:p>
        </w:tc>
      </w:tr>
      <w:tr w:rsidR="00B36A12" w:rsidRPr="00260D65" w:rsidTr="00C40B2C">
        <w:trPr>
          <w:trHeight w:val="300"/>
        </w:trPr>
        <w:tc>
          <w:tcPr>
            <w:tcW w:w="3327" w:type="dxa"/>
            <w:shd w:val="clear" w:color="auto" w:fill="auto"/>
            <w:noWrap/>
            <w:vAlign w:val="bottom"/>
          </w:tcPr>
          <w:p w:rsidR="00B36A12" w:rsidRPr="001779F8" w:rsidRDefault="00B36A12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proofErr w:type="spellStart"/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Doñana</w:t>
            </w:r>
            <w:proofErr w:type="spellEnd"/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total</w:t>
            </w:r>
          </w:p>
        </w:tc>
        <w:tc>
          <w:tcPr>
            <w:tcW w:w="475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14</w:t>
            </w:r>
          </w:p>
        </w:tc>
        <w:tc>
          <w:tcPr>
            <w:tcW w:w="1234" w:type="dxa"/>
            <w:shd w:val="clear" w:color="auto" w:fill="auto"/>
            <w:noWrap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2.8</w:t>
            </w:r>
          </w:p>
        </w:tc>
        <w:tc>
          <w:tcPr>
            <w:tcW w:w="609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1406</w:t>
            </w:r>
          </w:p>
        </w:tc>
        <w:tc>
          <w:tcPr>
            <w:tcW w:w="777" w:type="dxa"/>
            <w:vAlign w:val="bottom"/>
          </w:tcPr>
          <w:p w:rsidR="00B36A12" w:rsidRPr="001779F8" w:rsidRDefault="00B36A12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1779F8">
              <w:rPr>
                <w:rFonts w:ascii="Times New Roman" w:eastAsia="Times New Roman" w:hAnsi="Times New Roman"/>
                <w:color w:val="000000"/>
                <w:lang w:val="es-ES" w:eastAsia="es-ES"/>
              </w:rPr>
              <w:t>98.5</w:t>
            </w:r>
          </w:p>
        </w:tc>
      </w:tr>
    </w:tbl>
    <w:p w:rsidR="00B36A12" w:rsidRDefault="00B36A12" w:rsidP="00B36A12">
      <w:pPr>
        <w:tabs>
          <w:tab w:val="left" w:pos="5070"/>
        </w:tabs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ab/>
      </w:r>
    </w:p>
    <w:p w:rsidR="00B36A12" w:rsidRPr="001779F8" w:rsidRDefault="00B36A12" w:rsidP="00B36A12">
      <w:pPr>
        <w:spacing w:line="480" w:lineRule="auto"/>
        <w:rPr>
          <w:rFonts w:ascii="Times New Roman" w:hAnsi="Times New Roman"/>
          <w:lang w:val="en-US"/>
        </w:rPr>
      </w:pPr>
      <w:r w:rsidRPr="000369B3">
        <w:rPr>
          <w:rFonts w:ascii="Times New Roman" w:hAnsi="Times New Roman"/>
          <w:lang w:val="en-US"/>
        </w:rPr>
        <w:t xml:space="preserve">Number of Slender billed gulls marked as chicks at Ebro Delta and </w:t>
      </w:r>
      <w:proofErr w:type="spellStart"/>
      <w:r w:rsidRPr="000369B3">
        <w:rPr>
          <w:rFonts w:ascii="Times New Roman" w:hAnsi="Times New Roman"/>
          <w:lang w:val="en-US"/>
        </w:rPr>
        <w:t>Doñana</w:t>
      </w:r>
      <w:proofErr w:type="spellEnd"/>
      <w:r w:rsidRPr="000369B3">
        <w:rPr>
          <w:rFonts w:ascii="Times New Roman" w:hAnsi="Times New Roman"/>
          <w:lang w:val="en-US"/>
        </w:rPr>
        <w:t xml:space="preserve"> </w:t>
      </w:r>
      <w:r w:rsidRPr="00F37A0B">
        <w:rPr>
          <w:rFonts w:ascii="Times New Roman" w:hAnsi="Times New Roman"/>
          <w:lang w:val="en-US"/>
        </w:rPr>
        <w:t xml:space="preserve">and </w:t>
      </w:r>
      <w:proofErr w:type="spellStart"/>
      <w:r w:rsidRPr="00F37A0B">
        <w:rPr>
          <w:rFonts w:ascii="Times New Roman" w:hAnsi="Times New Roman"/>
          <w:lang w:val="en-US"/>
        </w:rPr>
        <w:t>resighted</w:t>
      </w:r>
      <w:proofErr w:type="spellEnd"/>
      <w:r w:rsidRPr="00F37A0B">
        <w:rPr>
          <w:rFonts w:ascii="Times New Roman" w:hAnsi="Times New Roman"/>
          <w:lang w:val="en-US"/>
        </w:rPr>
        <w:t xml:space="preserve"> in one or more breeding areas (Fig. 1) during breeding periods (April to Ju</w:t>
      </w:r>
      <w:r w:rsidRPr="000369B3">
        <w:rPr>
          <w:rFonts w:ascii="Times New Roman" w:hAnsi="Times New Roman"/>
          <w:lang w:val="en-US"/>
        </w:rPr>
        <w:t xml:space="preserve">ly) from 1995 to 2008 (% respect the total number of birds </w:t>
      </w:r>
      <w:proofErr w:type="spellStart"/>
      <w:r w:rsidRPr="000369B3">
        <w:rPr>
          <w:rFonts w:ascii="Times New Roman" w:hAnsi="Times New Roman"/>
          <w:lang w:val="en-US"/>
        </w:rPr>
        <w:t>resighted</w:t>
      </w:r>
      <w:proofErr w:type="spellEnd"/>
      <w:r w:rsidRPr="000369B3">
        <w:rPr>
          <w:rFonts w:ascii="Times New Roman" w:hAnsi="Times New Roman"/>
          <w:lang w:val="en-US"/>
        </w:rPr>
        <w:t xml:space="preserve">: 492 from Ebro Delta and 1428 from </w:t>
      </w:r>
      <w:proofErr w:type="spellStart"/>
      <w:r w:rsidRPr="000369B3">
        <w:rPr>
          <w:rFonts w:ascii="Times New Roman" w:hAnsi="Times New Roman"/>
          <w:lang w:val="en-US"/>
        </w:rPr>
        <w:t>Doñana</w:t>
      </w:r>
      <w:proofErr w:type="spellEnd"/>
      <w:r w:rsidRPr="000369B3">
        <w:rPr>
          <w:rFonts w:ascii="Times New Roman" w:hAnsi="Times New Roman"/>
          <w:lang w:val="en-US"/>
        </w:rPr>
        <w:t>).</w:t>
      </w:r>
    </w:p>
    <w:p w:rsidR="003E7953" w:rsidRDefault="003E7953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br w:type="page"/>
      </w:r>
    </w:p>
    <w:p w:rsidR="003E7953" w:rsidRDefault="00D626BB" w:rsidP="00B96A8D">
      <w:pPr>
        <w:spacing w:line="48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lastRenderedPageBreak/>
        <w:t>Table S</w:t>
      </w:r>
      <w:r w:rsidR="00BA1D07">
        <w:rPr>
          <w:rFonts w:ascii="Times New Roman" w:hAnsi="Times New Roman"/>
          <w:b/>
          <w:lang w:val="en-US"/>
        </w:rPr>
        <w:t>2</w:t>
      </w:r>
      <w:r w:rsidR="00BA1D07" w:rsidRPr="00653DDE">
        <w:rPr>
          <w:rFonts w:ascii="Times New Roman" w:hAnsi="Times New Roman"/>
          <w:b/>
          <w:lang w:val="en-US"/>
        </w:rPr>
        <w:t>.</w:t>
      </w:r>
      <w:r w:rsidR="00B20D87" w:rsidRPr="00B20D87">
        <w:rPr>
          <w:rFonts w:ascii="Times New Roman" w:hAnsi="Times New Roman"/>
          <w:lang w:val="en-US"/>
        </w:rPr>
        <w:t xml:space="preserve"> </w:t>
      </w:r>
      <w:r w:rsidR="00B20D87">
        <w:rPr>
          <w:rFonts w:ascii="Times New Roman" w:hAnsi="Times New Roman"/>
          <w:lang w:val="en-US"/>
        </w:rPr>
        <w:t xml:space="preserve">Estimated </w:t>
      </w:r>
      <w:r w:rsidR="00C40B2C">
        <w:rPr>
          <w:rFonts w:ascii="Times New Roman" w:hAnsi="Times New Roman"/>
          <w:lang w:val="en-US"/>
        </w:rPr>
        <w:t xml:space="preserve">annual </w:t>
      </w:r>
      <w:r w:rsidR="00B20D87">
        <w:rPr>
          <w:rFonts w:ascii="Times New Roman" w:hAnsi="Times New Roman"/>
          <w:lang w:val="en-US"/>
        </w:rPr>
        <w:t xml:space="preserve">number and % </w:t>
      </w:r>
      <w:r w:rsidR="00C40B2C">
        <w:rPr>
          <w:rFonts w:ascii="Times New Roman" w:hAnsi="Times New Roman"/>
          <w:lang w:val="en-US"/>
        </w:rPr>
        <w:t xml:space="preserve">(relative to breeding pairs) </w:t>
      </w:r>
      <w:r w:rsidR="00B20D87">
        <w:rPr>
          <w:rFonts w:ascii="Times New Roman" w:hAnsi="Times New Roman"/>
          <w:lang w:val="en-US"/>
        </w:rPr>
        <w:t>of immigrant</w:t>
      </w:r>
      <w:r w:rsidR="00C40B2C">
        <w:rPr>
          <w:rFonts w:ascii="Times New Roman" w:hAnsi="Times New Roman"/>
          <w:lang w:val="en-US"/>
        </w:rPr>
        <w:t xml:space="preserve"> (from Ebro Delta and </w:t>
      </w:r>
      <w:proofErr w:type="spellStart"/>
      <w:r w:rsidR="00C40B2C">
        <w:rPr>
          <w:rFonts w:ascii="Times New Roman" w:hAnsi="Times New Roman"/>
          <w:lang w:val="en-US"/>
        </w:rPr>
        <w:t>Doñana</w:t>
      </w:r>
      <w:proofErr w:type="spellEnd"/>
      <w:r w:rsidR="00C40B2C">
        <w:rPr>
          <w:rFonts w:ascii="Times New Roman" w:hAnsi="Times New Roman"/>
          <w:lang w:val="en-US"/>
        </w:rPr>
        <w:t>)</w:t>
      </w:r>
      <w:r w:rsidR="00B20D87">
        <w:rPr>
          <w:rFonts w:ascii="Times New Roman" w:hAnsi="Times New Roman"/>
          <w:lang w:val="en-US"/>
        </w:rPr>
        <w:t xml:space="preserve"> Slender-billed gull at Ebro Delta and </w:t>
      </w:r>
      <w:proofErr w:type="spellStart"/>
      <w:r w:rsidR="00B20D87">
        <w:rPr>
          <w:rFonts w:ascii="Times New Roman" w:hAnsi="Times New Roman"/>
          <w:lang w:val="en-US"/>
        </w:rPr>
        <w:t>Doñana</w:t>
      </w:r>
      <w:proofErr w:type="spellEnd"/>
      <w:r w:rsidR="00B20D87">
        <w:rPr>
          <w:rFonts w:ascii="Times New Roman" w:hAnsi="Times New Roman"/>
          <w:lang w:val="en-US"/>
        </w:rPr>
        <w:t xml:space="preserve"> during breeding period</w:t>
      </w:r>
      <w:r w:rsidR="00C40B2C">
        <w:rPr>
          <w:rFonts w:ascii="Times New Roman" w:hAnsi="Times New Roman"/>
          <w:lang w:val="en-US"/>
        </w:rPr>
        <w:t xml:space="preserve"> </w:t>
      </w:r>
      <w:r w:rsidR="00C40B2C" w:rsidRPr="00F37A0B">
        <w:rPr>
          <w:rFonts w:ascii="Times New Roman" w:hAnsi="Times New Roman"/>
          <w:lang w:val="en-US"/>
        </w:rPr>
        <w:t>(April to Ju</w:t>
      </w:r>
      <w:r w:rsidR="00C40B2C" w:rsidRPr="000369B3">
        <w:rPr>
          <w:rFonts w:ascii="Times New Roman" w:hAnsi="Times New Roman"/>
          <w:lang w:val="en-US"/>
        </w:rPr>
        <w:t>ly) from 199</w:t>
      </w:r>
      <w:r w:rsidR="00C40B2C">
        <w:rPr>
          <w:rFonts w:ascii="Times New Roman" w:hAnsi="Times New Roman"/>
          <w:lang w:val="en-US"/>
        </w:rPr>
        <w:t>6</w:t>
      </w:r>
      <w:r w:rsidR="00C40B2C" w:rsidRPr="000369B3">
        <w:rPr>
          <w:rFonts w:ascii="Times New Roman" w:hAnsi="Times New Roman"/>
          <w:lang w:val="en-US"/>
        </w:rPr>
        <w:t xml:space="preserve"> to 2008</w:t>
      </w:r>
      <w:r w:rsidR="00B20D87">
        <w:rPr>
          <w:rFonts w:ascii="Times New Roman" w:hAnsi="Times New Roman"/>
          <w:lang w:val="en-US"/>
        </w:rPr>
        <w:t>.</w:t>
      </w:r>
      <w:r w:rsidR="00C40B2C">
        <w:rPr>
          <w:rFonts w:ascii="Times New Roman" w:hAnsi="Times New Roman"/>
          <w:lang w:val="en-US"/>
        </w:rPr>
        <w:t xml:space="preserve"> </w:t>
      </w:r>
    </w:p>
    <w:tbl>
      <w:tblPr>
        <w:tblW w:w="6242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5"/>
        <w:gridCol w:w="1214"/>
        <w:gridCol w:w="1405"/>
        <w:gridCol w:w="1362"/>
        <w:gridCol w:w="1546"/>
      </w:tblGrid>
      <w:tr w:rsidR="00B20D87" w:rsidRPr="001A73B2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B20D87" w:rsidRPr="001A73B2" w:rsidRDefault="00B20D8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 w:eastAsia="es-ES"/>
              </w:rPr>
            </w:pPr>
          </w:p>
        </w:tc>
        <w:tc>
          <w:tcPr>
            <w:tcW w:w="2619" w:type="dxa"/>
            <w:gridSpan w:val="2"/>
            <w:shd w:val="clear" w:color="auto" w:fill="auto"/>
            <w:noWrap/>
            <w:vAlign w:val="bottom"/>
          </w:tcPr>
          <w:p w:rsidR="00B20D87" w:rsidRPr="00880577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 w:eastAsia="es-ES"/>
              </w:rPr>
            </w:pPr>
            <w:r w:rsidRPr="00880577">
              <w:rPr>
                <w:rFonts w:ascii="Times New Roman" w:eastAsia="Times New Roman" w:hAnsi="Times New Roman"/>
                <w:color w:val="000000"/>
                <w:lang w:val="en-US" w:eastAsia="es-ES"/>
              </w:rPr>
              <w:t xml:space="preserve">Breeding in </w:t>
            </w:r>
            <w:r w:rsidR="00B20D87" w:rsidRPr="00880577">
              <w:rPr>
                <w:rFonts w:ascii="Times New Roman" w:eastAsia="Times New Roman" w:hAnsi="Times New Roman"/>
                <w:color w:val="000000"/>
                <w:lang w:val="en-US" w:eastAsia="es-ES"/>
              </w:rPr>
              <w:t>Ebro Delta</w:t>
            </w:r>
          </w:p>
          <w:p w:rsidR="00C40B2C" w:rsidRPr="00880577" w:rsidRDefault="00C40B2C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 w:eastAsia="es-ES"/>
              </w:rPr>
            </w:pPr>
            <w:r w:rsidRPr="00880577">
              <w:rPr>
                <w:rFonts w:ascii="Times New Roman" w:eastAsia="Times New Roman" w:hAnsi="Times New Roman"/>
                <w:color w:val="000000"/>
                <w:lang w:val="en-US" w:eastAsia="es-ES"/>
              </w:rPr>
              <w:t xml:space="preserve">(immigrants from </w:t>
            </w:r>
            <w:proofErr w:type="spellStart"/>
            <w:r w:rsidRPr="00880577">
              <w:rPr>
                <w:rFonts w:ascii="Times New Roman" w:eastAsia="Times New Roman" w:hAnsi="Times New Roman"/>
                <w:color w:val="000000"/>
                <w:lang w:val="en-US" w:eastAsia="es-ES"/>
              </w:rPr>
              <w:t>Doñana</w:t>
            </w:r>
            <w:proofErr w:type="spellEnd"/>
            <w:r w:rsidRPr="00880577">
              <w:rPr>
                <w:rFonts w:ascii="Times New Roman" w:eastAsia="Times New Roman" w:hAnsi="Times New Roman"/>
                <w:color w:val="000000"/>
                <w:lang w:val="en-US" w:eastAsia="es-ES"/>
              </w:rPr>
              <w:t>)</w:t>
            </w:r>
          </w:p>
        </w:tc>
        <w:tc>
          <w:tcPr>
            <w:tcW w:w="2908" w:type="dxa"/>
            <w:gridSpan w:val="2"/>
            <w:vAlign w:val="bottom"/>
          </w:tcPr>
          <w:p w:rsidR="00B20D87" w:rsidRPr="001A73B2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 w:eastAsia="es-ES"/>
              </w:rPr>
            </w:pPr>
            <w:r w:rsidRPr="001A73B2">
              <w:rPr>
                <w:rFonts w:ascii="Times New Roman" w:eastAsia="Times New Roman" w:hAnsi="Times New Roman"/>
                <w:color w:val="000000"/>
                <w:lang w:val="en-US" w:eastAsia="es-ES"/>
              </w:rPr>
              <w:t xml:space="preserve">Breeding in </w:t>
            </w:r>
            <w:proofErr w:type="spellStart"/>
            <w:r w:rsidR="00B20D87" w:rsidRPr="001A73B2">
              <w:rPr>
                <w:rFonts w:ascii="Times New Roman" w:eastAsia="Times New Roman" w:hAnsi="Times New Roman"/>
                <w:color w:val="000000"/>
                <w:lang w:val="en-US" w:eastAsia="es-ES"/>
              </w:rPr>
              <w:t>Doñana</w:t>
            </w:r>
            <w:proofErr w:type="spellEnd"/>
          </w:p>
          <w:p w:rsidR="00880577" w:rsidRPr="001A73B2" w:rsidRDefault="00880577" w:rsidP="00880577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n-US" w:eastAsia="es-ES"/>
              </w:rPr>
            </w:pPr>
            <w:r w:rsidRPr="001A73B2">
              <w:rPr>
                <w:rFonts w:ascii="Times New Roman" w:eastAsia="Times New Roman" w:hAnsi="Times New Roman"/>
                <w:color w:val="000000"/>
                <w:lang w:val="en-US" w:eastAsia="es-ES"/>
              </w:rPr>
              <w:t>(immigrants from Ebro Delta)</w:t>
            </w:r>
          </w:p>
        </w:tc>
      </w:tr>
      <w:tr w:rsidR="00B20D8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B20D87" w:rsidRPr="00F37A0B" w:rsidRDefault="00C40B2C" w:rsidP="00C40B2C">
            <w:pPr>
              <w:spacing w:after="0" w:line="480" w:lineRule="auto"/>
              <w:rPr>
                <w:rFonts w:ascii="Times New Roman" w:eastAsia="Times New Roman" w:hAnsi="Times New Roman"/>
                <w:b/>
                <w:color w:val="000000"/>
                <w:lang w:val="es-ES" w:eastAsia="es-E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lang w:val="es-ES" w:eastAsia="es-ES"/>
              </w:rPr>
              <w:t>Year</w:t>
            </w:r>
            <w:proofErr w:type="spellEnd"/>
          </w:p>
        </w:tc>
        <w:tc>
          <w:tcPr>
            <w:tcW w:w="1214" w:type="dxa"/>
            <w:shd w:val="clear" w:color="auto" w:fill="auto"/>
            <w:noWrap/>
            <w:vAlign w:val="bottom"/>
          </w:tcPr>
          <w:p w:rsidR="00B20D87" w:rsidRPr="000347B4" w:rsidRDefault="00B20D87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0347B4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N </w:t>
            </w:r>
            <w:proofErr w:type="spellStart"/>
            <w:r w:rsidR="00880577" w:rsidRPr="000347B4">
              <w:rPr>
                <w:rFonts w:ascii="Times New Roman" w:eastAsia="Times New Roman" w:hAnsi="Times New Roman"/>
                <w:color w:val="000000"/>
                <w:lang w:val="es-ES" w:eastAsia="es-ES"/>
              </w:rPr>
              <w:t>estimated</w:t>
            </w:r>
            <w:proofErr w:type="spellEnd"/>
          </w:p>
        </w:tc>
        <w:tc>
          <w:tcPr>
            <w:tcW w:w="1405" w:type="dxa"/>
            <w:shd w:val="clear" w:color="auto" w:fill="auto"/>
            <w:noWrap/>
            <w:vAlign w:val="bottom"/>
          </w:tcPr>
          <w:p w:rsidR="00B20D87" w:rsidRPr="000347B4" w:rsidRDefault="00B20D87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0347B4">
              <w:rPr>
                <w:rFonts w:ascii="Times New Roman" w:eastAsia="Times New Roman" w:hAnsi="Times New Roman"/>
                <w:color w:val="000000"/>
                <w:lang w:val="es-ES" w:eastAsia="es-ES"/>
              </w:rPr>
              <w:t>%</w:t>
            </w:r>
          </w:p>
        </w:tc>
        <w:tc>
          <w:tcPr>
            <w:tcW w:w="1362" w:type="dxa"/>
            <w:vAlign w:val="bottom"/>
          </w:tcPr>
          <w:p w:rsidR="00B20D87" w:rsidRPr="000347B4" w:rsidRDefault="00B20D87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0347B4">
              <w:rPr>
                <w:rFonts w:ascii="Times New Roman" w:eastAsia="Times New Roman" w:hAnsi="Times New Roman"/>
                <w:color w:val="000000"/>
                <w:lang w:val="es-ES" w:eastAsia="es-ES"/>
              </w:rPr>
              <w:t>N</w:t>
            </w:r>
            <w:r w:rsidR="00B96A8D" w:rsidRPr="000347B4">
              <w:rPr>
                <w:rFonts w:ascii="Times New Roman" w:eastAsia="Times New Roman" w:hAnsi="Times New Roman"/>
                <w:color w:val="000000"/>
                <w:lang w:val="es-ES" w:eastAsia="es-ES"/>
              </w:rPr>
              <w:t xml:space="preserve"> </w:t>
            </w:r>
            <w:proofErr w:type="spellStart"/>
            <w:r w:rsidR="00880577" w:rsidRPr="000347B4">
              <w:rPr>
                <w:rFonts w:ascii="Times New Roman" w:eastAsia="Times New Roman" w:hAnsi="Times New Roman"/>
                <w:color w:val="000000"/>
                <w:lang w:val="es-ES" w:eastAsia="es-ES"/>
              </w:rPr>
              <w:t>estimated</w:t>
            </w:r>
            <w:proofErr w:type="spellEnd"/>
          </w:p>
        </w:tc>
        <w:tc>
          <w:tcPr>
            <w:tcW w:w="1546" w:type="dxa"/>
            <w:vAlign w:val="bottom"/>
          </w:tcPr>
          <w:p w:rsidR="00B20D87" w:rsidRPr="000347B4" w:rsidRDefault="00B20D87" w:rsidP="000347B4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 w:rsidRPr="000347B4">
              <w:rPr>
                <w:rFonts w:ascii="Times New Roman" w:eastAsia="Times New Roman" w:hAnsi="Times New Roman"/>
                <w:color w:val="000000"/>
                <w:lang w:val="es-ES" w:eastAsia="es-ES"/>
              </w:rPr>
              <w:t>%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1996</w:t>
            </w:r>
          </w:p>
        </w:tc>
        <w:tc>
          <w:tcPr>
            <w:tcW w:w="1214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405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1997</w:t>
            </w:r>
          </w:p>
        </w:tc>
        <w:tc>
          <w:tcPr>
            <w:tcW w:w="1214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405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1998</w:t>
            </w:r>
          </w:p>
        </w:tc>
        <w:tc>
          <w:tcPr>
            <w:tcW w:w="1214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405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1999</w:t>
            </w:r>
          </w:p>
        </w:tc>
        <w:tc>
          <w:tcPr>
            <w:tcW w:w="1214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405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2000</w:t>
            </w:r>
          </w:p>
        </w:tc>
        <w:tc>
          <w:tcPr>
            <w:tcW w:w="1214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405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65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12.99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2001</w:t>
            </w:r>
          </w:p>
        </w:tc>
        <w:tc>
          <w:tcPr>
            <w:tcW w:w="1214" w:type="dxa"/>
            <w:shd w:val="clear" w:color="auto" w:fill="auto"/>
            <w:noWrap/>
            <w:vAlign w:val="bottom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347B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05" w:type="dxa"/>
            <w:shd w:val="clear" w:color="auto" w:fill="auto"/>
            <w:noWrap/>
            <w:vAlign w:val="bottom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347B4">
              <w:rPr>
                <w:rFonts w:ascii="Times New Roman" w:hAnsi="Times New Roman"/>
                <w:color w:val="000000"/>
              </w:rPr>
              <w:t>0. 77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3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0. 35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2002</w:t>
            </w:r>
          </w:p>
        </w:tc>
        <w:tc>
          <w:tcPr>
            <w:tcW w:w="1214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405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6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0. 87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2003</w:t>
            </w:r>
          </w:p>
        </w:tc>
        <w:tc>
          <w:tcPr>
            <w:tcW w:w="1214" w:type="dxa"/>
            <w:shd w:val="clear" w:color="auto" w:fill="auto"/>
            <w:noWrap/>
            <w:vAlign w:val="bottom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347B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05" w:type="dxa"/>
            <w:shd w:val="clear" w:color="auto" w:fill="auto"/>
            <w:noWrap/>
            <w:vAlign w:val="bottom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347B4">
              <w:rPr>
                <w:rFonts w:ascii="Times New Roman" w:hAnsi="Times New Roman"/>
                <w:color w:val="000000"/>
              </w:rPr>
              <w:t>0. 65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13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1. 32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2004</w:t>
            </w:r>
          </w:p>
        </w:tc>
        <w:tc>
          <w:tcPr>
            <w:tcW w:w="1214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405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2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0. 21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2005</w:t>
            </w:r>
          </w:p>
        </w:tc>
        <w:tc>
          <w:tcPr>
            <w:tcW w:w="1214" w:type="dxa"/>
            <w:shd w:val="clear" w:color="auto" w:fill="auto"/>
            <w:noWrap/>
            <w:vAlign w:val="bottom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347B4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405" w:type="dxa"/>
            <w:shd w:val="clear" w:color="auto" w:fill="auto"/>
            <w:noWrap/>
            <w:vAlign w:val="bottom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347B4">
              <w:rPr>
                <w:rFonts w:ascii="Times New Roman" w:hAnsi="Times New Roman"/>
                <w:color w:val="000000"/>
              </w:rPr>
              <w:t>2. 84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10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2. 01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2006</w:t>
            </w:r>
          </w:p>
        </w:tc>
        <w:tc>
          <w:tcPr>
            <w:tcW w:w="1214" w:type="dxa"/>
            <w:shd w:val="clear" w:color="auto" w:fill="auto"/>
            <w:noWrap/>
            <w:vAlign w:val="bottom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347B4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405" w:type="dxa"/>
            <w:shd w:val="clear" w:color="auto" w:fill="auto"/>
            <w:noWrap/>
            <w:vAlign w:val="bottom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347B4">
              <w:rPr>
                <w:rFonts w:ascii="Times New Roman" w:hAnsi="Times New Roman"/>
                <w:color w:val="000000"/>
              </w:rPr>
              <w:t>3.35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15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1.90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2007</w:t>
            </w:r>
          </w:p>
        </w:tc>
        <w:tc>
          <w:tcPr>
            <w:tcW w:w="1214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405" w:type="dxa"/>
            <w:shd w:val="clear" w:color="auto" w:fill="auto"/>
            <w:noWrap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</w:tr>
      <w:tr w:rsidR="00880577" w:rsidRPr="001779F8" w:rsidTr="00B96A8D">
        <w:trPr>
          <w:trHeight w:val="300"/>
        </w:trPr>
        <w:tc>
          <w:tcPr>
            <w:tcW w:w="715" w:type="dxa"/>
            <w:shd w:val="clear" w:color="auto" w:fill="auto"/>
            <w:noWrap/>
            <w:vAlign w:val="bottom"/>
          </w:tcPr>
          <w:p w:rsidR="00880577" w:rsidRPr="001779F8" w:rsidRDefault="00880577" w:rsidP="00C40B2C">
            <w:pPr>
              <w:spacing w:after="0" w:line="480" w:lineRule="auto"/>
              <w:rPr>
                <w:rFonts w:ascii="Times New Roman" w:eastAsia="Times New Roman" w:hAnsi="Times New Roman"/>
                <w:color w:val="000000"/>
                <w:lang w:val="es-ES" w:eastAsia="es-ES"/>
              </w:rPr>
            </w:pPr>
            <w:r>
              <w:rPr>
                <w:rFonts w:ascii="Times New Roman" w:eastAsia="Times New Roman" w:hAnsi="Times New Roman"/>
                <w:color w:val="000000"/>
                <w:lang w:val="es-ES" w:eastAsia="es-ES"/>
              </w:rPr>
              <w:t>2008</w:t>
            </w:r>
          </w:p>
        </w:tc>
        <w:tc>
          <w:tcPr>
            <w:tcW w:w="1214" w:type="dxa"/>
            <w:shd w:val="clear" w:color="auto" w:fill="auto"/>
            <w:noWrap/>
            <w:vAlign w:val="bottom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347B4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05" w:type="dxa"/>
            <w:shd w:val="clear" w:color="auto" w:fill="auto"/>
            <w:noWrap/>
            <w:vAlign w:val="bottom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347B4">
              <w:rPr>
                <w:rFonts w:ascii="Times New Roman" w:hAnsi="Times New Roman"/>
                <w:color w:val="000000"/>
              </w:rPr>
              <w:t>1.71</w:t>
            </w:r>
          </w:p>
        </w:tc>
        <w:tc>
          <w:tcPr>
            <w:tcW w:w="1362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  <w:tc>
          <w:tcPr>
            <w:tcW w:w="1546" w:type="dxa"/>
          </w:tcPr>
          <w:p w:rsidR="00880577" w:rsidRPr="000347B4" w:rsidRDefault="00880577" w:rsidP="000347B4">
            <w:pPr>
              <w:jc w:val="center"/>
              <w:rPr>
                <w:rFonts w:ascii="Times New Roman" w:hAnsi="Times New Roman"/>
              </w:rPr>
            </w:pPr>
            <w:r w:rsidRPr="000347B4">
              <w:rPr>
                <w:rFonts w:ascii="Times New Roman" w:hAnsi="Times New Roman"/>
              </w:rPr>
              <w:t>-</w:t>
            </w:r>
          </w:p>
        </w:tc>
      </w:tr>
    </w:tbl>
    <w:p w:rsidR="00C40B2C" w:rsidRDefault="00C40B2C">
      <w:pPr>
        <w:rPr>
          <w:rFonts w:ascii="Times New Roman" w:hAnsi="Times New Roman"/>
          <w:b/>
          <w:lang w:val="en-US"/>
        </w:rPr>
      </w:pPr>
    </w:p>
    <w:p w:rsidR="00C40B2C" w:rsidRPr="00C40B2C" w:rsidRDefault="00C40B2C" w:rsidP="00B96A8D">
      <w:pPr>
        <w:spacing w:line="48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The annual observed number of </w:t>
      </w:r>
      <w:proofErr w:type="gramStart"/>
      <w:r w:rsidR="00880577">
        <w:rPr>
          <w:rFonts w:ascii="Times New Roman" w:hAnsi="Times New Roman"/>
          <w:lang w:val="en-US"/>
        </w:rPr>
        <w:t>immigrants</w:t>
      </w:r>
      <w:proofErr w:type="gramEnd"/>
      <w:r w:rsidR="0088057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individuals</w:t>
      </w:r>
      <w:r w:rsidR="00880577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 xml:space="preserve">was corrected by the % of marked individuals in the natal population and recapture probabilities </w:t>
      </w:r>
      <w:r w:rsidR="00880577">
        <w:rPr>
          <w:rFonts w:ascii="Times New Roman" w:hAnsi="Times New Roman"/>
          <w:lang w:val="en-US"/>
        </w:rPr>
        <w:t xml:space="preserve">at breeding population </w:t>
      </w:r>
      <w:r>
        <w:rPr>
          <w:rFonts w:ascii="Times New Roman" w:hAnsi="Times New Roman"/>
          <w:lang w:val="en-US"/>
        </w:rPr>
        <w:t xml:space="preserve">following </w:t>
      </w:r>
      <w:proofErr w:type="spellStart"/>
      <w:r>
        <w:rPr>
          <w:rFonts w:ascii="Times New Roman" w:hAnsi="Times New Roman"/>
          <w:lang w:val="en-US"/>
        </w:rPr>
        <w:t>Balkiz</w:t>
      </w:r>
      <w:proofErr w:type="spellEnd"/>
      <w:r>
        <w:rPr>
          <w:rFonts w:ascii="Times New Roman" w:hAnsi="Times New Roman"/>
          <w:lang w:val="en-US"/>
        </w:rPr>
        <w:t xml:space="preserve"> et al. (2007).  </w:t>
      </w:r>
      <w:r w:rsidRPr="00C40B2C">
        <w:rPr>
          <w:rFonts w:ascii="Times New Roman" w:hAnsi="Times New Roman"/>
          <w:lang w:val="en-US"/>
        </w:rPr>
        <w:t xml:space="preserve">A symbol – is used when the number and proportions are not estimable (i.e., no individuals </w:t>
      </w:r>
      <w:proofErr w:type="spellStart"/>
      <w:r w:rsidRPr="00C40B2C">
        <w:rPr>
          <w:rFonts w:ascii="Times New Roman" w:hAnsi="Times New Roman"/>
          <w:lang w:val="en-US"/>
        </w:rPr>
        <w:t>resighted</w:t>
      </w:r>
      <w:proofErr w:type="spellEnd"/>
      <w:r w:rsidRPr="00C40B2C">
        <w:rPr>
          <w:rFonts w:ascii="Times New Roman" w:hAnsi="Times New Roman"/>
          <w:lang w:val="en-US"/>
        </w:rPr>
        <w:t xml:space="preserve"> this year).</w:t>
      </w:r>
    </w:p>
    <w:p w:rsidR="00BA1D07" w:rsidRDefault="00BA1D07" w:rsidP="00B96A8D">
      <w:pPr>
        <w:spacing w:line="480" w:lineRule="auto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  <w:lang w:val="en-US"/>
        </w:rPr>
        <w:br w:type="page"/>
      </w:r>
    </w:p>
    <w:p w:rsidR="00C40B2C" w:rsidRDefault="00C40B2C">
      <w:pPr>
        <w:rPr>
          <w:rFonts w:ascii="Times New Roman" w:hAnsi="Times New Roman"/>
          <w:b/>
          <w:lang w:val="en-US"/>
        </w:rPr>
      </w:pPr>
    </w:p>
    <w:p w:rsidR="0024023F" w:rsidRPr="00653DDE" w:rsidRDefault="001A73B2" w:rsidP="0024023F">
      <w:pPr>
        <w:spacing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Table S</w:t>
      </w:r>
      <w:r w:rsidR="00BA1D07">
        <w:rPr>
          <w:rFonts w:ascii="Times New Roman" w:hAnsi="Times New Roman"/>
          <w:b/>
          <w:lang w:val="en-US"/>
        </w:rPr>
        <w:t>3</w:t>
      </w:r>
      <w:r w:rsidR="0024023F" w:rsidRPr="00653DDE">
        <w:rPr>
          <w:rFonts w:ascii="Times New Roman" w:hAnsi="Times New Roman"/>
          <w:b/>
          <w:lang w:val="en-US"/>
        </w:rPr>
        <w:t>.</w:t>
      </w:r>
      <w:r w:rsidR="0024023F" w:rsidRPr="00653DDE">
        <w:rPr>
          <w:rFonts w:ascii="Times New Roman" w:hAnsi="Times New Roman"/>
          <w:lang w:val="en-US"/>
        </w:rPr>
        <w:t xml:space="preserve"> Annual (λ) and stochastic (</w:t>
      </w:r>
      <m:oMath>
        <m:r>
          <m:rPr>
            <m:sty m:val="p"/>
          </m:rPr>
          <w:rPr>
            <w:rFonts w:ascii="Cambria Math" w:hAnsi="Cambria Math"/>
            <w:lang w:val="en-US"/>
          </w:rPr>
          <m:t>λ</m:t>
        </m:r>
        <m:r>
          <w:rPr>
            <w:rFonts w:ascii="Cambria Math" w:hAnsi="Cambria Math"/>
            <w:lang w:val="en-US"/>
          </w:rPr>
          <m:t>s)</m:t>
        </m:r>
      </m:oMath>
      <w:r w:rsidR="0024023F" w:rsidRPr="00653DDE">
        <w:rPr>
          <w:rFonts w:ascii="Times New Roman" w:hAnsi="Times New Roman"/>
          <w:lang w:val="en-US"/>
        </w:rPr>
        <w:t xml:space="preserve"> breeding population growth rates of Slender-billed gulls at Ebro Delta (EB), Doñana (DO), Levante (LE) and France (FR) regions, and in the whole Western Mediterranean region considered (WM).</w:t>
      </w:r>
      <w:r w:rsidR="00511C3B">
        <w:rPr>
          <w:rFonts w:ascii="Times New Roman" w:hAnsi="Times New Roman"/>
          <w:lang w:val="en-US"/>
        </w:rPr>
        <w:t xml:space="preserve"> The R-script used to compute WM </w:t>
      </w:r>
      <m:oMath>
        <m:r>
          <m:rPr>
            <m:sty m:val="p"/>
          </m:rPr>
          <w:rPr>
            <w:rFonts w:ascii="Cambria Math" w:hAnsi="Cambria Math"/>
            <w:lang w:val="en-US"/>
          </w:rPr>
          <m:t>λ</m:t>
        </m:r>
        <m:r>
          <w:rPr>
            <w:rFonts w:ascii="Cambria Math" w:hAnsi="Cambria Math"/>
            <w:lang w:val="en-US"/>
          </w:rPr>
          <m:t>s</m:t>
        </m:r>
      </m:oMath>
      <w:r w:rsidR="00511C3B">
        <w:rPr>
          <w:rFonts w:ascii="Times New Roman" w:hAnsi="Times New Roman"/>
          <w:lang w:val="en-US"/>
        </w:rPr>
        <w:t xml:space="preserve"> is provided in Appendix 2.</w:t>
      </w:r>
    </w:p>
    <w:p w:rsidR="0024023F" w:rsidRPr="00653DDE" w:rsidRDefault="0024023F" w:rsidP="0024023F">
      <w:pPr>
        <w:rPr>
          <w:rFonts w:ascii="Times New Roman" w:hAnsi="Times New Roman"/>
          <w:lang w:val="en-US"/>
        </w:rPr>
      </w:pPr>
    </w:p>
    <w:tbl>
      <w:tblPr>
        <w:tblW w:w="75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2"/>
        <w:gridCol w:w="1137"/>
        <w:gridCol w:w="992"/>
        <w:gridCol w:w="1134"/>
        <w:gridCol w:w="1223"/>
        <w:gridCol w:w="1094"/>
      </w:tblGrid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Year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EB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DO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LE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FR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WM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1991-1992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0.51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1.04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0.95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1992-1993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1.50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4.78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2.61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2.07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1993-1994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0.98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0.57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1.12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1.01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1994-1995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1.06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1.41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1.50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1.35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1.24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1995-1996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0.93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1.34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0.70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1996-1997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0.70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0.63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1.75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1997-1998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0.78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1.25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2.14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1.00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1.03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1998-1999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1.59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1.30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1.13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1.44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1.42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1999-2000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1.06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1.20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1.73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1.05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1.14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2000-2001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1.67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1.06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1.03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1.09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2001-2002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1.32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0.76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1.14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0.65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0.90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2002-2003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0.80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1.53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0.65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1.04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0.96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2003-2004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1.07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1.15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1.08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0.50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0.91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2004-2005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0.79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0.44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2.22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1.34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1.00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2005-2006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0.62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1.61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1.23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0.95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1.07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2006-2007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0.93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1.43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0.54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1.11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0.92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2007-2008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0.03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0.38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1.26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1.91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0.94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2008-2009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20.43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1.85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1.35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0.89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1.26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2009-2010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1.02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1.56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0.94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1.00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1.10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2010-2011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1.00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0.80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1.30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0.73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0.94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λ 20</w:t>
            </w:r>
            <w:r>
              <w:rPr>
                <w:rFonts w:ascii="Times New Roman" w:hAnsi="Times New Roman"/>
                <w:lang w:val="en-US"/>
              </w:rPr>
              <w:t>1</w:t>
            </w:r>
            <w:r w:rsidRPr="00260D65">
              <w:rPr>
                <w:rFonts w:ascii="Times New Roman" w:hAnsi="Times New Roman"/>
                <w:lang w:val="en-US"/>
              </w:rPr>
              <w:t>1-2012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0.58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1.41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0.84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1.27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1.08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Range λ 1991-2012</w:t>
            </w:r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0.03-20.43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0.38-4.38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0.54-2.22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0.65-2.61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0.90-2.07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λ</m:t>
                </m:r>
                <m:r>
                  <w:rPr>
                    <w:rFonts w:ascii="Cambria Math" w:hAnsi="Cambria Math"/>
                    <w:lang w:val="en-US"/>
                  </w:rPr>
                  <m:t>s</m:t>
                </m:r>
              </m:oMath>
            </m:oMathPara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0.95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1.07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1.19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1.09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1.08</w:t>
            </w:r>
          </w:p>
        </w:tc>
      </w:tr>
      <w:tr w:rsidR="0093334A" w:rsidRPr="00260D65" w:rsidTr="0093334A">
        <w:trPr>
          <w:trHeight w:val="300"/>
        </w:trPr>
        <w:tc>
          <w:tcPr>
            <w:tcW w:w="1982" w:type="dxa"/>
            <w:shd w:val="clear" w:color="auto" w:fill="FFFFFF"/>
            <w:vAlign w:val="bottom"/>
          </w:tcPr>
          <w:p w:rsidR="0093334A" w:rsidRPr="00260D65" w:rsidRDefault="0093334A" w:rsidP="00823330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 xml:space="preserve">CI </w:t>
            </w:r>
            <m:oMath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λ</m:t>
              </m:r>
              <m:r>
                <w:rPr>
                  <w:rFonts w:ascii="Cambria Math" w:hAnsi="Cambria Math"/>
                  <w:lang w:val="en-US"/>
                </w:rPr>
                <m:t>s</m:t>
              </m:r>
            </m:oMath>
          </w:p>
        </w:tc>
        <w:tc>
          <w:tcPr>
            <w:tcW w:w="1137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0.59-1.47</w:t>
            </w:r>
          </w:p>
        </w:tc>
        <w:tc>
          <w:tcPr>
            <w:tcW w:w="992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0.87-1.43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0.98-1.40</w:t>
            </w:r>
          </w:p>
        </w:tc>
        <w:tc>
          <w:tcPr>
            <w:tcW w:w="1223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0.91-1.24</w:t>
            </w:r>
          </w:p>
        </w:tc>
        <w:tc>
          <w:tcPr>
            <w:tcW w:w="1094" w:type="dxa"/>
            <w:shd w:val="clear" w:color="auto" w:fill="FFFFFF"/>
            <w:vAlign w:val="bottom"/>
          </w:tcPr>
          <w:p w:rsidR="0093334A" w:rsidRPr="00260D65" w:rsidRDefault="0093334A" w:rsidP="00BC4248">
            <w:pPr>
              <w:spacing w:after="0" w:line="360" w:lineRule="auto"/>
              <w:jc w:val="center"/>
              <w:rPr>
                <w:rFonts w:ascii="Times New Roman" w:hAnsi="Times New Roman"/>
                <w:lang w:val="en-US"/>
              </w:rPr>
            </w:pPr>
            <w:r w:rsidRPr="00260D65">
              <w:rPr>
                <w:rFonts w:ascii="Times New Roman" w:hAnsi="Times New Roman"/>
                <w:lang w:val="en-US"/>
              </w:rPr>
              <w:t>0.97-1.16</w:t>
            </w:r>
          </w:p>
        </w:tc>
      </w:tr>
    </w:tbl>
    <w:p w:rsidR="0024023F" w:rsidRPr="00653DDE" w:rsidRDefault="0024023F" w:rsidP="0024023F">
      <w:pPr>
        <w:rPr>
          <w:rFonts w:ascii="Times New Roman" w:hAnsi="Times New Roman"/>
          <w:lang w:val="en-US"/>
        </w:rPr>
      </w:pPr>
    </w:p>
    <w:p w:rsidR="0024023F" w:rsidRPr="00272669" w:rsidRDefault="0024023F" w:rsidP="0024023F">
      <w:pPr>
        <w:pageBreakBefore/>
        <w:spacing w:line="360" w:lineRule="auto"/>
        <w:rPr>
          <w:rFonts w:ascii="Times New Roman" w:hAnsi="Times New Roman"/>
          <w:lang w:val="en-US"/>
        </w:rPr>
      </w:pPr>
      <w:r w:rsidRPr="00272669">
        <w:rPr>
          <w:rFonts w:ascii="Times New Roman" w:hAnsi="Times New Roman"/>
          <w:b/>
          <w:lang w:val="en-US"/>
        </w:rPr>
        <w:lastRenderedPageBreak/>
        <w:t xml:space="preserve">Figure </w:t>
      </w:r>
      <w:r w:rsidR="001A73B2">
        <w:rPr>
          <w:rFonts w:ascii="Times New Roman" w:hAnsi="Times New Roman"/>
          <w:b/>
          <w:lang w:val="en-US"/>
        </w:rPr>
        <w:t>S</w:t>
      </w:r>
      <w:r>
        <w:rPr>
          <w:rFonts w:ascii="Times New Roman" w:hAnsi="Times New Roman"/>
          <w:b/>
          <w:lang w:val="en-US"/>
        </w:rPr>
        <w:t>1</w:t>
      </w:r>
      <w:r w:rsidRPr="00272669">
        <w:rPr>
          <w:rFonts w:ascii="Times New Roman" w:hAnsi="Times New Roman"/>
          <w:lang w:val="en-US"/>
        </w:rPr>
        <w:t xml:space="preserve">. </w:t>
      </w:r>
      <w:proofErr w:type="gramStart"/>
      <w:r w:rsidRPr="00272669">
        <w:rPr>
          <w:rFonts w:ascii="Times New Roman" w:hAnsi="Times New Roman"/>
          <w:lang w:val="en-US"/>
        </w:rPr>
        <w:t xml:space="preserve">Estimates of age dependent </w:t>
      </w:r>
      <w:proofErr w:type="spellStart"/>
      <w:r w:rsidRPr="00272669">
        <w:rPr>
          <w:rFonts w:ascii="Times New Roman" w:hAnsi="Times New Roman"/>
          <w:lang w:val="en-US"/>
        </w:rPr>
        <w:t>resighting</w:t>
      </w:r>
      <w:proofErr w:type="spellEnd"/>
      <w:r w:rsidRPr="00272669">
        <w:rPr>
          <w:rFonts w:ascii="Times New Roman" w:hAnsi="Times New Roman"/>
          <w:lang w:val="en-US"/>
        </w:rPr>
        <w:t xml:space="preserve"> probabilities of Slender</w:t>
      </w:r>
      <w:r w:rsidR="00792CE3">
        <w:rPr>
          <w:rFonts w:ascii="Times New Roman" w:hAnsi="Times New Roman"/>
          <w:lang w:val="en-US"/>
        </w:rPr>
        <w:t>-</w:t>
      </w:r>
      <w:r w:rsidRPr="00272669">
        <w:rPr>
          <w:rFonts w:ascii="Times New Roman" w:hAnsi="Times New Roman"/>
          <w:lang w:val="en-US"/>
        </w:rPr>
        <w:t xml:space="preserve">billed gulls at Ebro Delta (A) and </w:t>
      </w:r>
      <w:proofErr w:type="spellStart"/>
      <w:r w:rsidRPr="00272669">
        <w:rPr>
          <w:rFonts w:ascii="Times New Roman" w:hAnsi="Times New Roman"/>
          <w:lang w:val="en-US"/>
        </w:rPr>
        <w:t>Doñana</w:t>
      </w:r>
      <w:proofErr w:type="spellEnd"/>
      <w:r w:rsidRPr="00272669">
        <w:rPr>
          <w:rFonts w:ascii="Times New Roman" w:hAnsi="Times New Roman"/>
          <w:lang w:val="en-US"/>
        </w:rPr>
        <w:t xml:space="preserve"> (B) breeding areas during the study period (Models 13E</w:t>
      </w:r>
      <w:r>
        <w:rPr>
          <w:rFonts w:ascii="Times New Roman" w:hAnsi="Times New Roman"/>
          <w:lang w:val="en-US"/>
        </w:rPr>
        <w:t>B</w:t>
      </w:r>
      <w:r w:rsidRPr="00272669">
        <w:rPr>
          <w:rFonts w:ascii="Times New Roman" w:hAnsi="Times New Roman"/>
          <w:lang w:val="en-US"/>
        </w:rPr>
        <w:t xml:space="preserve"> and 13D</w:t>
      </w:r>
      <w:r>
        <w:rPr>
          <w:rFonts w:ascii="Times New Roman" w:hAnsi="Times New Roman"/>
          <w:lang w:val="en-US"/>
        </w:rPr>
        <w:t>O</w:t>
      </w:r>
      <w:r w:rsidR="008262FB">
        <w:rPr>
          <w:rFonts w:ascii="Times New Roman" w:hAnsi="Times New Roman"/>
          <w:lang w:val="en-US"/>
        </w:rPr>
        <w:t xml:space="preserve">, Tables </w:t>
      </w:r>
      <w:r>
        <w:rPr>
          <w:rFonts w:ascii="Times New Roman" w:hAnsi="Times New Roman"/>
          <w:lang w:val="en-US"/>
        </w:rPr>
        <w:t>1</w:t>
      </w:r>
      <w:r w:rsidR="008262FB">
        <w:rPr>
          <w:rFonts w:ascii="Times New Roman" w:hAnsi="Times New Roman"/>
          <w:lang w:val="en-US"/>
        </w:rPr>
        <w:t>-</w:t>
      </w:r>
      <w:r>
        <w:rPr>
          <w:rFonts w:ascii="Times New Roman" w:hAnsi="Times New Roman"/>
          <w:lang w:val="en-US"/>
        </w:rPr>
        <w:t>2</w:t>
      </w:r>
      <w:r w:rsidRPr="00272669">
        <w:rPr>
          <w:rFonts w:ascii="Times New Roman" w:hAnsi="Times New Roman"/>
          <w:lang w:val="en-US"/>
        </w:rPr>
        <w:t>).</w:t>
      </w:r>
      <w:proofErr w:type="gramEnd"/>
    </w:p>
    <w:p w:rsidR="0024023F" w:rsidRDefault="0024023F" w:rsidP="0024023F">
      <w:pPr>
        <w:rPr>
          <w:rFonts w:ascii="Times New Roman" w:hAnsi="Times New Roman"/>
          <w:lang w:val="en-US"/>
        </w:rPr>
      </w:pPr>
    </w:p>
    <w:p w:rsidR="0024023F" w:rsidRPr="00272669" w:rsidRDefault="0024023F" w:rsidP="0024023F">
      <w:pPr>
        <w:rPr>
          <w:rFonts w:ascii="Times New Roman" w:hAnsi="Times New Roman"/>
          <w:lang w:val="en-US"/>
        </w:rPr>
      </w:pPr>
      <w:r w:rsidRPr="00272669">
        <w:rPr>
          <w:rFonts w:ascii="Times New Roman" w:hAnsi="Times New Roman"/>
          <w:lang w:val="en-US"/>
        </w:rPr>
        <w:t>A)</w:t>
      </w:r>
    </w:p>
    <w:p w:rsidR="0024023F" w:rsidRPr="00272669" w:rsidRDefault="0024023F" w:rsidP="0024023F">
      <w:pPr>
        <w:rPr>
          <w:rFonts w:ascii="Times New Roman" w:hAnsi="Times New Roman"/>
          <w:lang w:val="en-US"/>
        </w:rPr>
      </w:pPr>
      <w:r w:rsidRPr="00C45998">
        <w:rPr>
          <w:noProof/>
          <w:lang w:val="es-ES" w:eastAsia="zh-CN"/>
        </w:rPr>
        <w:drawing>
          <wp:inline distT="0" distB="0" distL="0" distR="0">
            <wp:extent cx="5400040" cy="2234410"/>
            <wp:effectExtent l="19050" t="0" r="0" b="0"/>
            <wp:docPr id="1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234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23F" w:rsidRPr="00272669" w:rsidRDefault="0024023F" w:rsidP="0024023F">
      <w:pPr>
        <w:rPr>
          <w:rFonts w:ascii="Times New Roman" w:hAnsi="Times New Roman"/>
          <w:lang w:val="en-US"/>
        </w:rPr>
      </w:pPr>
    </w:p>
    <w:p w:rsidR="0024023F" w:rsidRPr="00272669" w:rsidRDefault="0024023F" w:rsidP="0024023F">
      <w:pPr>
        <w:rPr>
          <w:rFonts w:ascii="Times New Roman" w:hAnsi="Times New Roman"/>
          <w:lang w:val="en-US"/>
        </w:rPr>
      </w:pPr>
      <w:r w:rsidRPr="00272669">
        <w:rPr>
          <w:rFonts w:ascii="Times New Roman" w:hAnsi="Times New Roman"/>
          <w:lang w:val="en-US"/>
        </w:rPr>
        <w:t>B)</w:t>
      </w:r>
    </w:p>
    <w:p w:rsidR="0024023F" w:rsidRDefault="00D626BB" w:rsidP="0024023F">
      <w:pPr>
        <w:rPr>
          <w:rFonts w:ascii="Garamond" w:hAnsi="Garamond"/>
          <w:lang w:val="en-US"/>
        </w:rPr>
      </w:pPr>
      <w:r w:rsidRPr="00D626BB">
        <w:drawing>
          <wp:inline distT="0" distB="0" distL="0" distR="0">
            <wp:extent cx="5400040" cy="2820218"/>
            <wp:effectExtent l="19050" t="0" r="0" b="0"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20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23F" w:rsidRPr="0079005B" w:rsidRDefault="0024023F" w:rsidP="0024023F">
      <w:pPr>
        <w:rPr>
          <w:rFonts w:ascii="Garamond" w:hAnsi="Garamond"/>
          <w:lang w:val="en-US"/>
        </w:rPr>
      </w:pPr>
    </w:p>
    <w:p w:rsidR="0024023F" w:rsidRDefault="0024023F" w:rsidP="0024023F">
      <w:pPr>
        <w:rPr>
          <w:lang w:val="en-US"/>
        </w:rPr>
      </w:pPr>
    </w:p>
    <w:p w:rsidR="0024023F" w:rsidRDefault="0024023F" w:rsidP="0024023F"/>
    <w:p w:rsidR="0024023F" w:rsidRPr="008929E9" w:rsidRDefault="0024023F" w:rsidP="0024023F">
      <w:pPr>
        <w:pStyle w:val="Bibliografa"/>
        <w:rPr>
          <w:rFonts w:ascii="Times New Roman" w:hAnsi="Times New Roman"/>
          <w:lang w:val="en-US"/>
        </w:rPr>
      </w:pPr>
    </w:p>
    <w:p w:rsidR="00BC4248" w:rsidRDefault="00BC4248"/>
    <w:sectPr w:rsidR="00BC4248" w:rsidSect="00BC4248">
      <w:footerReference w:type="default" r:id="rId8"/>
      <w:pgSz w:w="11906" w:h="16838"/>
      <w:pgMar w:top="1417" w:right="1701" w:bottom="1417" w:left="1701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17C" w:rsidRDefault="00A0017C" w:rsidP="00A64355">
      <w:pPr>
        <w:spacing w:after="0" w:line="240" w:lineRule="auto"/>
      </w:pPr>
      <w:r>
        <w:separator/>
      </w:r>
    </w:p>
  </w:endnote>
  <w:endnote w:type="continuationSeparator" w:id="0">
    <w:p w:rsidR="00A0017C" w:rsidRDefault="00A0017C" w:rsidP="00A64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02388"/>
      <w:docPartObj>
        <w:docPartGallery w:val="Page Numbers (Bottom of Page)"/>
        <w:docPartUnique/>
      </w:docPartObj>
    </w:sdtPr>
    <w:sdtContent>
      <w:p w:rsidR="00C40B2C" w:rsidRDefault="008C386B">
        <w:pPr>
          <w:pStyle w:val="Piedepgina"/>
          <w:jc w:val="right"/>
        </w:pPr>
        <w:fldSimple w:instr=" PAGE   \* MERGEFORMAT ">
          <w:r w:rsidR="00D626BB">
            <w:rPr>
              <w:noProof/>
            </w:rPr>
            <w:t>1</w:t>
          </w:r>
        </w:fldSimple>
      </w:p>
    </w:sdtContent>
  </w:sdt>
  <w:p w:rsidR="00C40B2C" w:rsidRDefault="00C40B2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17C" w:rsidRDefault="00A0017C" w:rsidP="00A64355">
      <w:pPr>
        <w:spacing w:after="0" w:line="240" w:lineRule="auto"/>
      </w:pPr>
      <w:r>
        <w:separator/>
      </w:r>
    </w:p>
  </w:footnote>
  <w:footnote w:type="continuationSeparator" w:id="0">
    <w:p w:rsidR="00A0017C" w:rsidRDefault="00A0017C" w:rsidP="00A643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4023F"/>
    <w:rsid w:val="000347B4"/>
    <w:rsid w:val="001205F9"/>
    <w:rsid w:val="001411D9"/>
    <w:rsid w:val="001A73B2"/>
    <w:rsid w:val="002214B8"/>
    <w:rsid w:val="00224919"/>
    <w:rsid w:val="0024023F"/>
    <w:rsid w:val="002C031F"/>
    <w:rsid w:val="003C1689"/>
    <w:rsid w:val="003E23F6"/>
    <w:rsid w:val="003E7953"/>
    <w:rsid w:val="00484B5F"/>
    <w:rsid w:val="00511C3B"/>
    <w:rsid w:val="005B781A"/>
    <w:rsid w:val="005C2D2B"/>
    <w:rsid w:val="00622098"/>
    <w:rsid w:val="006A762A"/>
    <w:rsid w:val="006C4D1B"/>
    <w:rsid w:val="00792CE3"/>
    <w:rsid w:val="007B5F71"/>
    <w:rsid w:val="007C54ED"/>
    <w:rsid w:val="007C78ED"/>
    <w:rsid w:val="00823330"/>
    <w:rsid w:val="008262FB"/>
    <w:rsid w:val="0085303A"/>
    <w:rsid w:val="00880577"/>
    <w:rsid w:val="008C386B"/>
    <w:rsid w:val="0093334A"/>
    <w:rsid w:val="00970A34"/>
    <w:rsid w:val="00A0017C"/>
    <w:rsid w:val="00A64355"/>
    <w:rsid w:val="00B20D87"/>
    <w:rsid w:val="00B36A12"/>
    <w:rsid w:val="00B66B70"/>
    <w:rsid w:val="00B96A8D"/>
    <w:rsid w:val="00BA1D07"/>
    <w:rsid w:val="00BC4248"/>
    <w:rsid w:val="00C02FFC"/>
    <w:rsid w:val="00C11148"/>
    <w:rsid w:val="00C40B2C"/>
    <w:rsid w:val="00C84C37"/>
    <w:rsid w:val="00CE54F5"/>
    <w:rsid w:val="00D626BB"/>
    <w:rsid w:val="00E93ACC"/>
    <w:rsid w:val="00F719C2"/>
    <w:rsid w:val="00F72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23F"/>
    <w:rPr>
      <w:rFonts w:ascii="Calibri" w:eastAsia="Calibri" w:hAnsi="Calibri" w:cs="Times New Roman"/>
      <w:lang w:val="fr-F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Bibliografa">
    <w:name w:val="Bibliography"/>
    <w:basedOn w:val="Normal"/>
    <w:next w:val="Normal"/>
    <w:uiPriority w:val="37"/>
    <w:unhideWhenUsed/>
    <w:rsid w:val="0024023F"/>
    <w:pPr>
      <w:tabs>
        <w:tab w:val="left" w:pos="504"/>
      </w:tabs>
      <w:spacing w:after="240" w:line="240" w:lineRule="auto"/>
      <w:ind w:left="504" w:hanging="504"/>
    </w:pPr>
  </w:style>
  <w:style w:type="paragraph" w:styleId="Piedepgina">
    <w:name w:val="footer"/>
    <w:basedOn w:val="Normal"/>
    <w:link w:val="PiedepginaCar"/>
    <w:uiPriority w:val="99"/>
    <w:unhideWhenUsed/>
    <w:rsid w:val="002402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023F"/>
    <w:rPr>
      <w:rFonts w:ascii="Calibri" w:eastAsia="Calibri" w:hAnsi="Calibri" w:cs="Times New Roman"/>
      <w:lang w:val="fr-FR" w:eastAsia="en-US"/>
    </w:rPr>
  </w:style>
  <w:style w:type="character" w:styleId="Nmerodelnea">
    <w:name w:val="line number"/>
    <w:basedOn w:val="Fuentedeprrafopredeter"/>
    <w:uiPriority w:val="99"/>
    <w:semiHidden/>
    <w:unhideWhenUsed/>
    <w:rsid w:val="0024023F"/>
  </w:style>
  <w:style w:type="paragraph" w:styleId="Textodeglobo">
    <w:name w:val="Balloon Text"/>
    <w:basedOn w:val="Normal"/>
    <w:link w:val="TextodegloboCar"/>
    <w:uiPriority w:val="99"/>
    <w:semiHidden/>
    <w:unhideWhenUsed/>
    <w:rsid w:val="00240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023F"/>
    <w:rPr>
      <w:rFonts w:ascii="Tahoma" w:eastAsia="Calibri" w:hAnsi="Tahoma" w:cs="Tahoma"/>
      <w:sz w:val="16"/>
      <w:szCs w:val="16"/>
      <w:lang w:val="fr-FR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36A12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B36A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B36A12"/>
    <w:rPr>
      <w:rFonts w:ascii="Calibri" w:eastAsia="Calibri" w:hAnsi="Calibri" w:cs="Times New Roman"/>
      <w:sz w:val="20"/>
      <w:szCs w:val="2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512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</cp:lastModifiedBy>
  <cp:revision>2</cp:revision>
  <cp:lastPrinted>2013-12-02T16:03:00Z</cp:lastPrinted>
  <dcterms:created xsi:type="dcterms:W3CDTF">2014-03-03T12:12:00Z</dcterms:created>
  <dcterms:modified xsi:type="dcterms:W3CDTF">2014-03-03T12:12:00Z</dcterms:modified>
</cp:coreProperties>
</file>