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FC9" w:rsidRDefault="00C00C87" w:rsidP="00C53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b/>
        </w:rPr>
      </w:pPr>
      <w:r>
        <w:rPr>
          <w:b/>
        </w:rPr>
        <w:t>Supporting</w:t>
      </w:r>
      <w:r w:rsidR="00C53FC9" w:rsidRPr="00A95137">
        <w:rPr>
          <w:b/>
        </w:rPr>
        <w:t xml:space="preserve"> Information </w:t>
      </w:r>
    </w:p>
    <w:p w:rsidR="00C53FC9" w:rsidRDefault="00C53FC9" w:rsidP="00C53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b/>
        </w:rPr>
      </w:pPr>
    </w:p>
    <w:p w:rsidR="00C53FC9" w:rsidRPr="00A95137" w:rsidRDefault="00C00C87" w:rsidP="00C53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pPr>
      <w:proofErr w:type="gramStart"/>
      <w:r>
        <w:rPr>
          <w:b/>
        </w:rPr>
        <w:t>Text S1.</w:t>
      </w:r>
      <w:proofErr w:type="gramEnd"/>
      <w:r>
        <w:rPr>
          <w:b/>
        </w:rPr>
        <w:t xml:space="preserve"> Detailed </w:t>
      </w:r>
      <w:r w:rsidR="00C53FC9" w:rsidRPr="00A95137">
        <w:rPr>
          <w:b/>
        </w:rPr>
        <w:t>Methods</w:t>
      </w:r>
    </w:p>
    <w:p w:rsidR="00C53FC9" w:rsidRPr="00A95137" w:rsidRDefault="00C53FC9" w:rsidP="00C53FC9">
      <w:pPr>
        <w:spacing w:line="240" w:lineRule="auto"/>
        <w:rPr>
          <w:color w:val="000000"/>
        </w:rPr>
      </w:pPr>
      <w:r w:rsidRPr="00A95137">
        <w:rPr>
          <w:b/>
          <w:i/>
          <w:color w:val="000000"/>
        </w:rPr>
        <w:t>Experimental site and management</w:t>
      </w:r>
      <w:r w:rsidRPr="00A95137">
        <w:rPr>
          <w:b/>
          <w:color w:val="000000"/>
        </w:rPr>
        <w:t xml:space="preserve"> </w:t>
      </w:r>
      <w:r w:rsidRPr="00A95137">
        <w:rPr>
          <w:b/>
          <w:i/>
          <w:color w:val="000000"/>
        </w:rPr>
        <w:t>practices</w:t>
      </w:r>
      <w:r w:rsidRPr="00A95137">
        <w:rPr>
          <w:color w:val="000000"/>
        </w:rPr>
        <w:t xml:space="preserve"> </w:t>
      </w:r>
    </w:p>
    <w:p w:rsidR="00C53FC9" w:rsidRPr="00A95137" w:rsidRDefault="00C53FC9" w:rsidP="00C53FC9">
      <w:pPr>
        <w:spacing w:line="240" w:lineRule="auto"/>
        <w:rPr>
          <w:color w:val="000000"/>
        </w:rPr>
      </w:pPr>
      <w:r w:rsidRPr="00A95137">
        <w:rPr>
          <w:color w:val="000000"/>
        </w:rPr>
        <w:tab/>
        <w:t>The experiment was conducted at the Iowa State University Marsden Farm in Boone, Co., Iowa, USA (42</w:t>
      </w:r>
      <w:r w:rsidRPr="00A95137">
        <w:rPr>
          <w:color w:val="000000"/>
          <w:vertAlign w:val="superscript"/>
        </w:rPr>
        <w:t>°</w:t>
      </w:r>
      <w:r w:rsidRPr="00A95137">
        <w:rPr>
          <w:color w:val="000000"/>
        </w:rPr>
        <w:t>01' N; 93</w:t>
      </w:r>
      <w:r w:rsidRPr="00A95137">
        <w:rPr>
          <w:color w:val="000000"/>
          <w:vertAlign w:val="superscript"/>
        </w:rPr>
        <w:t>°</w:t>
      </w:r>
      <w:r w:rsidRPr="00A95137">
        <w:rPr>
          <w:color w:val="000000"/>
        </w:rPr>
        <w:t xml:space="preserve">47' W; 333 m above sea level), on Clarion loam (fine-loamy, mixed, </w:t>
      </w:r>
      <w:proofErr w:type="spellStart"/>
      <w:r w:rsidRPr="00A95137">
        <w:rPr>
          <w:color w:val="000000"/>
        </w:rPr>
        <w:t>superactive</w:t>
      </w:r>
      <w:proofErr w:type="spellEnd"/>
      <w:r w:rsidRPr="00A95137">
        <w:rPr>
          <w:color w:val="000000"/>
        </w:rPr>
        <w:t xml:space="preserve">, </w:t>
      </w:r>
      <w:proofErr w:type="spellStart"/>
      <w:r w:rsidRPr="00A95137">
        <w:rPr>
          <w:color w:val="000000"/>
        </w:rPr>
        <w:t>mesic</w:t>
      </w:r>
      <w:proofErr w:type="spellEnd"/>
      <w:r w:rsidRPr="00A95137">
        <w:rPr>
          <w:color w:val="000000"/>
        </w:rPr>
        <w:t xml:space="preserve">, </w:t>
      </w:r>
      <w:proofErr w:type="spellStart"/>
      <w:r w:rsidRPr="00A95137">
        <w:rPr>
          <w:color w:val="000000"/>
        </w:rPr>
        <w:t>Typic</w:t>
      </w:r>
      <w:proofErr w:type="spellEnd"/>
      <w:r w:rsidRPr="00A95137">
        <w:rPr>
          <w:color w:val="000000"/>
        </w:rPr>
        <w:t xml:space="preserve"> </w:t>
      </w:r>
      <w:proofErr w:type="spellStart"/>
      <w:r w:rsidRPr="00A95137">
        <w:rPr>
          <w:color w:val="000000"/>
        </w:rPr>
        <w:t>Hapludolls</w:t>
      </w:r>
      <w:proofErr w:type="spellEnd"/>
      <w:r w:rsidRPr="00A95137">
        <w:rPr>
          <w:color w:val="000000"/>
        </w:rPr>
        <w:t xml:space="preserve">), Nicollet loam (fine-loamy, mixed, </w:t>
      </w:r>
      <w:proofErr w:type="spellStart"/>
      <w:r w:rsidRPr="00A95137">
        <w:rPr>
          <w:color w:val="000000"/>
        </w:rPr>
        <w:t>superactive</w:t>
      </w:r>
      <w:proofErr w:type="spellEnd"/>
      <w:r w:rsidRPr="00A95137">
        <w:rPr>
          <w:color w:val="000000"/>
        </w:rPr>
        <w:t xml:space="preserve">, </w:t>
      </w:r>
      <w:proofErr w:type="spellStart"/>
      <w:r w:rsidRPr="00A95137">
        <w:rPr>
          <w:color w:val="000000"/>
        </w:rPr>
        <w:t>mesic</w:t>
      </w:r>
      <w:proofErr w:type="spellEnd"/>
      <w:r w:rsidRPr="00A95137">
        <w:rPr>
          <w:color w:val="000000"/>
        </w:rPr>
        <w:t xml:space="preserve">, </w:t>
      </w:r>
      <w:proofErr w:type="spellStart"/>
      <w:r w:rsidRPr="00A95137">
        <w:rPr>
          <w:color w:val="000000"/>
        </w:rPr>
        <w:t>Aquic</w:t>
      </w:r>
      <w:proofErr w:type="spellEnd"/>
      <w:r w:rsidRPr="00A95137">
        <w:rPr>
          <w:color w:val="000000"/>
        </w:rPr>
        <w:t xml:space="preserve"> </w:t>
      </w:r>
      <w:proofErr w:type="spellStart"/>
      <w:r w:rsidRPr="00A95137">
        <w:rPr>
          <w:color w:val="000000"/>
        </w:rPr>
        <w:t>Hapludolls</w:t>
      </w:r>
      <w:proofErr w:type="spellEnd"/>
      <w:r w:rsidRPr="00A95137">
        <w:rPr>
          <w:color w:val="000000"/>
        </w:rPr>
        <w:t xml:space="preserve">), and Webster </w:t>
      </w:r>
      <w:proofErr w:type="spellStart"/>
      <w:r w:rsidRPr="00A95137">
        <w:rPr>
          <w:color w:val="000000"/>
        </w:rPr>
        <w:t>silty</w:t>
      </w:r>
      <w:proofErr w:type="spellEnd"/>
      <w:r w:rsidRPr="00A95137">
        <w:rPr>
          <w:color w:val="000000"/>
        </w:rPr>
        <w:t xml:space="preserve"> clay loam (fine-loamy, mixed, </w:t>
      </w:r>
      <w:proofErr w:type="spellStart"/>
      <w:r w:rsidRPr="00A95137">
        <w:rPr>
          <w:color w:val="000000"/>
        </w:rPr>
        <w:t>superactive</w:t>
      </w:r>
      <w:proofErr w:type="spellEnd"/>
      <w:r w:rsidRPr="00A95137">
        <w:rPr>
          <w:color w:val="000000"/>
        </w:rPr>
        <w:t xml:space="preserve">, </w:t>
      </w:r>
      <w:proofErr w:type="spellStart"/>
      <w:r w:rsidRPr="00A95137">
        <w:rPr>
          <w:color w:val="000000"/>
        </w:rPr>
        <w:t>mesic</w:t>
      </w:r>
      <w:proofErr w:type="spellEnd"/>
      <w:r w:rsidRPr="00A95137">
        <w:rPr>
          <w:color w:val="000000"/>
        </w:rPr>
        <w:t xml:space="preserve">, </w:t>
      </w:r>
      <w:proofErr w:type="spellStart"/>
      <w:r w:rsidRPr="00A95137">
        <w:rPr>
          <w:color w:val="000000"/>
        </w:rPr>
        <w:t>Typic</w:t>
      </w:r>
      <w:proofErr w:type="spellEnd"/>
      <w:r w:rsidRPr="00A95137">
        <w:rPr>
          <w:color w:val="000000"/>
        </w:rPr>
        <w:t xml:space="preserve"> </w:t>
      </w:r>
      <w:proofErr w:type="spellStart"/>
      <w:r w:rsidRPr="00A95137">
        <w:rPr>
          <w:color w:val="000000"/>
        </w:rPr>
        <w:t>Endoaquolls</w:t>
      </w:r>
      <w:proofErr w:type="spellEnd"/>
      <w:r w:rsidRPr="00A95137">
        <w:rPr>
          <w:color w:val="000000"/>
        </w:rPr>
        <w:t>) soils. The entire site was planted with oat in 2001 and experimental plots were established in 2002 using a randomized complete block design, with each crop phase of each rotation system present every year in four replicate blocks (</w:t>
      </w:r>
      <w:r w:rsidR="00802FA6">
        <w:rPr>
          <w:color w:val="000000"/>
        </w:rPr>
        <w:t>Fig.</w:t>
      </w:r>
      <w:r w:rsidRPr="00A95137">
        <w:rPr>
          <w:color w:val="000000"/>
        </w:rPr>
        <w:t xml:space="preserve"> </w:t>
      </w:r>
      <w:r>
        <w:rPr>
          <w:color w:val="000000"/>
        </w:rPr>
        <w:t>S</w:t>
      </w:r>
      <w:r w:rsidRPr="00A95137">
        <w:rPr>
          <w:color w:val="000000"/>
        </w:rPr>
        <w:t xml:space="preserve">1). Plot size was 18 m x 85 m. </w:t>
      </w:r>
      <w:proofErr w:type="gramStart"/>
      <w:r w:rsidRPr="00A95137">
        <w:rPr>
          <w:color w:val="000000"/>
        </w:rPr>
        <w:t>Prior</w:t>
      </w:r>
      <w:proofErr w:type="gramEnd"/>
      <w:r w:rsidRPr="00A95137">
        <w:rPr>
          <w:color w:val="000000"/>
        </w:rPr>
        <w:t xml:space="preserve"> to the initiation of the experiment, the site had been managed with a </w:t>
      </w:r>
      <w:r>
        <w:rPr>
          <w:color w:val="000000"/>
        </w:rPr>
        <w:t>maize</w:t>
      </w:r>
      <w:r w:rsidRPr="00A95137">
        <w:rPr>
          <w:color w:val="000000"/>
        </w:rPr>
        <w:t>/soybean rotation receiving conventional fertilizer and herbicide inputs. Soil samples taken to a depth of 20 cm on 8 Nov 2002 indicated a mean buffer pH of 6.8, a mean organic matter concentration (via combustion analysis) of 51 g kg</w:t>
      </w:r>
      <w:r w:rsidRPr="00A95137">
        <w:rPr>
          <w:color w:val="000000"/>
          <w:vertAlign w:val="superscript"/>
        </w:rPr>
        <w:t>-1</w:t>
      </w:r>
      <w:r w:rsidRPr="00A95137">
        <w:rPr>
          <w:color w:val="000000"/>
        </w:rPr>
        <w:t>, a mean P concentration (via the Bray-1 procedure) of 31 g kg</w:t>
      </w:r>
      <w:r w:rsidRPr="00A95137">
        <w:rPr>
          <w:color w:val="000000"/>
          <w:vertAlign w:val="superscript"/>
        </w:rPr>
        <w:t>-1</w:t>
      </w:r>
      <w:r w:rsidRPr="00A95137">
        <w:rPr>
          <w:color w:val="000000"/>
        </w:rPr>
        <w:t>, and a mean K concentration (via ammonium acetate extraction) of 167 g kg</w:t>
      </w:r>
      <w:r w:rsidRPr="00A95137">
        <w:rPr>
          <w:color w:val="000000"/>
          <w:vertAlign w:val="superscript"/>
        </w:rPr>
        <w:t>-1</w:t>
      </w:r>
      <w:r w:rsidRPr="00A95137">
        <w:rPr>
          <w:color w:val="000000"/>
        </w:rPr>
        <w:t>. Temperature conditions during the experiment did not deviate greatly from the long-term mean, but precipitation was generally greater than the long-term mean, with 2008 and 2010 being much wet</w:t>
      </w:r>
      <w:r w:rsidR="00802FA6">
        <w:rPr>
          <w:color w:val="000000"/>
        </w:rPr>
        <w:t>ter than average (</w:t>
      </w:r>
      <w:r w:rsidRPr="00A95137">
        <w:rPr>
          <w:color w:val="000000"/>
        </w:rPr>
        <w:t xml:space="preserve">Table </w:t>
      </w:r>
      <w:r>
        <w:rPr>
          <w:color w:val="000000"/>
        </w:rPr>
        <w:t>S</w:t>
      </w:r>
      <w:r w:rsidRPr="00A95137">
        <w:rPr>
          <w:color w:val="000000"/>
        </w:rPr>
        <w:t xml:space="preserve">1). Several plots were flooded for up to three or four days in 2008 and 2010, but in general, crop growth conditions during the period of the experiment were good to excellent. </w:t>
      </w:r>
    </w:p>
    <w:p w:rsidR="00C53FC9" w:rsidRPr="00A95137" w:rsidRDefault="00C53FC9" w:rsidP="00C53FC9">
      <w:pPr>
        <w:spacing w:line="240" w:lineRule="auto"/>
        <w:ind w:firstLine="720"/>
        <w:rPr>
          <w:color w:val="000000"/>
        </w:rPr>
      </w:pPr>
      <w:r w:rsidRPr="00A95137">
        <w:rPr>
          <w:color w:val="000000"/>
        </w:rPr>
        <w:t>Three rotation systems were compared in the experiment: a 2-</w:t>
      </w:r>
      <w:r>
        <w:rPr>
          <w:color w:val="000000"/>
        </w:rPr>
        <w:t>yr</w:t>
      </w:r>
      <w:r w:rsidRPr="00A95137">
        <w:rPr>
          <w:color w:val="000000"/>
        </w:rPr>
        <w:t xml:space="preserve"> </w:t>
      </w:r>
      <w:r>
        <w:rPr>
          <w:color w:val="000000"/>
        </w:rPr>
        <w:t>maize</w:t>
      </w:r>
      <w:r w:rsidRPr="00A95137">
        <w:rPr>
          <w:color w:val="000000"/>
        </w:rPr>
        <w:t>-soybean system; a 3</w:t>
      </w:r>
      <w:r>
        <w:rPr>
          <w:color w:val="000000"/>
        </w:rPr>
        <w:t>-yr</w:t>
      </w:r>
      <w:r w:rsidRPr="00A95137">
        <w:rPr>
          <w:color w:val="000000"/>
        </w:rPr>
        <w:t xml:space="preserve"> </w:t>
      </w:r>
      <w:r>
        <w:rPr>
          <w:color w:val="000000"/>
        </w:rPr>
        <w:t>maize</w:t>
      </w:r>
      <w:r w:rsidRPr="00A95137">
        <w:rPr>
          <w:color w:val="000000"/>
        </w:rPr>
        <w:t>-soybean-small grain</w:t>
      </w:r>
      <w:r>
        <w:rPr>
          <w:color w:val="000000"/>
        </w:rPr>
        <w:t>/</w:t>
      </w:r>
      <w:r w:rsidRPr="00A95137">
        <w:rPr>
          <w:color w:val="000000"/>
        </w:rPr>
        <w:t>red clover system; and a 4-</w:t>
      </w:r>
      <w:r>
        <w:rPr>
          <w:color w:val="000000"/>
        </w:rPr>
        <w:t>yr</w:t>
      </w:r>
      <w:r w:rsidRPr="00A95137">
        <w:rPr>
          <w:color w:val="000000"/>
        </w:rPr>
        <w:t xml:space="preserve"> </w:t>
      </w:r>
      <w:r>
        <w:rPr>
          <w:color w:val="000000"/>
        </w:rPr>
        <w:t>maize</w:t>
      </w:r>
      <w:r w:rsidRPr="00A95137">
        <w:rPr>
          <w:color w:val="000000"/>
        </w:rPr>
        <w:t>-soybean-small grain</w:t>
      </w:r>
      <w:r>
        <w:rPr>
          <w:color w:val="000000"/>
        </w:rPr>
        <w:t>/</w:t>
      </w:r>
      <w:r w:rsidRPr="00A95137">
        <w:rPr>
          <w:color w:val="000000"/>
        </w:rPr>
        <w:t>alfalfa-alfalfa system. Crop identities and seeding r</w:t>
      </w:r>
      <w:r w:rsidR="00802FA6">
        <w:rPr>
          <w:color w:val="000000"/>
        </w:rPr>
        <w:t xml:space="preserve">ates are shown in </w:t>
      </w:r>
      <w:r w:rsidRPr="00A95137">
        <w:rPr>
          <w:color w:val="000000"/>
        </w:rPr>
        <w:t xml:space="preserve">Table </w:t>
      </w:r>
      <w:r>
        <w:rPr>
          <w:color w:val="000000"/>
        </w:rPr>
        <w:t>S</w:t>
      </w:r>
      <w:r w:rsidRPr="00A95137">
        <w:rPr>
          <w:color w:val="000000"/>
        </w:rPr>
        <w:t xml:space="preserve">2. A non-genetically engineered soybean variety was used in all systems in 2003-2005. However, beginning in 2006 and continuing </w:t>
      </w:r>
      <w:proofErr w:type="spellStart"/>
      <w:r w:rsidRPr="00A95137">
        <w:rPr>
          <w:color w:val="000000"/>
        </w:rPr>
        <w:t>though</w:t>
      </w:r>
      <w:proofErr w:type="spellEnd"/>
      <w:r w:rsidRPr="00A95137">
        <w:rPr>
          <w:color w:val="000000"/>
        </w:rPr>
        <w:t xml:space="preserve"> 2011, a transgenic glyphosate-tolerant soybean variety was used in the 2-</w:t>
      </w:r>
      <w:r>
        <w:rPr>
          <w:color w:val="000000"/>
        </w:rPr>
        <w:t>yr</w:t>
      </w:r>
      <w:r w:rsidRPr="00A95137">
        <w:rPr>
          <w:color w:val="000000"/>
        </w:rPr>
        <w:t xml:space="preserve"> rotation, whereas a non-genetically engineered variety was used in the 3-</w:t>
      </w:r>
      <w:r>
        <w:rPr>
          <w:color w:val="000000"/>
        </w:rPr>
        <w:t>yr</w:t>
      </w:r>
      <w:r w:rsidRPr="00A95137">
        <w:rPr>
          <w:color w:val="000000"/>
        </w:rPr>
        <w:t xml:space="preserve"> and 4-</w:t>
      </w:r>
      <w:r>
        <w:rPr>
          <w:color w:val="000000"/>
        </w:rPr>
        <w:t>yr</w:t>
      </w:r>
      <w:r w:rsidRPr="00A95137">
        <w:rPr>
          <w:color w:val="000000"/>
        </w:rPr>
        <w:t xml:space="preserve"> rotations. Similarly, a non-genetically engineered </w:t>
      </w:r>
      <w:r>
        <w:rPr>
          <w:color w:val="000000"/>
        </w:rPr>
        <w:t>maize</w:t>
      </w:r>
      <w:r w:rsidRPr="00A95137">
        <w:rPr>
          <w:color w:val="000000"/>
        </w:rPr>
        <w:t xml:space="preserve"> hybrid was used in all systems in 2003-2007, but in 2008-2011, a hybrid with transgenic resistance to insect pests was used in the 2-</w:t>
      </w:r>
      <w:r>
        <w:rPr>
          <w:color w:val="000000"/>
        </w:rPr>
        <w:t>yr</w:t>
      </w:r>
      <w:r w:rsidRPr="00A95137">
        <w:rPr>
          <w:color w:val="000000"/>
        </w:rPr>
        <w:t xml:space="preserve"> rotation. A near-isogenic </w:t>
      </w:r>
      <w:r>
        <w:rPr>
          <w:color w:val="000000"/>
        </w:rPr>
        <w:t>maize</w:t>
      </w:r>
      <w:r w:rsidRPr="00A95137">
        <w:rPr>
          <w:color w:val="000000"/>
        </w:rPr>
        <w:t xml:space="preserve"> hybrid without transgenes was used in 2008-2011 in the 3-</w:t>
      </w:r>
      <w:r>
        <w:rPr>
          <w:color w:val="000000"/>
        </w:rPr>
        <w:t>yr</w:t>
      </w:r>
      <w:r w:rsidRPr="00A95137">
        <w:rPr>
          <w:color w:val="000000"/>
        </w:rPr>
        <w:t xml:space="preserve"> and 4-</w:t>
      </w:r>
      <w:r>
        <w:rPr>
          <w:color w:val="000000"/>
        </w:rPr>
        <w:t>yr</w:t>
      </w:r>
      <w:r w:rsidRPr="00A95137">
        <w:rPr>
          <w:color w:val="000000"/>
        </w:rPr>
        <w:t xml:space="preserve"> rotations. Triticale was used as the small grain crop in 2003-2005, whereas oat was used in 2006-2011. Triticale and oat straw was baled and removed after grain harvest. Red clover and alfalfa were planted with triticale or oat. Red clover was not harvested for forage, but was plowed into the soil as a green manure crop. Seeding year alfalfa was not harvested in 2003 (due to dry conditions that limited growth), but was harvested once in 2004-2011. Established second-year alfalfa was harvested three times or four times, depending on moisture conditions present in each year, before being plowed in late November or early December. </w:t>
      </w:r>
    </w:p>
    <w:p w:rsidR="00C53FC9" w:rsidRPr="00A95137" w:rsidRDefault="00C53FC9" w:rsidP="00C53FC9">
      <w:pPr>
        <w:spacing w:line="240" w:lineRule="auto"/>
        <w:ind w:firstLine="720"/>
        <w:rPr>
          <w:color w:val="000000"/>
        </w:rPr>
      </w:pPr>
      <w:r w:rsidRPr="00A95137">
        <w:rPr>
          <w:color w:val="000000"/>
        </w:rPr>
        <w:t>Tillage regimes differed among rotation systems. In the 2-</w:t>
      </w:r>
      <w:r>
        <w:rPr>
          <w:color w:val="000000"/>
        </w:rPr>
        <w:t>yr</w:t>
      </w:r>
      <w:r w:rsidRPr="00A95137">
        <w:rPr>
          <w:color w:val="000000"/>
        </w:rPr>
        <w:t xml:space="preserve"> rotation, a combination of fall chisel plowing and spring field cultivation was used between </w:t>
      </w:r>
      <w:r>
        <w:rPr>
          <w:color w:val="000000"/>
        </w:rPr>
        <w:t>maize</w:t>
      </w:r>
      <w:r w:rsidRPr="00A95137">
        <w:rPr>
          <w:color w:val="000000"/>
        </w:rPr>
        <w:t xml:space="preserve"> harvest and soybean planting; spring field cultivation was used between soybean harvest and </w:t>
      </w:r>
      <w:r>
        <w:rPr>
          <w:color w:val="000000"/>
        </w:rPr>
        <w:t>maize</w:t>
      </w:r>
      <w:r w:rsidRPr="00A95137">
        <w:rPr>
          <w:color w:val="000000"/>
        </w:rPr>
        <w:t xml:space="preserve"> planting. In the 3-</w:t>
      </w:r>
      <w:r>
        <w:rPr>
          <w:color w:val="000000"/>
        </w:rPr>
        <w:t>yr</w:t>
      </w:r>
      <w:r w:rsidRPr="00A95137">
        <w:rPr>
          <w:color w:val="000000"/>
        </w:rPr>
        <w:t xml:space="preserve"> system, a combination of fall chisel plowing and spring field cultivation was used between </w:t>
      </w:r>
      <w:r>
        <w:rPr>
          <w:color w:val="000000"/>
        </w:rPr>
        <w:t>maize</w:t>
      </w:r>
      <w:r w:rsidRPr="00A95137">
        <w:rPr>
          <w:color w:val="000000"/>
        </w:rPr>
        <w:t xml:space="preserve"> harvest and soybean </w:t>
      </w:r>
      <w:r w:rsidRPr="00A95137">
        <w:rPr>
          <w:color w:val="000000"/>
        </w:rPr>
        <w:lastRenderedPageBreak/>
        <w:t xml:space="preserve">planting; zero tillage or spring disking was used between soybean harvest and the planting of small grains (triticale or oat) and red clover; and fall moldboard plowing followed by spring disking and field cultivation were used to incorporate clover sod and prepare a seedbed for </w:t>
      </w:r>
      <w:r>
        <w:rPr>
          <w:color w:val="000000"/>
        </w:rPr>
        <w:t>maize</w:t>
      </w:r>
      <w:r w:rsidRPr="00A95137">
        <w:rPr>
          <w:color w:val="000000"/>
        </w:rPr>
        <w:t>. Tillage practices in the 4-</w:t>
      </w:r>
      <w:r>
        <w:rPr>
          <w:color w:val="000000"/>
        </w:rPr>
        <w:t>yr</w:t>
      </w:r>
      <w:r w:rsidRPr="00A95137">
        <w:rPr>
          <w:color w:val="000000"/>
        </w:rPr>
        <w:t xml:space="preserve"> system were the same as in the 3-</w:t>
      </w:r>
      <w:r>
        <w:rPr>
          <w:color w:val="000000"/>
        </w:rPr>
        <w:t>yr</w:t>
      </w:r>
      <w:r w:rsidRPr="00A95137">
        <w:rPr>
          <w:color w:val="000000"/>
        </w:rPr>
        <w:t xml:space="preserve"> system, except for a longer period without soil disturbance, from small grain and alfalfa establishment until alfalfa sod was fall moldboard plowed. </w:t>
      </w:r>
    </w:p>
    <w:p w:rsidR="00C53FC9" w:rsidRPr="00A95137" w:rsidRDefault="00C53FC9" w:rsidP="00C53FC9">
      <w:pPr>
        <w:spacing w:line="240" w:lineRule="auto"/>
        <w:ind w:firstLine="720"/>
        <w:rPr>
          <w:color w:val="000000"/>
        </w:rPr>
      </w:pPr>
      <w:r w:rsidRPr="00A95137">
        <w:rPr>
          <w:color w:val="000000"/>
        </w:rPr>
        <w:t>Synthetic fertilizers were applied in the 2-</w:t>
      </w:r>
      <w:r>
        <w:rPr>
          <w:color w:val="000000"/>
        </w:rPr>
        <w:t>yr</w:t>
      </w:r>
      <w:r w:rsidRPr="00A95137">
        <w:rPr>
          <w:color w:val="000000"/>
        </w:rPr>
        <w:t xml:space="preserve"> rotation at conventional rates based on soil tests, whereas composted cattle manure and reduced rates of synthetic fertilizers were applied in the 3-</w:t>
      </w:r>
      <w:r>
        <w:rPr>
          <w:color w:val="000000"/>
        </w:rPr>
        <w:t>yr</w:t>
      </w:r>
      <w:r w:rsidRPr="00A95137">
        <w:rPr>
          <w:color w:val="000000"/>
        </w:rPr>
        <w:t xml:space="preserve"> and 4-</w:t>
      </w:r>
      <w:r>
        <w:rPr>
          <w:color w:val="000000"/>
        </w:rPr>
        <w:t>yr</w:t>
      </w:r>
      <w:r w:rsidR="00802FA6">
        <w:rPr>
          <w:color w:val="000000"/>
        </w:rPr>
        <w:t xml:space="preserve"> rotations (</w:t>
      </w:r>
      <w:r w:rsidRPr="00A95137">
        <w:rPr>
          <w:color w:val="000000"/>
        </w:rPr>
        <w:t xml:space="preserve">Table </w:t>
      </w:r>
      <w:r>
        <w:rPr>
          <w:color w:val="000000"/>
        </w:rPr>
        <w:t>S</w:t>
      </w:r>
      <w:r w:rsidRPr="00A95137">
        <w:rPr>
          <w:color w:val="000000"/>
        </w:rPr>
        <w:t xml:space="preserve">3). The late spring nitrate test was used for </w:t>
      </w:r>
      <w:r>
        <w:rPr>
          <w:color w:val="000000"/>
        </w:rPr>
        <w:t>maize</w:t>
      </w:r>
      <w:r w:rsidRPr="00A95137">
        <w:rPr>
          <w:color w:val="000000"/>
        </w:rPr>
        <w:t xml:space="preserve"> in each rotation system to determine treatment-specific rates for post-emergence side-dress N applications </w:t>
      </w:r>
      <w:r>
        <w:rPr>
          <w:color w:val="000000"/>
        </w:rPr>
        <w:t>(1)</w:t>
      </w:r>
      <w:r w:rsidRPr="00A95137">
        <w:rPr>
          <w:color w:val="000000"/>
        </w:rPr>
        <w:t>. Composted manure was applied in October of each year at a rate of 15.7 Mg ha</w:t>
      </w:r>
      <w:r w:rsidRPr="00A95137">
        <w:rPr>
          <w:color w:val="000000"/>
          <w:vertAlign w:val="superscript"/>
        </w:rPr>
        <w:t>-1</w:t>
      </w:r>
      <w:r w:rsidRPr="00A95137">
        <w:rPr>
          <w:color w:val="000000"/>
        </w:rPr>
        <w:t xml:space="preserve"> (fresh weight basis) to plots of red clover in the 3-</w:t>
      </w:r>
      <w:r>
        <w:rPr>
          <w:color w:val="000000"/>
        </w:rPr>
        <w:t>yr</w:t>
      </w:r>
      <w:r w:rsidRPr="00A95137">
        <w:rPr>
          <w:color w:val="000000"/>
        </w:rPr>
        <w:t xml:space="preserve"> rotation and to plots of established alfalfa in the 4-</w:t>
      </w:r>
      <w:r>
        <w:rPr>
          <w:color w:val="000000"/>
        </w:rPr>
        <w:t>yr</w:t>
      </w:r>
      <w:r w:rsidRPr="00A95137">
        <w:rPr>
          <w:color w:val="000000"/>
        </w:rPr>
        <w:t xml:space="preserve"> rotation. This corresponded to a mean dry matter application rate of 8.3 Mg ha</w:t>
      </w:r>
      <w:r w:rsidRPr="00A95137">
        <w:rPr>
          <w:color w:val="000000"/>
          <w:vertAlign w:val="superscript"/>
        </w:rPr>
        <w:t>-1</w:t>
      </w:r>
      <w:r w:rsidRPr="00A95137">
        <w:rPr>
          <w:color w:val="000000"/>
        </w:rPr>
        <w:t>. Calculated application rates of total N, P, and K in composted manure, reflecting analyses conducted by the Iowa State University Soil and Plant Analysis Labora</w:t>
      </w:r>
      <w:r w:rsidR="00802FA6">
        <w:rPr>
          <w:color w:val="000000"/>
        </w:rPr>
        <w:t>tory, are shown in</w:t>
      </w:r>
      <w:r w:rsidRPr="00A95137">
        <w:rPr>
          <w:color w:val="000000"/>
        </w:rPr>
        <w:t xml:space="preserve"> Table </w:t>
      </w:r>
      <w:r>
        <w:rPr>
          <w:color w:val="000000"/>
        </w:rPr>
        <w:t>S</w:t>
      </w:r>
      <w:r w:rsidRPr="00A95137">
        <w:rPr>
          <w:color w:val="000000"/>
        </w:rPr>
        <w:t xml:space="preserve">3. </w:t>
      </w:r>
    </w:p>
    <w:p w:rsidR="00C53FC9" w:rsidRPr="00A95137" w:rsidRDefault="00C53FC9" w:rsidP="00C53FC9">
      <w:pPr>
        <w:spacing w:line="240" w:lineRule="auto"/>
        <w:ind w:right="-90" w:firstLine="720"/>
        <w:rPr>
          <w:color w:val="000000"/>
        </w:rPr>
      </w:pPr>
      <w:r w:rsidRPr="00A95137">
        <w:rPr>
          <w:color w:val="000000"/>
        </w:rPr>
        <w:t>Weed management in the 2-</w:t>
      </w:r>
      <w:r>
        <w:rPr>
          <w:color w:val="000000"/>
        </w:rPr>
        <w:t>yr</w:t>
      </w:r>
      <w:r w:rsidRPr="00A95137">
        <w:rPr>
          <w:color w:val="000000"/>
        </w:rPr>
        <w:t xml:space="preserve"> rotation was based largely on herbicides applied at co</w:t>
      </w:r>
      <w:r w:rsidR="00802FA6">
        <w:rPr>
          <w:color w:val="000000"/>
        </w:rPr>
        <w:t>nventional rates (</w:t>
      </w:r>
      <w:r w:rsidRPr="00A95137">
        <w:rPr>
          <w:color w:val="000000"/>
        </w:rPr>
        <w:t xml:space="preserve">Table </w:t>
      </w:r>
      <w:r>
        <w:rPr>
          <w:color w:val="000000"/>
        </w:rPr>
        <w:t>S</w:t>
      </w:r>
      <w:r w:rsidRPr="00A95137">
        <w:rPr>
          <w:color w:val="000000"/>
        </w:rPr>
        <w:t>4). Lower quantities of herbicides were applied in the 3-</w:t>
      </w:r>
      <w:r>
        <w:rPr>
          <w:color w:val="000000"/>
        </w:rPr>
        <w:t>yr</w:t>
      </w:r>
      <w:r w:rsidRPr="00A95137">
        <w:rPr>
          <w:color w:val="000000"/>
        </w:rPr>
        <w:t xml:space="preserve"> and 4-</w:t>
      </w:r>
      <w:r>
        <w:rPr>
          <w:color w:val="000000"/>
        </w:rPr>
        <w:t>yr</w:t>
      </w:r>
      <w:r w:rsidRPr="00A95137">
        <w:rPr>
          <w:color w:val="000000"/>
        </w:rPr>
        <w:t xml:space="preserve"> rotations due to application of herbicides in 38-cm-wide bands over </w:t>
      </w:r>
      <w:r>
        <w:rPr>
          <w:color w:val="000000"/>
        </w:rPr>
        <w:t>maize</w:t>
      </w:r>
      <w:r w:rsidRPr="00A95137">
        <w:rPr>
          <w:color w:val="000000"/>
        </w:rPr>
        <w:t xml:space="preserve"> and soybean rows rather than broadcast spraying, </w:t>
      </w:r>
      <w:proofErr w:type="spellStart"/>
      <w:r w:rsidRPr="00A95137">
        <w:rPr>
          <w:color w:val="000000"/>
        </w:rPr>
        <w:t>interrow</w:t>
      </w:r>
      <w:proofErr w:type="spellEnd"/>
      <w:r w:rsidRPr="00A95137">
        <w:rPr>
          <w:color w:val="000000"/>
        </w:rPr>
        <w:t xml:space="preserve"> cultivation in </w:t>
      </w:r>
      <w:r>
        <w:rPr>
          <w:color w:val="000000"/>
        </w:rPr>
        <w:t>maize</w:t>
      </w:r>
      <w:r w:rsidRPr="00A95137">
        <w:rPr>
          <w:color w:val="000000"/>
        </w:rPr>
        <w:t xml:space="preserve"> and soybean, and elimination of herbicide applications in the small grain and for</w:t>
      </w:r>
      <w:r w:rsidR="00802FA6">
        <w:rPr>
          <w:color w:val="000000"/>
        </w:rPr>
        <w:t>age legume crops (</w:t>
      </w:r>
      <w:r w:rsidRPr="00A95137">
        <w:rPr>
          <w:color w:val="000000"/>
        </w:rPr>
        <w:t xml:space="preserve">Table </w:t>
      </w:r>
      <w:r>
        <w:rPr>
          <w:color w:val="000000"/>
        </w:rPr>
        <w:t>S</w:t>
      </w:r>
      <w:r w:rsidRPr="00A95137">
        <w:rPr>
          <w:color w:val="000000"/>
        </w:rPr>
        <w:t>4). Insecticides were applied in all soybean plots for soybean aphid control (</w:t>
      </w:r>
      <w:r w:rsidRPr="00A95137">
        <w:rPr>
          <w:i/>
          <w:color w:val="000000"/>
        </w:rPr>
        <w:t xml:space="preserve">Aphis </w:t>
      </w:r>
      <w:proofErr w:type="spellStart"/>
      <w:r w:rsidRPr="00A95137">
        <w:rPr>
          <w:i/>
          <w:color w:val="000000"/>
        </w:rPr>
        <w:t>glycines</w:t>
      </w:r>
      <w:proofErr w:type="spellEnd"/>
      <w:r w:rsidRPr="00A95137">
        <w:rPr>
          <w:color w:val="000000"/>
        </w:rPr>
        <w:t>) in three years</w:t>
      </w:r>
      <w:r>
        <w:rPr>
          <w:color w:val="000000"/>
        </w:rPr>
        <w:t xml:space="preserve"> of the study</w:t>
      </w:r>
      <w:r w:rsidRPr="00A95137">
        <w:rPr>
          <w:color w:val="000000"/>
        </w:rPr>
        <w:t>. Lambda-</w:t>
      </w:r>
      <w:proofErr w:type="spellStart"/>
      <w:r w:rsidRPr="00A95137">
        <w:rPr>
          <w:color w:val="000000"/>
        </w:rPr>
        <w:t>cyhalothrin</w:t>
      </w:r>
      <w:proofErr w:type="spellEnd"/>
      <w:r w:rsidRPr="00A95137">
        <w:rPr>
          <w:color w:val="000000"/>
        </w:rPr>
        <w:t xml:space="preserve"> was applied at 0.035 kg active ingredient ha</w:t>
      </w:r>
      <w:r w:rsidRPr="00A95137">
        <w:rPr>
          <w:color w:val="000000"/>
          <w:vertAlign w:val="superscript"/>
        </w:rPr>
        <w:t>-1</w:t>
      </w:r>
      <w:r w:rsidRPr="00A95137">
        <w:rPr>
          <w:color w:val="000000"/>
        </w:rPr>
        <w:t xml:space="preserve"> in 2007 and at 0.029 kg </w:t>
      </w:r>
      <w:proofErr w:type="spellStart"/>
      <w:r w:rsidRPr="00A95137">
        <w:rPr>
          <w:color w:val="000000"/>
        </w:rPr>
        <w:t>ai</w:t>
      </w:r>
      <w:proofErr w:type="spellEnd"/>
      <w:r w:rsidRPr="00A95137">
        <w:rPr>
          <w:color w:val="000000"/>
        </w:rPr>
        <w:t xml:space="preserve"> ha</w:t>
      </w:r>
      <w:r w:rsidRPr="00A95137">
        <w:rPr>
          <w:color w:val="000000"/>
          <w:vertAlign w:val="superscript"/>
        </w:rPr>
        <w:t>-1</w:t>
      </w:r>
      <w:r w:rsidRPr="00A95137">
        <w:rPr>
          <w:color w:val="000000"/>
        </w:rPr>
        <w:t xml:space="preserve"> in 2008; </w:t>
      </w:r>
      <w:proofErr w:type="spellStart"/>
      <w:r w:rsidRPr="00A95137">
        <w:rPr>
          <w:color w:val="000000"/>
        </w:rPr>
        <w:t>chlorpyrifos</w:t>
      </w:r>
      <w:proofErr w:type="spellEnd"/>
      <w:r w:rsidRPr="00A95137">
        <w:rPr>
          <w:color w:val="000000"/>
        </w:rPr>
        <w:t xml:space="preserve"> was applied at 0.560 kg </w:t>
      </w:r>
      <w:proofErr w:type="spellStart"/>
      <w:r w:rsidRPr="00A95137">
        <w:rPr>
          <w:color w:val="000000"/>
        </w:rPr>
        <w:t>ai</w:t>
      </w:r>
      <w:proofErr w:type="spellEnd"/>
      <w:r w:rsidRPr="00A95137">
        <w:rPr>
          <w:color w:val="000000"/>
        </w:rPr>
        <w:t xml:space="preserve"> ha</w:t>
      </w:r>
      <w:r w:rsidRPr="00A95137">
        <w:rPr>
          <w:color w:val="000000"/>
          <w:vertAlign w:val="superscript"/>
        </w:rPr>
        <w:t>-1</w:t>
      </w:r>
      <w:r w:rsidRPr="00A95137">
        <w:rPr>
          <w:color w:val="000000"/>
        </w:rPr>
        <w:t xml:space="preserve"> in 2009.</w:t>
      </w:r>
    </w:p>
    <w:p w:rsidR="00C53FC9" w:rsidRPr="00A95137" w:rsidRDefault="00C53FC9" w:rsidP="00C53FC9">
      <w:pPr>
        <w:spacing w:line="240" w:lineRule="auto"/>
        <w:rPr>
          <w:color w:val="000000"/>
        </w:rPr>
      </w:pPr>
    </w:p>
    <w:p w:rsidR="00C53FC9" w:rsidRPr="00A95137" w:rsidRDefault="00C53FC9" w:rsidP="00C53FC9">
      <w:pPr>
        <w:spacing w:line="240" w:lineRule="auto"/>
        <w:rPr>
          <w:b/>
          <w:i/>
          <w:color w:val="000000"/>
        </w:rPr>
      </w:pPr>
      <w:r>
        <w:rPr>
          <w:b/>
          <w:i/>
          <w:color w:val="000000"/>
        </w:rPr>
        <w:t>Crop sampling</w:t>
      </w:r>
    </w:p>
    <w:p w:rsidR="00C53FC9" w:rsidRPr="00A95137" w:rsidRDefault="00C53FC9" w:rsidP="00C53FC9">
      <w:pPr>
        <w:spacing w:line="240" w:lineRule="auto"/>
        <w:rPr>
          <w:b/>
          <w:i/>
          <w:color w:val="000000"/>
        </w:rPr>
      </w:pPr>
      <w:r w:rsidRPr="00A95137">
        <w:rPr>
          <w:b/>
          <w:i/>
          <w:color w:val="000000"/>
        </w:rPr>
        <w:tab/>
      </w:r>
      <w:r w:rsidRPr="00A95137">
        <w:rPr>
          <w:color w:val="000000"/>
        </w:rPr>
        <w:t xml:space="preserve">Yields of </w:t>
      </w:r>
      <w:r>
        <w:rPr>
          <w:color w:val="000000"/>
        </w:rPr>
        <w:t>maize</w:t>
      </w:r>
      <w:r w:rsidRPr="00A95137">
        <w:rPr>
          <w:color w:val="000000"/>
        </w:rPr>
        <w:t xml:space="preserve"> and soybean were determined from sample areas of 382 to 765 m</w:t>
      </w:r>
      <w:r w:rsidRPr="00A95137">
        <w:rPr>
          <w:color w:val="000000"/>
          <w:vertAlign w:val="superscript"/>
        </w:rPr>
        <w:t>2</w:t>
      </w:r>
      <w:r w:rsidRPr="00A95137">
        <w:rPr>
          <w:color w:val="000000"/>
        </w:rPr>
        <w:t>, compromising 6 to 12 rows in the central area of each plot, using a combine harvester and a weigh wagon. Triticale and oat grain yields were determined in the same way from whole plots (1530 m</w:t>
      </w:r>
      <w:r w:rsidRPr="00A95137">
        <w:rPr>
          <w:color w:val="000000"/>
          <w:vertAlign w:val="superscript"/>
        </w:rPr>
        <w:t>2</w:t>
      </w:r>
      <w:r w:rsidRPr="00A95137">
        <w:rPr>
          <w:color w:val="000000"/>
        </w:rPr>
        <w:t>). Yields of triticale and oat straw and alfalfa hay were determined by weighing bales harvested from whole plots. After determining crop moisture concentrations, yields were adjusted to moisture levels of 155 g kg</w:t>
      </w:r>
      <w:r w:rsidRPr="00A95137">
        <w:rPr>
          <w:color w:val="000000"/>
          <w:vertAlign w:val="superscript"/>
        </w:rPr>
        <w:t>-1</w:t>
      </w:r>
      <w:r w:rsidRPr="00A95137">
        <w:rPr>
          <w:color w:val="000000"/>
        </w:rPr>
        <w:t xml:space="preserve"> for </w:t>
      </w:r>
      <w:r>
        <w:rPr>
          <w:color w:val="000000"/>
        </w:rPr>
        <w:t>maize</w:t>
      </w:r>
      <w:r w:rsidRPr="00A95137">
        <w:rPr>
          <w:color w:val="000000"/>
        </w:rPr>
        <w:t>, 130 g kg</w:t>
      </w:r>
      <w:r w:rsidRPr="00A95137">
        <w:rPr>
          <w:color w:val="000000"/>
          <w:vertAlign w:val="superscript"/>
        </w:rPr>
        <w:t>-1</w:t>
      </w:r>
      <w:r w:rsidRPr="00A95137">
        <w:rPr>
          <w:color w:val="000000"/>
        </w:rPr>
        <w:t xml:space="preserve"> for soybean, 135 g kg</w:t>
      </w:r>
      <w:r w:rsidRPr="00A95137">
        <w:rPr>
          <w:color w:val="000000"/>
          <w:vertAlign w:val="superscript"/>
        </w:rPr>
        <w:t>-1</w:t>
      </w:r>
      <w:r w:rsidRPr="00A95137">
        <w:rPr>
          <w:color w:val="000000"/>
        </w:rPr>
        <w:t xml:space="preserve"> for triticale grain, 140 g kg</w:t>
      </w:r>
      <w:r w:rsidRPr="00A95137">
        <w:rPr>
          <w:color w:val="000000"/>
          <w:vertAlign w:val="superscript"/>
        </w:rPr>
        <w:t>-1</w:t>
      </w:r>
      <w:r w:rsidRPr="00A95137">
        <w:rPr>
          <w:color w:val="000000"/>
        </w:rPr>
        <w:t xml:space="preserve"> for oat grain, 100 g kg</w:t>
      </w:r>
      <w:r w:rsidRPr="00A95137">
        <w:rPr>
          <w:color w:val="000000"/>
          <w:vertAlign w:val="superscript"/>
        </w:rPr>
        <w:t>-1</w:t>
      </w:r>
      <w:r w:rsidRPr="00A95137">
        <w:rPr>
          <w:color w:val="000000"/>
        </w:rPr>
        <w:t xml:space="preserve"> for straw, and 150 g kg</w:t>
      </w:r>
      <w:r w:rsidRPr="00A95137">
        <w:rPr>
          <w:color w:val="000000"/>
          <w:vertAlign w:val="superscript"/>
        </w:rPr>
        <w:t>-1</w:t>
      </w:r>
      <w:r w:rsidRPr="00A95137">
        <w:rPr>
          <w:color w:val="000000"/>
        </w:rPr>
        <w:t xml:space="preserve"> for alfalfa hay. </w:t>
      </w:r>
    </w:p>
    <w:p w:rsidR="00C53FC9" w:rsidRPr="00A95137" w:rsidRDefault="00C53FC9" w:rsidP="00C53FC9">
      <w:pPr>
        <w:spacing w:line="240" w:lineRule="auto"/>
        <w:ind w:firstLine="720"/>
        <w:rPr>
          <w:color w:val="000000"/>
        </w:rPr>
      </w:pPr>
    </w:p>
    <w:p w:rsidR="00C53FC9" w:rsidRPr="00A95137" w:rsidRDefault="00C53FC9" w:rsidP="00C53FC9">
      <w:pPr>
        <w:spacing w:line="240" w:lineRule="auto"/>
        <w:rPr>
          <w:b/>
          <w:i/>
          <w:color w:val="000000"/>
        </w:rPr>
      </w:pPr>
      <w:r w:rsidRPr="00A95137">
        <w:rPr>
          <w:b/>
          <w:i/>
          <w:color w:val="000000"/>
        </w:rPr>
        <w:t>Weed sampling</w:t>
      </w:r>
    </w:p>
    <w:p w:rsidR="00C53FC9" w:rsidRPr="00A95137" w:rsidRDefault="00C53FC9" w:rsidP="00C53FC9">
      <w:pPr>
        <w:spacing w:line="240" w:lineRule="auto"/>
        <w:ind w:right="-71" w:firstLine="720"/>
        <w:rPr>
          <w:color w:val="000000"/>
        </w:rPr>
      </w:pPr>
      <w:r w:rsidRPr="00A95137">
        <w:rPr>
          <w:color w:val="000000"/>
        </w:rPr>
        <w:t xml:space="preserve">Ambient weed biomass was determined in </w:t>
      </w:r>
      <w:r>
        <w:rPr>
          <w:color w:val="000000"/>
        </w:rPr>
        <w:t>maize</w:t>
      </w:r>
      <w:r w:rsidRPr="00A95137">
        <w:rPr>
          <w:color w:val="000000"/>
        </w:rPr>
        <w:t xml:space="preserve"> and soybean plots by clipping all weed shoot material from eight 3.05-m x 0.76-m sampling areas in each plot (18.5 m</w:t>
      </w:r>
      <w:r w:rsidRPr="00A95137">
        <w:rPr>
          <w:color w:val="000000"/>
          <w:vertAlign w:val="superscript"/>
        </w:rPr>
        <w:t>2</w:t>
      </w:r>
      <w:r w:rsidRPr="00A95137">
        <w:rPr>
          <w:color w:val="000000"/>
        </w:rPr>
        <w:t xml:space="preserve"> plot</w:t>
      </w:r>
      <w:r w:rsidRPr="00A95137">
        <w:rPr>
          <w:color w:val="000000"/>
          <w:vertAlign w:val="superscript"/>
        </w:rPr>
        <w:t>-1</w:t>
      </w:r>
      <w:r w:rsidRPr="00A95137">
        <w:rPr>
          <w:color w:val="000000"/>
        </w:rPr>
        <w:t>) in September or early October each year. Weed biomass in small grain stubble with red clover, small grain stubble with alfalfa, and second year alfalfa was determined by clipping all weed shoot material in eight 0.25-m</w:t>
      </w:r>
      <w:r w:rsidRPr="00A95137">
        <w:rPr>
          <w:color w:val="000000"/>
          <w:vertAlign w:val="superscript"/>
        </w:rPr>
        <w:t>2</w:t>
      </w:r>
      <w:r w:rsidRPr="00A95137">
        <w:rPr>
          <w:color w:val="000000"/>
        </w:rPr>
        <w:t xml:space="preserve"> quadrats in each plot </w:t>
      </w:r>
      <w:r w:rsidRPr="00A95137">
        <w:rPr>
          <w:color w:val="000000"/>
        </w:rPr>
        <w:lastRenderedPageBreak/>
        <w:t>(2.0 m</w:t>
      </w:r>
      <w:r w:rsidRPr="00A95137">
        <w:rPr>
          <w:color w:val="000000"/>
          <w:vertAlign w:val="superscript"/>
        </w:rPr>
        <w:t>2</w:t>
      </w:r>
      <w:r w:rsidRPr="00A95137">
        <w:rPr>
          <w:color w:val="000000"/>
        </w:rPr>
        <w:t xml:space="preserve"> plot</w:t>
      </w:r>
      <w:r w:rsidRPr="00A95137">
        <w:rPr>
          <w:color w:val="000000"/>
          <w:vertAlign w:val="superscript"/>
        </w:rPr>
        <w:t>-1</w:t>
      </w:r>
      <w:r w:rsidRPr="00A95137">
        <w:rPr>
          <w:color w:val="000000"/>
        </w:rPr>
        <w:t xml:space="preserve">) in September or early October, and then drying and weighing the samples. </w:t>
      </w:r>
    </w:p>
    <w:p w:rsidR="00C53FC9" w:rsidRDefault="00C53FC9" w:rsidP="007F5230">
      <w:pPr>
        <w:spacing w:line="240" w:lineRule="auto"/>
        <w:ind w:firstLine="720"/>
        <w:rPr>
          <w:color w:val="000000"/>
        </w:rPr>
      </w:pPr>
      <w:r w:rsidRPr="00A95137">
        <w:rPr>
          <w:color w:val="000000"/>
        </w:rPr>
        <w:t>To study weed seed bank dynamics, we collected 20 32-mm-diameter soil cores to a depth of 20 cm from each plot in October of each year. These cores were composited by plot and a 640-cm</w:t>
      </w:r>
      <w:r w:rsidRPr="00A95137">
        <w:rPr>
          <w:color w:val="000000"/>
          <w:vertAlign w:val="superscript"/>
        </w:rPr>
        <w:t>3</w:t>
      </w:r>
      <w:r w:rsidRPr="00A95137">
        <w:rPr>
          <w:color w:val="000000"/>
        </w:rPr>
        <w:t xml:space="preserve"> subsample was drawn from each sample and washed in an elutriator to separate weed seeds from soil </w:t>
      </w:r>
      <w:r>
        <w:rPr>
          <w:color w:val="000000"/>
        </w:rPr>
        <w:t>(2)</w:t>
      </w:r>
      <w:r w:rsidRPr="00A95137">
        <w:rPr>
          <w:color w:val="000000"/>
        </w:rPr>
        <w:t xml:space="preserve">. Weed seeds were enumerated by species and analyzed for viability using direct germination and </w:t>
      </w:r>
      <w:proofErr w:type="spellStart"/>
      <w:r w:rsidRPr="00A95137">
        <w:rPr>
          <w:color w:val="000000"/>
        </w:rPr>
        <w:t>tetrazolium</w:t>
      </w:r>
      <w:proofErr w:type="spellEnd"/>
      <w:r w:rsidRPr="00A95137">
        <w:rPr>
          <w:color w:val="000000"/>
        </w:rPr>
        <w:t xml:space="preserve"> tests </w:t>
      </w:r>
      <w:r>
        <w:rPr>
          <w:bCs/>
        </w:rPr>
        <w:t>(3)</w:t>
      </w:r>
      <w:r w:rsidRPr="00A95137">
        <w:rPr>
          <w:color w:val="000000"/>
        </w:rPr>
        <w:t xml:space="preserve">. </w:t>
      </w:r>
    </w:p>
    <w:p w:rsidR="00C53FC9" w:rsidRPr="00A95137" w:rsidRDefault="00C53FC9" w:rsidP="00C53FC9">
      <w:pPr>
        <w:spacing w:line="240" w:lineRule="auto"/>
        <w:ind w:firstLine="720"/>
        <w:rPr>
          <w:color w:val="000000"/>
        </w:rPr>
      </w:pPr>
    </w:p>
    <w:p w:rsidR="00C53FC9" w:rsidRPr="00A95137" w:rsidRDefault="00C53FC9" w:rsidP="00C53FC9">
      <w:pPr>
        <w:spacing w:line="240" w:lineRule="auto"/>
        <w:rPr>
          <w:b/>
          <w:bCs/>
          <w:i/>
          <w:color w:val="000000"/>
        </w:rPr>
      </w:pPr>
      <w:r w:rsidRPr="00A95137">
        <w:rPr>
          <w:b/>
          <w:bCs/>
          <w:i/>
          <w:color w:val="000000"/>
        </w:rPr>
        <w:t>Energy use</w:t>
      </w:r>
    </w:p>
    <w:p w:rsidR="00C53FC9" w:rsidRPr="00A95137" w:rsidRDefault="00C53FC9" w:rsidP="00C53FC9">
      <w:pPr>
        <w:spacing w:line="240" w:lineRule="auto"/>
      </w:pPr>
      <w:r w:rsidRPr="00A95137">
        <w:tab/>
        <w:t xml:space="preserve">Energy inputs were divided into five categories: seed, fertilizer, pesticides, fuel for field operations, and propane and electricity used for drying </w:t>
      </w:r>
      <w:r>
        <w:t>maize</w:t>
      </w:r>
      <w:r w:rsidRPr="00A95137">
        <w:t xml:space="preserve"> grain after harvest. Data were obtained from logs describing all field operations, material inputs, and crop moisture characteristics for the experimental plots during the study period. </w:t>
      </w:r>
    </w:p>
    <w:p w:rsidR="00C53FC9" w:rsidRPr="00A95137" w:rsidRDefault="00C53FC9" w:rsidP="00C53FC9">
      <w:pPr>
        <w:spacing w:line="240" w:lineRule="auto"/>
      </w:pPr>
      <w:r w:rsidRPr="00A95137">
        <w:tab/>
        <w:t xml:space="preserve">There is limited information on fossil energy consumption in the production of seeds used for planting. For seeds of hybrid </w:t>
      </w:r>
      <w:r>
        <w:t>maize</w:t>
      </w:r>
      <w:r w:rsidRPr="00A95137">
        <w:t xml:space="preserve">, we used the value reported by </w:t>
      </w:r>
      <w:proofErr w:type="spellStart"/>
      <w:r w:rsidRPr="00A95137">
        <w:t>Graboski</w:t>
      </w:r>
      <w:proofErr w:type="spellEnd"/>
      <w:r w:rsidRPr="00A95137">
        <w:t xml:space="preserve"> </w:t>
      </w:r>
      <w:r w:rsidRPr="007F5230">
        <w:t>(2002)</w:t>
      </w:r>
      <w:r>
        <w:t xml:space="preserve"> (3)</w:t>
      </w:r>
      <w:r w:rsidRPr="00A95137">
        <w:t xml:space="preserve"> </w:t>
      </w:r>
      <w:proofErr w:type="gramStart"/>
      <w:r w:rsidRPr="00A95137">
        <w:t>(10.0 MJ kg</w:t>
      </w:r>
      <w:r w:rsidRPr="00A95137">
        <w:rPr>
          <w:vertAlign w:val="superscript"/>
        </w:rPr>
        <w:t>-1</w:t>
      </w:r>
      <w:r w:rsidRPr="00A95137">
        <w:t>)</w:t>
      </w:r>
      <w:proofErr w:type="gramEnd"/>
      <w:r w:rsidRPr="00A95137">
        <w:t>. For seeds of all other crops in our study (soybean, triticale, oat, red clover, and alfalfa), we used the v</w:t>
      </w:r>
      <w:r>
        <w:t xml:space="preserve">alue reported by Sheehan et al. (4) </w:t>
      </w:r>
      <w:r w:rsidRPr="00A95137">
        <w:t>for soybean (4.7 MJ kg</w:t>
      </w:r>
      <w:r w:rsidRPr="00A95137">
        <w:rPr>
          <w:vertAlign w:val="superscript"/>
        </w:rPr>
        <w:t>-1</w:t>
      </w:r>
      <w:r w:rsidRPr="00A95137">
        <w:t>).</w:t>
      </w:r>
    </w:p>
    <w:p w:rsidR="00C53FC9" w:rsidRPr="00A95137" w:rsidRDefault="00C53FC9" w:rsidP="00C53FC9">
      <w:pPr>
        <w:spacing w:line="240" w:lineRule="auto"/>
      </w:pPr>
      <w:r w:rsidRPr="00A95137">
        <w:tab/>
        <w:t xml:space="preserve">Energy costs of manufactured fertilizers were evaluated on the basis of the mass of the elements applied </w:t>
      </w:r>
      <w:r>
        <w:t xml:space="preserve">using data from </w:t>
      </w:r>
      <w:proofErr w:type="spellStart"/>
      <w:r>
        <w:t>Shapouri</w:t>
      </w:r>
      <w:proofErr w:type="spellEnd"/>
      <w:r>
        <w:t xml:space="preserve"> et al. (5)</w:t>
      </w:r>
      <w:r w:rsidRPr="00A95137">
        <w:t xml:space="preserve"> (N: 56.9 MJ kg</w:t>
      </w:r>
      <w:r w:rsidRPr="00A95137">
        <w:rPr>
          <w:vertAlign w:val="superscript"/>
        </w:rPr>
        <w:t>-1</w:t>
      </w:r>
      <w:r w:rsidRPr="00A95137">
        <w:t>; P: 9.3 MJ kg</w:t>
      </w:r>
      <w:r w:rsidRPr="00A95137">
        <w:rPr>
          <w:vertAlign w:val="superscript"/>
        </w:rPr>
        <w:t>-1</w:t>
      </w:r>
      <w:r w:rsidRPr="00A95137">
        <w:t xml:space="preserve">; K: </w:t>
      </w:r>
      <w:r>
        <w:t>7.0</w:t>
      </w:r>
      <w:r w:rsidRPr="00A95137">
        <w:t xml:space="preserve"> MJ kg</w:t>
      </w:r>
      <w:r w:rsidRPr="00A95137">
        <w:rPr>
          <w:vertAlign w:val="superscript"/>
        </w:rPr>
        <w:t>-1</w:t>
      </w:r>
      <w:r w:rsidRPr="00A95137">
        <w:t xml:space="preserve">). Energy costs for herbicides and insecticides were evaluated on the basis of the mass of active ingredients applied and their formulation as commercial products </w:t>
      </w:r>
      <w:r>
        <w:t xml:space="preserve">using data from </w:t>
      </w:r>
      <w:proofErr w:type="spellStart"/>
      <w:r>
        <w:t>Bhat</w:t>
      </w:r>
      <w:proofErr w:type="spellEnd"/>
      <w:r>
        <w:t xml:space="preserve"> et al. </w:t>
      </w:r>
      <w:r w:rsidRPr="007F5230">
        <w:t>1994</w:t>
      </w:r>
      <w:r>
        <w:t xml:space="preserve"> (6)</w:t>
      </w:r>
      <w:r w:rsidRPr="00A95137">
        <w:t xml:space="preserve"> (herbicides: 23</w:t>
      </w:r>
      <w:r>
        <w:t>5</w:t>
      </w:r>
      <w:r w:rsidRPr="00A95137">
        <w:t xml:space="preserve"> MJ kg</w:t>
      </w:r>
      <w:r w:rsidRPr="00A95137">
        <w:rPr>
          <w:vertAlign w:val="superscript"/>
        </w:rPr>
        <w:t>-1</w:t>
      </w:r>
      <w:r w:rsidRPr="00A95137">
        <w:t>; insecticides: 26</w:t>
      </w:r>
      <w:r>
        <w:t>5</w:t>
      </w:r>
      <w:r w:rsidRPr="00A95137">
        <w:t xml:space="preserve"> MJ kg</w:t>
      </w:r>
      <w:r w:rsidRPr="00A95137">
        <w:rPr>
          <w:vertAlign w:val="superscript"/>
        </w:rPr>
        <w:t>-1</w:t>
      </w:r>
      <w:r w:rsidRPr="00A95137">
        <w:t>). Values for diesel fuel consumed during field operations were obtained from H</w:t>
      </w:r>
      <w:r>
        <w:t>anna (7)</w:t>
      </w:r>
      <w:r w:rsidRPr="00A95137">
        <w:t>; for operations not specifically listed, the closest equivalent was used as a substitute. The energy content of diesel fuel was assumed to be 42.5 MJ L</w:t>
      </w:r>
      <w:r w:rsidRPr="00A95137">
        <w:rPr>
          <w:vertAlign w:val="superscript"/>
        </w:rPr>
        <w:t>-1</w:t>
      </w:r>
      <w:r w:rsidRPr="00A95137">
        <w:t xml:space="preserve"> </w:t>
      </w:r>
      <w:r>
        <w:t>(5)</w:t>
      </w:r>
      <w:r w:rsidRPr="00A95137">
        <w:t>.</w:t>
      </w:r>
    </w:p>
    <w:p w:rsidR="00C53FC9" w:rsidRPr="00A95137" w:rsidRDefault="00C53FC9" w:rsidP="00C53FC9">
      <w:pPr>
        <w:spacing w:line="240" w:lineRule="auto"/>
      </w:pPr>
      <w:r w:rsidRPr="00A95137">
        <w:tab/>
      </w:r>
      <w:r>
        <w:t>Maize</w:t>
      </w:r>
      <w:r w:rsidRPr="00A95137">
        <w:t xml:space="preserve"> grain is often harvested at a moisture content that exceeds that which is desirable for storage of the grain. Consequently, energy in the forms of propane and electricity is used to dry it. We assumed an energy cost for grain drying of 67.2 MJ Mg</w:t>
      </w:r>
      <w:r w:rsidRPr="00A95137">
        <w:rPr>
          <w:vertAlign w:val="superscript"/>
        </w:rPr>
        <w:t>-1</w:t>
      </w:r>
      <w:r w:rsidRPr="00A95137">
        <w:t xml:space="preserve"> for each perce</w:t>
      </w:r>
      <w:r>
        <w:t>ntage point of moisture removed (8)</w:t>
      </w:r>
      <w:r w:rsidRPr="00A95137">
        <w:t xml:space="preserve">. The necessary reduction in moisture was calculated as the difference between the moisture content of grain harvested from the field plots and the target moisture content of 15.5%. </w:t>
      </w:r>
      <w:r>
        <w:t>Maize</w:t>
      </w:r>
      <w:r w:rsidRPr="00A95137">
        <w:t xml:space="preserve"> harvested below 15.5% moisture content was assumed to not require artificial drying. </w:t>
      </w:r>
    </w:p>
    <w:p w:rsidR="00C53FC9" w:rsidRPr="00A95137" w:rsidRDefault="00C53FC9" w:rsidP="00C53FC9">
      <w:pPr>
        <w:spacing w:line="240" w:lineRule="auto"/>
      </w:pPr>
    </w:p>
    <w:p w:rsidR="00C53FC9" w:rsidRPr="00A95137" w:rsidRDefault="00C53FC9" w:rsidP="00C53FC9">
      <w:pPr>
        <w:spacing w:line="240" w:lineRule="auto"/>
        <w:rPr>
          <w:b/>
          <w:bCs/>
          <w:i/>
          <w:color w:val="000000"/>
        </w:rPr>
      </w:pPr>
      <w:r w:rsidRPr="00A95137">
        <w:rPr>
          <w:b/>
          <w:bCs/>
          <w:i/>
          <w:color w:val="000000"/>
        </w:rPr>
        <w:t>Economic analyses</w:t>
      </w:r>
    </w:p>
    <w:p w:rsidR="00C53FC9" w:rsidRPr="00A95137" w:rsidRDefault="00C53FC9" w:rsidP="00C53FC9">
      <w:pPr>
        <w:spacing w:line="240" w:lineRule="auto"/>
        <w:rPr>
          <w:bCs/>
          <w:color w:val="000000"/>
        </w:rPr>
      </w:pPr>
      <w:r w:rsidRPr="00A95137">
        <w:rPr>
          <w:bCs/>
          <w:color w:val="000000"/>
        </w:rPr>
        <w:tab/>
        <w:t xml:space="preserve">Labor requirements, costs, and returns for the different rotation systems were assessed using data from several sources. Labor times for machinery operations were based on values </w:t>
      </w:r>
      <w:r>
        <w:rPr>
          <w:bCs/>
          <w:color w:val="000000"/>
        </w:rPr>
        <w:t>reported</w:t>
      </w:r>
      <w:r w:rsidRPr="00A95137">
        <w:rPr>
          <w:bCs/>
          <w:color w:val="000000"/>
        </w:rPr>
        <w:t xml:space="preserve"> </w:t>
      </w:r>
      <w:r>
        <w:rPr>
          <w:bCs/>
          <w:color w:val="000000"/>
        </w:rPr>
        <w:t>by Hanna (9)</w:t>
      </w:r>
      <w:r w:rsidRPr="00A95137">
        <w:rPr>
          <w:bCs/>
          <w:color w:val="000000"/>
        </w:rPr>
        <w:t xml:space="preserve"> and costs for labor and machinery wear and maintenance were assigned based on data from</w:t>
      </w:r>
      <w:r>
        <w:rPr>
          <w:bCs/>
          <w:color w:val="000000"/>
        </w:rPr>
        <w:t xml:space="preserve"> Duffy (10)</w:t>
      </w:r>
      <w:r w:rsidRPr="00A95137">
        <w:rPr>
          <w:bCs/>
          <w:color w:val="000000"/>
        </w:rPr>
        <w:t xml:space="preserve">. Costs for </w:t>
      </w:r>
      <w:r>
        <w:rPr>
          <w:bCs/>
          <w:color w:val="000000"/>
        </w:rPr>
        <w:t xml:space="preserve">manufactured </w:t>
      </w:r>
      <w:r w:rsidRPr="00A95137">
        <w:rPr>
          <w:bCs/>
          <w:color w:val="000000"/>
        </w:rPr>
        <w:t xml:space="preserve">fertilizers, seeds, pesticides, interest on loans, crop insurance, and miscellaneous items were </w:t>
      </w:r>
      <w:r>
        <w:rPr>
          <w:bCs/>
          <w:color w:val="000000"/>
        </w:rPr>
        <w:t>estimated using data from Duffy (10)</w:t>
      </w:r>
      <w:r w:rsidRPr="00A95137">
        <w:rPr>
          <w:bCs/>
          <w:color w:val="000000"/>
        </w:rPr>
        <w:t xml:space="preserve"> and local agricultural dealers. We </w:t>
      </w:r>
      <w:r w:rsidRPr="00A95137">
        <w:rPr>
          <w:bCs/>
          <w:color w:val="000000"/>
        </w:rPr>
        <w:lastRenderedPageBreak/>
        <w:t xml:space="preserve">assumed manure was generated by on-farm livestock and therefore without cost for the material, but with labor and machinery costs for spreading based on data from </w:t>
      </w:r>
      <w:r>
        <w:rPr>
          <w:bCs/>
          <w:color w:val="000000"/>
        </w:rPr>
        <w:t>(8)</w:t>
      </w:r>
      <w:r w:rsidRPr="00A95137">
        <w:rPr>
          <w:bCs/>
          <w:color w:val="000000"/>
          <w:vertAlign w:val="superscript"/>
        </w:rPr>
        <w:t xml:space="preserve"> </w:t>
      </w:r>
      <w:r w:rsidRPr="00A95137">
        <w:rPr>
          <w:bCs/>
          <w:color w:val="000000"/>
        </w:rPr>
        <w:t xml:space="preserve">and </w:t>
      </w:r>
      <w:r>
        <w:rPr>
          <w:bCs/>
          <w:color w:val="000000"/>
        </w:rPr>
        <w:t>(9</w:t>
      </w:r>
      <w:r w:rsidRPr="00A95137">
        <w:rPr>
          <w:bCs/>
          <w:color w:val="000000"/>
        </w:rPr>
        <w:t>). Iowa market year crop prices were obtained from the USDA National Agricultural Statistics Service</w:t>
      </w:r>
      <w:r>
        <w:rPr>
          <w:bCs/>
          <w:color w:val="000000"/>
        </w:rPr>
        <w:t xml:space="preserve"> (11)</w:t>
      </w:r>
      <w:r w:rsidRPr="00A95137">
        <w:rPr>
          <w:bCs/>
          <w:color w:val="000000"/>
        </w:rPr>
        <w:t xml:space="preserve">, and gross revenue was calculated for each plot in each year as the product of crop price and yield. </w:t>
      </w:r>
    </w:p>
    <w:p w:rsidR="00C53FC9" w:rsidRPr="00A95137" w:rsidRDefault="00C53FC9" w:rsidP="00C53FC9">
      <w:pPr>
        <w:spacing w:line="240" w:lineRule="auto"/>
        <w:rPr>
          <w:bCs/>
          <w:color w:val="000000"/>
        </w:rPr>
      </w:pPr>
      <w:r w:rsidRPr="00A95137">
        <w:rPr>
          <w:bCs/>
          <w:color w:val="000000"/>
        </w:rPr>
        <w:tab/>
        <w:t xml:space="preserve">We placed primary emphasis on determining the economic performance characteristics of whole rotation systems under contrasting management strategies, rather than the economic performance of individual crop phases within the different rotations. Consequently, we evaluated net returns to land and management on a unit land area basis, with land units divided in two equal portions for </w:t>
      </w:r>
      <w:r>
        <w:rPr>
          <w:bCs/>
          <w:color w:val="000000"/>
        </w:rPr>
        <w:t>maize</w:t>
      </w:r>
      <w:r w:rsidRPr="00A95137">
        <w:rPr>
          <w:bCs/>
          <w:color w:val="000000"/>
        </w:rPr>
        <w:t xml:space="preserve"> and soybean in the 2-</w:t>
      </w:r>
      <w:r>
        <w:rPr>
          <w:bCs/>
          <w:color w:val="000000"/>
        </w:rPr>
        <w:t>yr</w:t>
      </w:r>
      <w:r w:rsidRPr="00A95137">
        <w:rPr>
          <w:bCs/>
          <w:color w:val="000000"/>
        </w:rPr>
        <w:t xml:space="preserve"> rotation; three equal portions for </w:t>
      </w:r>
      <w:r>
        <w:rPr>
          <w:bCs/>
          <w:color w:val="000000"/>
        </w:rPr>
        <w:t>maize</w:t>
      </w:r>
      <w:r w:rsidRPr="00A95137">
        <w:rPr>
          <w:bCs/>
          <w:color w:val="000000"/>
        </w:rPr>
        <w:t>, soybean, and small grains with red clover in the 3-</w:t>
      </w:r>
      <w:r>
        <w:rPr>
          <w:bCs/>
          <w:color w:val="000000"/>
        </w:rPr>
        <w:t>yr</w:t>
      </w:r>
      <w:r w:rsidRPr="00A95137">
        <w:rPr>
          <w:bCs/>
          <w:color w:val="000000"/>
        </w:rPr>
        <w:t xml:space="preserve"> rotation; and four equal portions for </w:t>
      </w:r>
      <w:r>
        <w:rPr>
          <w:bCs/>
          <w:color w:val="000000"/>
        </w:rPr>
        <w:t>maize</w:t>
      </w:r>
      <w:r w:rsidRPr="00A95137">
        <w:rPr>
          <w:bCs/>
          <w:color w:val="000000"/>
        </w:rPr>
        <w:t>, soybean, small grains with alfalfa, and alfalfa in the 4-</w:t>
      </w:r>
      <w:r>
        <w:rPr>
          <w:bCs/>
          <w:color w:val="000000"/>
        </w:rPr>
        <w:t>yr</w:t>
      </w:r>
      <w:r w:rsidRPr="00A95137">
        <w:rPr>
          <w:bCs/>
          <w:color w:val="000000"/>
        </w:rPr>
        <w:t xml:space="preserve"> rotation. Net returns to land and management represented returns to a farm operation calculated without accounting for costs of land (e.g., rent or mortgage payments), management time (e.g., marketing), or possible federal subsidies. </w:t>
      </w:r>
      <w:r w:rsidRPr="00A95137">
        <w:rPr>
          <w:bCs/>
          <w:color w:val="000000"/>
        </w:rPr>
        <w:br w:type="page"/>
      </w:r>
    </w:p>
    <w:p w:rsidR="00C53FC9" w:rsidRPr="00A95137" w:rsidRDefault="00C53FC9" w:rsidP="00C53FC9">
      <w:pPr>
        <w:spacing w:line="240" w:lineRule="auto"/>
        <w:rPr>
          <w:bCs/>
          <w:color w:val="000000"/>
        </w:rPr>
      </w:pPr>
      <w:r w:rsidRPr="00A95137">
        <w:rPr>
          <w:b/>
          <w:i/>
        </w:rPr>
        <w:lastRenderedPageBreak/>
        <w:t>References</w:t>
      </w:r>
      <w:r w:rsidR="007F5230">
        <w:rPr>
          <w:b/>
          <w:i/>
        </w:rPr>
        <w:t xml:space="preserve"> for SI</w:t>
      </w:r>
    </w:p>
    <w:p w:rsidR="00C53FC9" w:rsidRPr="00A95137" w:rsidRDefault="00C53FC9" w:rsidP="00C53FC9">
      <w:pPr>
        <w:tabs>
          <w:tab w:val="left" w:pos="720"/>
        </w:tabs>
        <w:spacing w:line="240" w:lineRule="auto"/>
        <w:ind w:left="720" w:hanging="720"/>
        <w:rPr>
          <w:color w:val="000000"/>
        </w:rPr>
      </w:pPr>
      <w:r>
        <w:rPr>
          <w:color w:val="000000"/>
        </w:rPr>
        <w:t xml:space="preserve">1. </w:t>
      </w:r>
      <w:r>
        <w:rPr>
          <w:color w:val="000000"/>
        </w:rPr>
        <w:tab/>
      </w:r>
      <w:proofErr w:type="spellStart"/>
      <w:r w:rsidRPr="00A95137">
        <w:rPr>
          <w:color w:val="000000"/>
        </w:rPr>
        <w:t>Blackmer</w:t>
      </w:r>
      <w:proofErr w:type="spellEnd"/>
      <w:r w:rsidRPr="00A95137">
        <w:rPr>
          <w:color w:val="000000"/>
        </w:rPr>
        <w:t xml:space="preserve">, A.M., R.D. Voss, and A.P. </w:t>
      </w:r>
      <w:proofErr w:type="spellStart"/>
      <w:r w:rsidRPr="00A95137">
        <w:rPr>
          <w:color w:val="000000"/>
        </w:rPr>
        <w:t>Mallarino</w:t>
      </w:r>
      <w:proofErr w:type="spellEnd"/>
      <w:r w:rsidRPr="00A95137">
        <w:rPr>
          <w:color w:val="000000"/>
        </w:rPr>
        <w:t xml:space="preserve">. 1997. Nitrogen fertilizer recommendations for corn in Iowa. </w:t>
      </w:r>
      <w:proofErr w:type="gramStart"/>
      <w:r w:rsidRPr="00A95137">
        <w:rPr>
          <w:color w:val="000000"/>
        </w:rPr>
        <w:t>PM-1714.</w:t>
      </w:r>
      <w:proofErr w:type="gramEnd"/>
      <w:r w:rsidRPr="00A95137">
        <w:rPr>
          <w:color w:val="000000"/>
        </w:rPr>
        <w:t xml:space="preserve"> </w:t>
      </w:r>
      <w:proofErr w:type="gramStart"/>
      <w:r w:rsidR="007F5230">
        <w:rPr>
          <w:color w:val="000000"/>
        </w:rPr>
        <w:t>(</w:t>
      </w:r>
      <w:r w:rsidRPr="00A95137">
        <w:rPr>
          <w:color w:val="000000"/>
        </w:rPr>
        <w:t>Iowa State University Extension and Outreach, Ames, IA.</w:t>
      </w:r>
      <w:r w:rsidR="007F5230">
        <w:rPr>
          <w:color w:val="000000"/>
        </w:rPr>
        <w:t>)</w:t>
      </w:r>
      <w:proofErr w:type="gramEnd"/>
      <w:r w:rsidRPr="00A95137">
        <w:rPr>
          <w:color w:val="000000"/>
        </w:rPr>
        <w:t xml:space="preserve"> On-line at: </w:t>
      </w:r>
      <w:r w:rsidRPr="00D21353">
        <w:rPr>
          <w:color w:val="000000"/>
        </w:rPr>
        <w:t>http://www.extension.iastate.edu/</w:t>
      </w:r>
      <w:r>
        <w:rPr>
          <w:color w:val="000000"/>
        </w:rPr>
        <w:t xml:space="preserve"> </w:t>
      </w:r>
      <w:r w:rsidRPr="00A95137">
        <w:rPr>
          <w:color w:val="000000"/>
        </w:rPr>
        <w:t>Publications/PM1714.pdf.</w:t>
      </w:r>
      <w:r>
        <w:rPr>
          <w:color w:val="000000"/>
        </w:rPr>
        <w:t xml:space="preserve"> </w:t>
      </w:r>
      <w:proofErr w:type="gramStart"/>
      <w:r>
        <w:rPr>
          <w:color w:val="000000"/>
        </w:rPr>
        <w:t>Last accessed on May 17, 2012.</w:t>
      </w:r>
      <w:proofErr w:type="gramEnd"/>
    </w:p>
    <w:p w:rsidR="00C53FC9" w:rsidRPr="00A95137" w:rsidRDefault="00C53FC9" w:rsidP="00C53FC9">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hanging="720"/>
      </w:pPr>
      <w:r>
        <w:t xml:space="preserve">2. </w:t>
      </w:r>
      <w:r>
        <w:tab/>
      </w:r>
      <w:r w:rsidRPr="00A95137">
        <w:t xml:space="preserve">Wiles, L.J., D.H. </w:t>
      </w:r>
      <w:proofErr w:type="spellStart"/>
      <w:r w:rsidRPr="00A95137">
        <w:t>Barlin</w:t>
      </w:r>
      <w:proofErr w:type="spellEnd"/>
      <w:r w:rsidRPr="00A95137">
        <w:t xml:space="preserve">, E.E. Schweitzer, H.R. Duke, and D.E. Whitt. 1996. A new soil sampler and elutriator for collecting and extracting weed </w:t>
      </w:r>
      <w:r w:rsidR="007F5230">
        <w:t xml:space="preserve">seeds from soil. </w:t>
      </w:r>
      <w:r w:rsidR="007F5230" w:rsidRPr="007F5230">
        <w:rPr>
          <w:i/>
        </w:rPr>
        <w:t>Weed Tech</w:t>
      </w:r>
      <w:r w:rsidR="007F5230">
        <w:t xml:space="preserve"> 10:</w:t>
      </w:r>
      <w:r w:rsidRPr="00A95137">
        <w:t>35-41.</w:t>
      </w:r>
    </w:p>
    <w:p w:rsidR="00C53FC9" w:rsidRPr="00A95137" w:rsidRDefault="00C53FC9" w:rsidP="00C53FC9">
      <w:pPr>
        <w:tabs>
          <w:tab w:val="left" w:pos="720"/>
        </w:tabs>
        <w:spacing w:line="240" w:lineRule="auto"/>
        <w:ind w:left="720" w:hanging="720"/>
        <w:rPr>
          <w:color w:val="000000"/>
        </w:rPr>
      </w:pPr>
      <w:r>
        <w:rPr>
          <w:color w:val="000000"/>
        </w:rPr>
        <w:t xml:space="preserve">3. </w:t>
      </w:r>
      <w:r>
        <w:rPr>
          <w:color w:val="000000"/>
        </w:rPr>
        <w:tab/>
      </w:r>
      <w:proofErr w:type="spellStart"/>
      <w:r w:rsidRPr="00A95137">
        <w:rPr>
          <w:color w:val="000000"/>
        </w:rPr>
        <w:t>Graboski</w:t>
      </w:r>
      <w:proofErr w:type="spellEnd"/>
      <w:r w:rsidRPr="00A95137">
        <w:rPr>
          <w:color w:val="000000"/>
        </w:rPr>
        <w:t xml:space="preserve">, M.S. 2002. </w:t>
      </w:r>
      <w:proofErr w:type="gramStart"/>
      <w:r w:rsidRPr="00A95137">
        <w:rPr>
          <w:color w:val="000000"/>
        </w:rPr>
        <w:t>Fossil energy use in the manufacture of corn ethanol.</w:t>
      </w:r>
      <w:proofErr w:type="gramEnd"/>
      <w:r w:rsidRPr="00A95137">
        <w:rPr>
          <w:color w:val="000000"/>
        </w:rPr>
        <w:t xml:space="preserve"> National Corn Growers Association, St. Louis, MO. On-line at: </w:t>
      </w:r>
      <w:r w:rsidRPr="00D21353">
        <w:rPr>
          <w:color w:val="000000"/>
        </w:rPr>
        <w:t>http://www.oregon.gov/ENERGY/RENEW/Biomass/docs/FORUM/FossilEnergyUse.pdf?ga=t</w:t>
      </w:r>
      <w:r w:rsidRPr="00A95137">
        <w:rPr>
          <w:color w:val="000000"/>
        </w:rPr>
        <w:t>.</w:t>
      </w:r>
      <w:r>
        <w:rPr>
          <w:color w:val="000000"/>
        </w:rPr>
        <w:t xml:space="preserve"> </w:t>
      </w:r>
      <w:proofErr w:type="gramStart"/>
      <w:r>
        <w:rPr>
          <w:color w:val="000000"/>
        </w:rPr>
        <w:t>Last accessed on May 17, 2012.</w:t>
      </w:r>
      <w:proofErr w:type="gramEnd"/>
      <w:r>
        <w:rPr>
          <w:color w:val="000000"/>
        </w:rPr>
        <w:t xml:space="preserve"> </w:t>
      </w:r>
    </w:p>
    <w:p w:rsidR="00C53FC9" w:rsidRPr="00A95137" w:rsidRDefault="00C53FC9" w:rsidP="00C53FC9">
      <w:pPr>
        <w:tabs>
          <w:tab w:val="left" w:pos="720"/>
        </w:tabs>
        <w:spacing w:line="240" w:lineRule="auto"/>
        <w:ind w:left="720" w:hanging="720"/>
        <w:rPr>
          <w:bCs/>
        </w:rPr>
      </w:pPr>
      <w:r>
        <w:rPr>
          <w:bCs/>
        </w:rPr>
        <w:t xml:space="preserve">4. </w:t>
      </w:r>
      <w:r>
        <w:rPr>
          <w:bCs/>
        </w:rPr>
        <w:tab/>
      </w:r>
      <w:r w:rsidRPr="00A95137">
        <w:rPr>
          <w:bCs/>
        </w:rPr>
        <w:t>International Seed Testing Association. 1985. International rule</w:t>
      </w:r>
      <w:r w:rsidR="007F5230">
        <w:rPr>
          <w:bCs/>
        </w:rPr>
        <w:t xml:space="preserve">s for seed testing. </w:t>
      </w:r>
      <w:r w:rsidR="007F5230" w:rsidRPr="007F5230">
        <w:rPr>
          <w:bCs/>
          <w:i/>
        </w:rPr>
        <w:t xml:space="preserve">Seed </w:t>
      </w:r>
      <w:proofErr w:type="spellStart"/>
      <w:r w:rsidR="007F5230" w:rsidRPr="007F5230">
        <w:rPr>
          <w:bCs/>
          <w:i/>
        </w:rPr>
        <w:t>Sci</w:t>
      </w:r>
      <w:proofErr w:type="spellEnd"/>
      <w:r w:rsidR="007F5230" w:rsidRPr="007F5230">
        <w:rPr>
          <w:bCs/>
          <w:i/>
        </w:rPr>
        <w:t xml:space="preserve"> Tech</w:t>
      </w:r>
      <w:r w:rsidR="007F5230">
        <w:rPr>
          <w:bCs/>
        </w:rPr>
        <w:t xml:space="preserve"> 13:</w:t>
      </w:r>
      <w:r w:rsidRPr="00A95137">
        <w:rPr>
          <w:bCs/>
        </w:rPr>
        <w:t>300–520.</w:t>
      </w:r>
    </w:p>
    <w:p w:rsidR="00C53FC9" w:rsidRPr="00D21353" w:rsidRDefault="00C53FC9" w:rsidP="00C53FC9">
      <w:pPr>
        <w:tabs>
          <w:tab w:val="left" w:pos="720"/>
        </w:tabs>
        <w:spacing w:line="240" w:lineRule="auto"/>
        <w:ind w:left="720" w:hanging="720"/>
      </w:pPr>
      <w:r>
        <w:rPr>
          <w:color w:val="000000"/>
        </w:rPr>
        <w:t xml:space="preserve">5. </w:t>
      </w:r>
      <w:r>
        <w:rPr>
          <w:color w:val="000000"/>
        </w:rPr>
        <w:tab/>
      </w:r>
      <w:r w:rsidRPr="00A95137">
        <w:rPr>
          <w:color w:val="000000"/>
        </w:rPr>
        <w:t xml:space="preserve">Sheehan, J., </w:t>
      </w:r>
      <w:proofErr w:type="spellStart"/>
      <w:r w:rsidRPr="00A95137">
        <w:rPr>
          <w:color w:val="000000"/>
        </w:rPr>
        <w:t>Camobreco</w:t>
      </w:r>
      <w:proofErr w:type="spellEnd"/>
      <w:r w:rsidRPr="00A95137">
        <w:rPr>
          <w:color w:val="000000"/>
        </w:rPr>
        <w:t xml:space="preserve">, V., Duffield, J., </w:t>
      </w:r>
      <w:proofErr w:type="spellStart"/>
      <w:r w:rsidRPr="00A95137">
        <w:rPr>
          <w:color w:val="000000"/>
        </w:rPr>
        <w:t>Graboski</w:t>
      </w:r>
      <w:proofErr w:type="spellEnd"/>
      <w:r w:rsidRPr="00A95137">
        <w:rPr>
          <w:color w:val="000000"/>
        </w:rPr>
        <w:t xml:space="preserve">, M. &amp; </w:t>
      </w:r>
      <w:proofErr w:type="spellStart"/>
      <w:r w:rsidRPr="00A95137">
        <w:rPr>
          <w:color w:val="000000"/>
        </w:rPr>
        <w:t>Shapouri</w:t>
      </w:r>
      <w:proofErr w:type="spellEnd"/>
      <w:r w:rsidRPr="00A95137">
        <w:rPr>
          <w:color w:val="000000"/>
        </w:rPr>
        <w:t xml:space="preserve">, H. 1998. </w:t>
      </w:r>
      <w:proofErr w:type="gramStart"/>
      <w:r w:rsidRPr="00A95137">
        <w:rPr>
          <w:color w:val="000000"/>
        </w:rPr>
        <w:t>Life cycle inventory of biodiesel and petroleum diesel for use in an urban bus.</w:t>
      </w:r>
      <w:proofErr w:type="gramEnd"/>
      <w:r w:rsidRPr="00A95137">
        <w:rPr>
          <w:color w:val="000000"/>
        </w:rPr>
        <w:t xml:space="preserve"> </w:t>
      </w:r>
      <w:proofErr w:type="gramStart"/>
      <w:r w:rsidRPr="00A95137">
        <w:rPr>
          <w:color w:val="000000"/>
        </w:rPr>
        <w:t>Publ. No.</w:t>
      </w:r>
      <w:proofErr w:type="gramEnd"/>
      <w:r w:rsidRPr="00A95137">
        <w:rPr>
          <w:color w:val="000000"/>
        </w:rPr>
        <w:t xml:space="preserve"> </w:t>
      </w:r>
      <w:proofErr w:type="gramStart"/>
      <w:r w:rsidRPr="00A95137">
        <w:rPr>
          <w:color w:val="000000"/>
        </w:rPr>
        <w:t>SR-580-24089.</w:t>
      </w:r>
      <w:proofErr w:type="gramEnd"/>
      <w:r w:rsidRPr="00A95137">
        <w:rPr>
          <w:color w:val="000000"/>
        </w:rPr>
        <w:t xml:space="preserve"> </w:t>
      </w:r>
      <w:r w:rsidR="007F5230">
        <w:rPr>
          <w:color w:val="000000"/>
        </w:rPr>
        <w:t>(</w:t>
      </w:r>
      <w:r w:rsidRPr="00A95137">
        <w:rPr>
          <w:color w:val="000000"/>
        </w:rPr>
        <w:t>U.S. Department of Energy-National Renewabl</w:t>
      </w:r>
      <w:r w:rsidR="007F5230">
        <w:rPr>
          <w:color w:val="000000"/>
        </w:rPr>
        <w:t>e Energy Laboratory, Golden, CO)</w:t>
      </w:r>
      <w:r w:rsidRPr="00A95137">
        <w:rPr>
          <w:color w:val="000000"/>
        </w:rPr>
        <w:t xml:space="preserve"> On-line at: </w:t>
      </w:r>
      <w:hyperlink r:id="rId7" w:history="1">
        <w:r w:rsidRPr="00D21353">
          <w:rPr>
            <w:rStyle w:val="Hyperlink"/>
          </w:rPr>
          <w:t>http://www.nrel.gov/docs/legosti/</w:t>
        </w:r>
      </w:hyperlink>
      <w:r w:rsidRPr="00D21353">
        <w:t xml:space="preserve"> fy98/24089.pdf.</w:t>
      </w:r>
      <w:r>
        <w:t xml:space="preserve"> </w:t>
      </w:r>
      <w:proofErr w:type="gramStart"/>
      <w:r>
        <w:t>Last accessed on May 17, 2012.</w:t>
      </w:r>
      <w:proofErr w:type="gramEnd"/>
      <w:r>
        <w:t xml:space="preserve"> </w:t>
      </w:r>
    </w:p>
    <w:p w:rsidR="00C53FC9" w:rsidRPr="00662326" w:rsidRDefault="00C53FC9" w:rsidP="00C53FC9">
      <w:pPr>
        <w:tabs>
          <w:tab w:val="left" w:pos="720"/>
        </w:tabs>
        <w:spacing w:line="240" w:lineRule="auto"/>
        <w:ind w:left="720" w:hanging="720"/>
      </w:pPr>
      <w:r>
        <w:t xml:space="preserve">6. </w:t>
      </w:r>
      <w:r>
        <w:tab/>
      </w:r>
      <w:proofErr w:type="spellStart"/>
      <w:r w:rsidRPr="00A95137">
        <w:t>Shapouri</w:t>
      </w:r>
      <w:proofErr w:type="spellEnd"/>
      <w:r w:rsidRPr="00A95137">
        <w:t xml:space="preserve">, H., P.W. Gallagher, W. </w:t>
      </w:r>
      <w:proofErr w:type="spellStart"/>
      <w:r w:rsidRPr="00A95137">
        <w:t>Nefstead</w:t>
      </w:r>
      <w:proofErr w:type="spellEnd"/>
      <w:r w:rsidRPr="00A95137">
        <w:t xml:space="preserve">, R. Schwartz, S. </w:t>
      </w:r>
      <w:proofErr w:type="spellStart"/>
      <w:r w:rsidRPr="00A95137">
        <w:t>Noe</w:t>
      </w:r>
      <w:proofErr w:type="spellEnd"/>
      <w:r w:rsidRPr="00A95137">
        <w:t xml:space="preserve">, and R. Conway. 2010. 2008 Energy balance for the corn-ethanol industry. </w:t>
      </w:r>
      <w:proofErr w:type="gramStart"/>
      <w:r w:rsidRPr="00A95137">
        <w:t>Agricultural Economic Report No. 846.</w:t>
      </w:r>
      <w:proofErr w:type="gramEnd"/>
      <w:r w:rsidRPr="00A95137">
        <w:t xml:space="preserve"> </w:t>
      </w:r>
      <w:proofErr w:type="gramStart"/>
      <w:r w:rsidR="007F5230">
        <w:t>(</w:t>
      </w:r>
      <w:r w:rsidRPr="00A95137">
        <w:t>U.S. Department of Agriculture, Washington, DC.</w:t>
      </w:r>
      <w:r w:rsidR="007F5230">
        <w:t>)</w:t>
      </w:r>
      <w:proofErr w:type="gramEnd"/>
      <w:r w:rsidRPr="00A95137">
        <w:t xml:space="preserve"> On-line at: </w:t>
      </w:r>
      <w:r w:rsidRPr="00D21353">
        <w:t>http://www.usda.gov/oce/reports/</w:t>
      </w:r>
      <w:r w:rsidRPr="00A95137">
        <w:t>energy/</w:t>
      </w:r>
      <w:r>
        <w:t xml:space="preserve"> </w:t>
      </w:r>
      <w:r w:rsidRPr="00662326">
        <w:t xml:space="preserve">2008Ethanol_June_final.pdf. </w:t>
      </w:r>
      <w:proofErr w:type="gramStart"/>
      <w:r w:rsidRPr="00662326">
        <w:t>Last accessed on May 17, 2012.</w:t>
      </w:r>
      <w:proofErr w:type="gramEnd"/>
    </w:p>
    <w:p w:rsidR="00C53FC9" w:rsidRPr="00662326" w:rsidRDefault="00C53FC9" w:rsidP="00C53FC9">
      <w:pPr>
        <w:spacing w:line="240" w:lineRule="auto"/>
        <w:ind w:left="720" w:hanging="720"/>
        <w:rPr>
          <w:color w:val="000000"/>
        </w:rPr>
      </w:pPr>
      <w:r w:rsidRPr="00662326">
        <w:t xml:space="preserve">7. </w:t>
      </w:r>
      <w:r w:rsidRPr="00662326">
        <w:tab/>
      </w:r>
      <w:proofErr w:type="spellStart"/>
      <w:r w:rsidRPr="00662326">
        <w:rPr>
          <w:color w:val="000000"/>
        </w:rPr>
        <w:t>Bhat</w:t>
      </w:r>
      <w:proofErr w:type="spellEnd"/>
      <w:r w:rsidRPr="00662326">
        <w:rPr>
          <w:color w:val="000000"/>
        </w:rPr>
        <w:t xml:space="preserve">, M.G., B.C. English, A.F. </w:t>
      </w:r>
      <w:proofErr w:type="spellStart"/>
      <w:r w:rsidRPr="00662326">
        <w:rPr>
          <w:color w:val="000000"/>
        </w:rPr>
        <w:t>Turhollow</w:t>
      </w:r>
      <w:proofErr w:type="spellEnd"/>
      <w:r w:rsidRPr="00662326">
        <w:rPr>
          <w:color w:val="000000"/>
        </w:rPr>
        <w:t xml:space="preserve">, and H. O. </w:t>
      </w:r>
      <w:proofErr w:type="spellStart"/>
      <w:r w:rsidRPr="00662326">
        <w:rPr>
          <w:color w:val="000000"/>
        </w:rPr>
        <w:t>Nyangito</w:t>
      </w:r>
      <w:proofErr w:type="spellEnd"/>
      <w:r w:rsidRPr="00662326">
        <w:rPr>
          <w:color w:val="000000"/>
        </w:rPr>
        <w:t xml:space="preserve">. 1994. Energy in synthetic fertilizers and pesticides: </w:t>
      </w:r>
      <w:proofErr w:type="spellStart"/>
      <w:r w:rsidRPr="00662326">
        <w:rPr>
          <w:color w:val="000000"/>
        </w:rPr>
        <w:t>revisted</w:t>
      </w:r>
      <w:proofErr w:type="spellEnd"/>
      <w:r w:rsidRPr="00662326">
        <w:rPr>
          <w:color w:val="000000"/>
        </w:rPr>
        <w:t xml:space="preserve">. </w:t>
      </w:r>
      <w:proofErr w:type="gramStart"/>
      <w:r w:rsidR="007F5230">
        <w:rPr>
          <w:color w:val="000000"/>
        </w:rPr>
        <w:t>(</w:t>
      </w:r>
      <w:r w:rsidRPr="00662326">
        <w:rPr>
          <w:color w:val="000000"/>
        </w:rPr>
        <w:t>Oak Ridge National Laboratory, U.S. Department of Energy, Oak Ridge, TN</w:t>
      </w:r>
      <w:r w:rsidR="007F5230">
        <w:rPr>
          <w:color w:val="000000"/>
        </w:rPr>
        <w:t>)</w:t>
      </w:r>
      <w:r w:rsidRPr="00662326">
        <w:rPr>
          <w:color w:val="000000"/>
        </w:rPr>
        <w:t>.</w:t>
      </w:r>
      <w:proofErr w:type="gramEnd"/>
    </w:p>
    <w:p w:rsidR="00C53FC9" w:rsidRPr="00A95137" w:rsidRDefault="00C53FC9" w:rsidP="00C53FC9">
      <w:pPr>
        <w:tabs>
          <w:tab w:val="left" w:pos="720"/>
        </w:tabs>
        <w:spacing w:line="240" w:lineRule="auto"/>
        <w:ind w:left="720" w:hanging="720"/>
      </w:pPr>
      <w:r>
        <w:t xml:space="preserve">8. </w:t>
      </w:r>
      <w:r>
        <w:tab/>
      </w:r>
      <w:r w:rsidRPr="00A95137">
        <w:t xml:space="preserve">Hanna, M. 2005. Fuel required for field operations. </w:t>
      </w:r>
      <w:proofErr w:type="gramStart"/>
      <w:r w:rsidRPr="00A95137">
        <w:t>Ag Decision Maker File A3-27.</w:t>
      </w:r>
      <w:proofErr w:type="gramEnd"/>
      <w:r w:rsidRPr="00A95137">
        <w:t xml:space="preserve"> </w:t>
      </w:r>
      <w:proofErr w:type="gramStart"/>
      <w:r w:rsidR="007F5230">
        <w:t>(</w:t>
      </w:r>
      <w:r w:rsidRPr="00A95137">
        <w:t>Iowa State University Outreach and Extension, Ames, IA.</w:t>
      </w:r>
      <w:r w:rsidR="007F5230">
        <w:t>)</w:t>
      </w:r>
      <w:proofErr w:type="gramEnd"/>
      <w:r w:rsidRPr="00A95137">
        <w:t xml:space="preserve"> On-line at: </w:t>
      </w:r>
      <w:r w:rsidRPr="00D21353">
        <w:t>http://www.extension.iastate.edu/agdm/crops/html/a3-27.html</w:t>
      </w:r>
      <w:r w:rsidRPr="00A95137">
        <w:t>.</w:t>
      </w:r>
      <w:r>
        <w:t xml:space="preserve"> </w:t>
      </w:r>
      <w:proofErr w:type="gramStart"/>
      <w:r>
        <w:t>Last accessed on May 17, 2012.</w:t>
      </w:r>
      <w:proofErr w:type="gramEnd"/>
      <w:r>
        <w:t xml:space="preserve"> </w:t>
      </w:r>
    </w:p>
    <w:p w:rsidR="00C53FC9" w:rsidRDefault="00C53FC9" w:rsidP="00C53FC9">
      <w:pPr>
        <w:tabs>
          <w:tab w:val="left" w:pos="720"/>
        </w:tabs>
        <w:spacing w:line="240" w:lineRule="auto"/>
        <w:ind w:left="720" w:hanging="720"/>
      </w:pPr>
      <w:r>
        <w:t xml:space="preserve">9. </w:t>
      </w:r>
      <w:r>
        <w:tab/>
      </w:r>
      <w:r w:rsidRPr="00A95137">
        <w:t xml:space="preserve">Edwards, W. 2009. </w:t>
      </w:r>
      <w:proofErr w:type="gramStart"/>
      <w:r w:rsidRPr="00A95137">
        <w:t>Comparison of drying systems.</w:t>
      </w:r>
      <w:proofErr w:type="gramEnd"/>
      <w:r w:rsidRPr="00A95137">
        <w:t xml:space="preserve"> </w:t>
      </w:r>
      <w:proofErr w:type="gramStart"/>
      <w:r w:rsidRPr="00A95137">
        <w:t>Ag Decision Maker File A1-20.</w:t>
      </w:r>
      <w:proofErr w:type="gramEnd"/>
      <w:r w:rsidRPr="00A95137">
        <w:t xml:space="preserve"> </w:t>
      </w:r>
      <w:r w:rsidR="007F5230">
        <w:t>(</w:t>
      </w:r>
      <w:r w:rsidRPr="00A95137">
        <w:t>Iowa State University E</w:t>
      </w:r>
      <w:r w:rsidR="007F5230">
        <w:t>xtension and Outreach, Ames, IA)</w:t>
      </w:r>
      <w:r w:rsidRPr="00A95137">
        <w:t xml:space="preserve"> On-line at: </w:t>
      </w:r>
      <w:r w:rsidRPr="00D21353">
        <w:t>http://www.extension.iastate.edu/agdm/crops/xls/a1-20dryingcostcalculator.xls</w:t>
      </w:r>
      <w:r>
        <w:t xml:space="preserve">. </w:t>
      </w:r>
      <w:proofErr w:type="gramStart"/>
      <w:r>
        <w:t>Last accessed on May 17, 2012.</w:t>
      </w:r>
      <w:proofErr w:type="gramEnd"/>
      <w:r>
        <w:t xml:space="preserve"> </w:t>
      </w:r>
    </w:p>
    <w:p w:rsidR="00C53FC9" w:rsidRPr="00A95137" w:rsidRDefault="00C53FC9" w:rsidP="00C53FC9">
      <w:pPr>
        <w:tabs>
          <w:tab w:val="left" w:pos="720"/>
        </w:tabs>
        <w:spacing w:line="240" w:lineRule="auto"/>
        <w:ind w:left="720" w:hanging="720"/>
        <w:rPr>
          <w:color w:val="000000"/>
        </w:rPr>
      </w:pPr>
      <w:r>
        <w:t xml:space="preserve">10. </w:t>
      </w:r>
      <w:r>
        <w:tab/>
      </w:r>
      <w:r w:rsidRPr="00A95137">
        <w:t xml:space="preserve">Hanna, M. 2001. </w:t>
      </w:r>
      <w:proofErr w:type="gramStart"/>
      <w:r w:rsidRPr="00A95137">
        <w:t>Estimating field capacity of farm machines.</w:t>
      </w:r>
      <w:proofErr w:type="gramEnd"/>
      <w:r w:rsidRPr="00A95137">
        <w:t xml:space="preserve"> </w:t>
      </w:r>
      <w:proofErr w:type="gramStart"/>
      <w:r w:rsidRPr="00A95137">
        <w:t>PM-696.</w:t>
      </w:r>
      <w:proofErr w:type="gramEnd"/>
      <w:r w:rsidRPr="00A95137">
        <w:t xml:space="preserve"> </w:t>
      </w:r>
      <w:r w:rsidR="007F5230">
        <w:t>(</w:t>
      </w:r>
      <w:r w:rsidRPr="00A95137">
        <w:t>Iowa State University Ou</w:t>
      </w:r>
      <w:r w:rsidR="007F5230">
        <w:t xml:space="preserve">treach and Extension, Ames, IA) </w:t>
      </w:r>
      <w:r w:rsidRPr="00A95137">
        <w:t xml:space="preserve">On-line at: </w:t>
      </w:r>
      <w:r w:rsidRPr="00D21353">
        <w:rPr>
          <w:color w:val="000000"/>
        </w:rPr>
        <w:t>http://www.extension.iastate.edu/Publications/PM696.pdf</w:t>
      </w:r>
      <w:r>
        <w:rPr>
          <w:color w:val="000000"/>
        </w:rPr>
        <w:t xml:space="preserve">.  </w:t>
      </w:r>
      <w:proofErr w:type="gramStart"/>
      <w:r>
        <w:t>Last accessed on May 17, 2012.</w:t>
      </w:r>
      <w:proofErr w:type="gramEnd"/>
    </w:p>
    <w:p w:rsidR="00C53FC9" w:rsidRPr="00A95137" w:rsidRDefault="00C53FC9" w:rsidP="00C53FC9">
      <w:pPr>
        <w:tabs>
          <w:tab w:val="left" w:pos="720"/>
        </w:tabs>
        <w:spacing w:line="240" w:lineRule="auto"/>
        <w:ind w:left="720" w:hanging="720"/>
      </w:pPr>
      <w:r>
        <w:t xml:space="preserve">11. </w:t>
      </w:r>
      <w:r>
        <w:tab/>
      </w:r>
      <w:r w:rsidRPr="00A95137">
        <w:t xml:space="preserve">Duffy, M. 2012. </w:t>
      </w:r>
      <w:proofErr w:type="gramStart"/>
      <w:r w:rsidRPr="00A95137">
        <w:t>Estimated costs of crop production in Iowa, 2000-2012.</w:t>
      </w:r>
      <w:proofErr w:type="gramEnd"/>
      <w:r w:rsidRPr="00A95137">
        <w:t xml:space="preserve"> </w:t>
      </w:r>
      <w:r w:rsidR="007F5230">
        <w:t>(</w:t>
      </w:r>
      <w:r w:rsidRPr="00A95137">
        <w:t>Iowa State University E</w:t>
      </w:r>
      <w:r w:rsidR="007F5230">
        <w:t>xtension and Outreach, Ames, IA)</w:t>
      </w:r>
      <w:r w:rsidRPr="00A95137">
        <w:t xml:space="preserve"> On-line at: </w:t>
      </w:r>
      <w:r w:rsidRPr="00D21353">
        <w:lastRenderedPageBreak/>
        <w:t>http://www.extension.iastate.edu/agdm/crops/html/a1-20.html</w:t>
      </w:r>
      <w:r w:rsidRPr="00A95137">
        <w:t>.</w:t>
      </w:r>
      <w:r>
        <w:t xml:space="preserve"> </w:t>
      </w:r>
      <w:proofErr w:type="gramStart"/>
      <w:r>
        <w:t>Last accessed on May 17, 2012.</w:t>
      </w:r>
      <w:proofErr w:type="gramEnd"/>
    </w:p>
    <w:p w:rsidR="00C53FC9" w:rsidRPr="00A95137" w:rsidRDefault="00C53FC9" w:rsidP="00C53FC9">
      <w:pPr>
        <w:tabs>
          <w:tab w:val="left" w:pos="720"/>
        </w:tabs>
        <w:spacing w:line="240" w:lineRule="auto"/>
        <w:ind w:left="720" w:hanging="720"/>
        <w:rPr>
          <w:bCs/>
        </w:rPr>
      </w:pPr>
      <w:r>
        <w:rPr>
          <w:bCs/>
        </w:rPr>
        <w:t xml:space="preserve">12. </w:t>
      </w:r>
      <w:r>
        <w:rPr>
          <w:bCs/>
        </w:rPr>
        <w:tab/>
      </w:r>
      <w:r w:rsidRPr="00A95137">
        <w:rPr>
          <w:bCs/>
        </w:rPr>
        <w:t xml:space="preserve">National Agricultural Statistics Service (NASS). 2012. Crop values annual summary. </w:t>
      </w:r>
      <w:proofErr w:type="gramStart"/>
      <w:r w:rsidRPr="00A95137">
        <w:rPr>
          <w:bCs/>
        </w:rPr>
        <w:t>NASS, U.S. Department of Agriculture, Washington, DC.</w:t>
      </w:r>
      <w:proofErr w:type="gramEnd"/>
      <w:r w:rsidRPr="00A95137">
        <w:rPr>
          <w:bCs/>
        </w:rPr>
        <w:t xml:space="preserve"> On-line at: </w:t>
      </w:r>
      <w:r w:rsidRPr="00D21353">
        <w:rPr>
          <w:bCs/>
        </w:rPr>
        <w:t>http://usda.mannlib.cornell.edu/MannUsda/</w:t>
      </w:r>
      <w:proofErr w:type="gramStart"/>
      <w:r w:rsidRPr="00D21353">
        <w:rPr>
          <w:bCs/>
        </w:rPr>
        <w:t>viewDocumentInfo.do</w:t>
      </w:r>
      <w:r>
        <w:rPr>
          <w:bCs/>
        </w:rPr>
        <w:t xml:space="preserve"> </w:t>
      </w:r>
      <w:r w:rsidRPr="00A95137">
        <w:rPr>
          <w:bCs/>
        </w:rPr>
        <w:t>?</w:t>
      </w:r>
      <w:proofErr w:type="spellStart"/>
      <w:proofErr w:type="gramEnd"/>
      <w:r w:rsidRPr="00A95137">
        <w:rPr>
          <w:bCs/>
        </w:rPr>
        <w:t>documentID</w:t>
      </w:r>
      <w:proofErr w:type="spellEnd"/>
      <w:r w:rsidRPr="00A95137">
        <w:rPr>
          <w:bCs/>
        </w:rPr>
        <w:t>=1050.</w:t>
      </w:r>
      <w:r>
        <w:rPr>
          <w:bCs/>
        </w:rPr>
        <w:t xml:space="preserve"> </w:t>
      </w:r>
      <w:proofErr w:type="gramStart"/>
      <w:r>
        <w:rPr>
          <w:bCs/>
        </w:rPr>
        <w:t>Last accessed on May 17, 2012.</w:t>
      </w:r>
      <w:proofErr w:type="gramEnd"/>
      <w:r>
        <w:rPr>
          <w:bCs/>
        </w:rPr>
        <w:t xml:space="preserve"> </w:t>
      </w:r>
    </w:p>
    <w:p w:rsidR="002475C3" w:rsidRPr="0086706F" w:rsidRDefault="002475C3" w:rsidP="006570B8">
      <w:pPr>
        <w:spacing w:line="240" w:lineRule="auto"/>
      </w:pPr>
      <w:bookmarkStart w:id="0" w:name="_GoBack"/>
      <w:bookmarkEnd w:id="0"/>
    </w:p>
    <w:sectPr w:rsidR="002475C3" w:rsidRPr="0086706F" w:rsidSect="006570B8">
      <w:headerReference w:type="even" r:id="rId8"/>
      <w:headerReference w:type="default" r:id="rId9"/>
      <w:pgSz w:w="11899"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64F" w:rsidRDefault="0087164F">
      <w:pPr>
        <w:spacing w:after="0" w:line="240" w:lineRule="auto"/>
      </w:pPr>
      <w:r>
        <w:separator/>
      </w:r>
    </w:p>
  </w:endnote>
  <w:endnote w:type="continuationSeparator" w:id="0">
    <w:p w:rsidR="0087164F" w:rsidRDefault="00871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64F" w:rsidRDefault="0087164F">
      <w:pPr>
        <w:spacing w:after="0" w:line="240" w:lineRule="auto"/>
      </w:pPr>
      <w:r>
        <w:separator/>
      </w:r>
    </w:p>
  </w:footnote>
  <w:footnote w:type="continuationSeparator" w:id="0">
    <w:p w:rsidR="0087164F" w:rsidRDefault="008716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FC9" w:rsidRDefault="00C53F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C53FC9" w:rsidRDefault="00C53FC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FC9" w:rsidRDefault="00C53FC9">
    <w:pPr>
      <w:pStyle w:val="Header"/>
      <w:jc w:val="right"/>
    </w:pPr>
    <w:r>
      <w:rPr>
        <w:rStyle w:val="PageNumber"/>
      </w:rPr>
      <w:fldChar w:fldCharType="begin"/>
    </w:r>
    <w:r>
      <w:rPr>
        <w:rStyle w:val="PageNumber"/>
      </w:rPr>
      <w:instrText xml:space="preserve"> PAGE </w:instrText>
    </w:r>
    <w:r>
      <w:rPr>
        <w:rStyle w:val="PageNumber"/>
      </w:rPr>
      <w:fldChar w:fldCharType="separate"/>
    </w:r>
    <w:r w:rsidR="006570B8">
      <w:rPr>
        <w:rStyle w:val="PageNumber"/>
        <w:noProof/>
      </w:rPr>
      <w:t>6</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A3C0B"/>
    <w:rsid w:val="000A0BD6"/>
    <w:rsid w:val="0011184B"/>
    <w:rsid w:val="001203AB"/>
    <w:rsid w:val="00196D39"/>
    <w:rsid w:val="001A3EB4"/>
    <w:rsid w:val="001D58A6"/>
    <w:rsid w:val="002475C3"/>
    <w:rsid w:val="002B4477"/>
    <w:rsid w:val="0035523E"/>
    <w:rsid w:val="003B7C92"/>
    <w:rsid w:val="00525E7D"/>
    <w:rsid w:val="005365CD"/>
    <w:rsid w:val="00595303"/>
    <w:rsid w:val="005A281C"/>
    <w:rsid w:val="00645ABC"/>
    <w:rsid w:val="006570B8"/>
    <w:rsid w:val="006B7923"/>
    <w:rsid w:val="007170F2"/>
    <w:rsid w:val="00761D27"/>
    <w:rsid w:val="007657FE"/>
    <w:rsid w:val="00777C58"/>
    <w:rsid w:val="00780D3D"/>
    <w:rsid w:val="007F5230"/>
    <w:rsid w:val="00802FA6"/>
    <w:rsid w:val="00862323"/>
    <w:rsid w:val="0086706F"/>
    <w:rsid w:val="0087164F"/>
    <w:rsid w:val="008A3C0B"/>
    <w:rsid w:val="00975939"/>
    <w:rsid w:val="009A0713"/>
    <w:rsid w:val="00A37AB8"/>
    <w:rsid w:val="00AF6869"/>
    <w:rsid w:val="00B54C0C"/>
    <w:rsid w:val="00C00C87"/>
    <w:rsid w:val="00C4388A"/>
    <w:rsid w:val="00C53FC9"/>
    <w:rsid w:val="00C72674"/>
    <w:rsid w:val="00D54DF5"/>
    <w:rsid w:val="00EE3185"/>
    <w:rsid w:val="00F54251"/>
    <w:rsid w:val="00FD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C0B"/>
  </w:style>
  <w:style w:type="paragraph" w:styleId="Heading1">
    <w:name w:val="heading 1"/>
    <w:basedOn w:val="Normal"/>
    <w:link w:val="Heading1Char"/>
    <w:qFormat/>
    <w:rsid w:val="00C53FC9"/>
    <w:pPr>
      <w:spacing w:before="240" w:after="60" w:line="480" w:lineRule="auto"/>
      <w:outlineLvl w:val="0"/>
    </w:pPr>
    <w:rPr>
      <w:rFonts w:ascii="Arial" w:eastAsia="Times New Roman" w:hAnsi="Arial"/>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3C0B"/>
    <w:rPr>
      <w:sz w:val="16"/>
      <w:szCs w:val="16"/>
    </w:rPr>
  </w:style>
  <w:style w:type="paragraph" w:styleId="CommentText">
    <w:name w:val="annotation text"/>
    <w:basedOn w:val="Normal"/>
    <w:link w:val="CommentTextChar"/>
    <w:uiPriority w:val="99"/>
    <w:semiHidden/>
    <w:unhideWhenUsed/>
    <w:rsid w:val="008A3C0B"/>
    <w:pPr>
      <w:spacing w:line="240" w:lineRule="auto"/>
    </w:pPr>
    <w:rPr>
      <w:sz w:val="20"/>
      <w:szCs w:val="20"/>
    </w:rPr>
  </w:style>
  <w:style w:type="character" w:customStyle="1" w:styleId="CommentTextChar">
    <w:name w:val="Comment Text Char"/>
    <w:basedOn w:val="DefaultParagraphFont"/>
    <w:link w:val="CommentText"/>
    <w:uiPriority w:val="99"/>
    <w:semiHidden/>
    <w:rsid w:val="008A3C0B"/>
    <w:rPr>
      <w:sz w:val="20"/>
      <w:szCs w:val="20"/>
    </w:rPr>
  </w:style>
  <w:style w:type="paragraph" w:styleId="CommentSubject">
    <w:name w:val="annotation subject"/>
    <w:basedOn w:val="CommentText"/>
    <w:next w:val="CommentText"/>
    <w:link w:val="CommentSubjectChar"/>
    <w:uiPriority w:val="99"/>
    <w:semiHidden/>
    <w:unhideWhenUsed/>
    <w:rsid w:val="008A3C0B"/>
    <w:rPr>
      <w:b/>
      <w:bCs/>
    </w:rPr>
  </w:style>
  <w:style w:type="character" w:customStyle="1" w:styleId="CommentSubjectChar">
    <w:name w:val="Comment Subject Char"/>
    <w:basedOn w:val="CommentTextChar"/>
    <w:link w:val="CommentSubject"/>
    <w:uiPriority w:val="99"/>
    <w:semiHidden/>
    <w:rsid w:val="008A3C0B"/>
    <w:rPr>
      <w:b/>
      <w:bCs/>
      <w:sz w:val="20"/>
      <w:szCs w:val="20"/>
    </w:rPr>
  </w:style>
  <w:style w:type="paragraph" w:styleId="BalloonText">
    <w:name w:val="Balloon Text"/>
    <w:basedOn w:val="Normal"/>
    <w:link w:val="BalloonTextChar"/>
    <w:uiPriority w:val="99"/>
    <w:semiHidden/>
    <w:unhideWhenUsed/>
    <w:rsid w:val="008A3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C0B"/>
    <w:rPr>
      <w:rFonts w:ascii="Tahoma" w:hAnsi="Tahoma" w:cs="Tahoma"/>
      <w:sz w:val="16"/>
      <w:szCs w:val="16"/>
    </w:rPr>
  </w:style>
  <w:style w:type="character" w:styleId="Hyperlink">
    <w:name w:val="Hyperlink"/>
    <w:basedOn w:val="DefaultParagraphFont"/>
    <w:unhideWhenUsed/>
    <w:rsid w:val="008A3C0B"/>
    <w:rPr>
      <w:color w:val="0000FF" w:themeColor="hyperlink"/>
      <w:u w:val="single"/>
    </w:rPr>
  </w:style>
  <w:style w:type="paragraph" w:styleId="Header">
    <w:name w:val="header"/>
    <w:basedOn w:val="Normal"/>
    <w:link w:val="HeaderChar"/>
    <w:unhideWhenUsed/>
    <w:rsid w:val="008A3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C0B"/>
  </w:style>
  <w:style w:type="paragraph" w:styleId="Footer">
    <w:name w:val="footer"/>
    <w:basedOn w:val="Normal"/>
    <w:link w:val="FooterChar"/>
    <w:unhideWhenUsed/>
    <w:rsid w:val="008A3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C0B"/>
  </w:style>
  <w:style w:type="character" w:customStyle="1" w:styleId="st">
    <w:name w:val="st"/>
    <w:basedOn w:val="DefaultParagraphFont"/>
    <w:rsid w:val="007170F2"/>
  </w:style>
  <w:style w:type="character" w:customStyle="1" w:styleId="Heading1Char">
    <w:name w:val="Heading 1 Char"/>
    <w:basedOn w:val="DefaultParagraphFont"/>
    <w:link w:val="Heading1"/>
    <w:rsid w:val="00C53FC9"/>
    <w:rPr>
      <w:rFonts w:ascii="Arial" w:eastAsia="Times New Roman" w:hAnsi="Arial"/>
      <w:b/>
      <w:sz w:val="28"/>
      <w:szCs w:val="20"/>
      <w:lang w:val="en-GB"/>
    </w:rPr>
  </w:style>
  <w:style w:type="paragraph" w:customStyle="1" w:styleId="arttitle">
    <w:name w:val="arttitle"/>
    <w:basedOn w:val="p-ni"/>
    <w:rsid w:val="00C53FC9"/>
    <w:pPr>
      <w:spacing w:after="240"/>
      <w:ind w:firstLine="0"/>
    </w:pPr>
    <w:rPr>
      <w:rFonts w:ascii="Arial" w:hAnsi="Arial"/>
      <w:b/>
      <w:sz w:val="32"/>
    </w:rPr>
  </w:style>
  <w:style w:type="paragraph" w:customStyle="1" w:styleId="p-ni">
    <w:name w:val="p-ni"/>
    <w:basedOn w:val="p"/>
    <w:rsid w:val="00C53FC9"/>
  </w:style>
  <w:style w:type="paragraph" w:customStyle="1" w:styleId="p">
    <w:name w:val="p"/>
    <w:rsid w:val="00C53FC9"/>
    <w:pPr>
      <w:spacing w:after="360" w:line="480" w:lineRule="atLeast"/>
      <w:ind w:firstLine="567"/>
    </w:pPr>
    <w:rPr>
      <w:rFonts w:eastAsia="Times New Roman"/>
      <w:szCs w:val="20"/>
      <w:lang w:val="en-GB"/>
    </w:rPr>
  </w:style>
  <w:style w:type="paragraph" w:customStyle="1" w:styleId="aug">
    <w:name w:val="aug"/>
    <w:basedOn w:val="p-ni"/>
    <w:rsid w:val="00C53FC9"/>
    <w:pPr>
      <w:spacing w:after="240"/>
      <w:ind w:firstLine="0"/>
    </w:pPr>
  </w:style>
  <w:style w:type="paragraph" w:customStyle="1" w:styleId="aff">
    <w:name w:val="aff"/>
    <w:basedOn w:val="p-ni"/>
    <w:rsid w:val="00C53FC9"/>
    <w:pPr>
      <w:spacing w:after="240"/>
      <w:ind w:firstLine="0"/>
    </w:pPr>
    <w:rPr>
      <w:i/>
    </w:rPr>
  </w:style>
  <w:style w:type="paragraph" w:customStyle="1" w:styleId="abs">
    <w:name w:val="abs"/>
    <w:basedOn w:val="p-ni"/>
    <w:next w:val="p"/>
    <w:rsid w:val="00C53FC9"/>
    <w:pPr>
      <w:spacing w:after="240"/>
      <w:ind w:firstLine="0"/>
    </w:pPr>
    <w:rPr>
      <w:b/>
    </w:rPr>
  </w:style>
  <w:style w:type="paragraph" w:customStyle="1" w:styleId="bibcit">
    <w:name w:val="bibcit"/>
    <w:basedOn w:val="p-ni"/>
    <w:rsid w:val="00C53FC9"/>
    <w:pPr>
      <w:spacing w:after="120"/>
      <w:ind w:firstLine="0"/>
    </w:pPr>
  </w:style>
  <w:style w:type="paragraph" w:customStyle="1" w:styleId="ack">
    <w:name w:val="ack"/>
    <w:basedOn w:val="p-ni"/>
    <w:rsid w:val="00C53FC9"/>
    <w:pPr>
      <w:spacing w:after="240"/>
      <w:ind w:firstLine="0"/>
    </w:pPr>
    <w:rPr>
      <w:sz w:val="20"/>
    </w:rPr>
  </w:style>
  <w:style w:type="paragraph" w:customStyle="1" w:styleId="meth1hd">
    <w:name w:val="meth1hd"/>
    <w:basedOn w:val="p-ni"/>
    <w:next w:val="meth1"/>
    <w:rsid w:val="00C53FC9"/>
    <w:pPr>
      <w:spacing w:after="240"/>
      <w:ind w:firstLine="0"/>
    </w:pPr>
  </w:style>
  <w:style w:type="paragraph" w:customStyle="1" w:styleId="meth1">
    <w:name w:val="meth1"/>
    <w:basedOn w:val="meth1hd"/>
    <w:rsid w:val="00C53FC9"/>
    <w:pPr>
      <w:ind w:firstLine="567"/>
    </w:pPr>
  </w:style>
  <w:style w:type="paragraph" w:customStyle="1" w:styleId="meth1ttl">
    <w:name w:val="meth1ttl"/>
    <w:basedOn w:val="meth1hd"/>
    <w:rsid w:val="00C53FC9"/>
    <w:rPr>
      <w:b/>
    </w:rPr>
  </w:style>
  <w:style w:type="paragraph" w:customStyle="1" w:styleId="received">
    <w:name w:val="received"/>
    <w:basedOn w:val="p-ni"/>
    <w:rsid w:val="00C53FC9"/>
    <w:pPr>
      <w:spacing w:after="240"/>
      <w:ind w:firstLine="0"/>
    </w:pPr>
    <w:rPr>
      <w:sz w:val="20"/>
    </w:rPr>
  </w:style>
  <w:style w:type="paragraph" w:customStyle="1" w:styleId="corr">
    <w:name w:val="corr"/>
    <w:basedOn w:val="meth1ttl"/>
    <w:rsid w:val="00C53FC9"/>
    <w:rPr>
      <w:b w:val="0"/>
      <w:sz w:val="20"/>
    </w:rPr>
  </w:style>
  <w:style w:type="paragraph" w:customStyle="1" w:styleId="LEGEND">
    <w:name w:val="LEGEND"/>
    <w:basedOn w:val="p-ni"/>
    <w:rsid w:val="00C53FC9"/>
    <w:pPr>
      <w:spacing w:after="240"/>
      <w:ind w:firstLine="0"/>
    </w:pPr>
    <w:rPr>
      <w:rFonts w:ascii="Arial" w:hAnsi="Arial"/>
    </w:rPr>
  </w:style>
  <w:style w:type="paragraph" w:customStyle="1" w:styleId="TBLTTL">
    <w:name w:val="TBLTTL"/>
    <w:basedOn w:val="TBLROW"/>
    <w:rsid w:val="00C53FC9"/>
  </w:style>
  <w:style w:type="paragraph" w:customStyle="1" w:styleId="TBLROW">
    <w:name w:val="TBLROW"/>
    <w:basedOn w:val="p-ni"/>
    <w:rsid w:val="00C53FC9"/>
    <w:pPr>
      <w:spacing w:after="240" w:line="360" w:lineRule="atLeast"/>
      <w:ind w:firstLine="0"/>
    </w:pPr>
    <w:rPr>
      <w:rFonts w:ascii="Arial" w:hAnsi="Arial"/>
      <w:sz w:val="20"/>
    </w:rPr>
  </w:style>
  <w:style w:type="paragraph" w:customStyle="1" w:styleId="TBLFN">
    <w:name w:val="TBLFN"/>
    <w:basedOn w:val="TBLROW"/>
    <w:rsid w:val="00C53FC9"/>
  </w:style>
  <w:style w:type="paragraph" w:customStyle="1" w:styleId="footnote">
    <w:name w:val="footnote"/>
    <w:basedOn w:val="p-ni"/>
    <w:rsid w:val="00C53FC9"/>
    <w:pPr>
      <w:spacing w:after="240"/>
      <w:ind w:firstLine="0"/>
    </w:pPr>
    <w:rPr>
      <w:sz w:val="20"/>
    </w:rPr>
  </w:style>
  <w:style w:type="paragraph" w:customStyle="1" w:styleId="sec1ttl">
    <w:name w:val="sec1ttl"/>
    <w:basedOn w:val="abs"/>
    <w:rsid w:val="00C53FC9"/>
  </w:style>
  <w:style w:type="paragraph" w:customStyle="1" w:styleId="fd">
    <w:name w:val="fd"/>
    <w:basedOn w:val="p-ni"/>
    <w:rsid w:val="00C53FC9"/>
    <w:pPr>
      <w:tabs>
        <w:tab w:val="right" w:pos="8505"/>
      </w:tabs>
      <w:spacing w:after="240"/>
      <w:ind w:firstLine="0"/>
    </w:pPr>
  </w:style>
  <w:style w:type="paragraph" w:customStyle="1" w:styleId="BX">
    <w:name w:val="BX"/>
    <w:basedOn w:val="LEGEND"/>
    <w:rsid w:val="00C53FC9"/>
  </w:style>
  <w:style w:type="paragraph" w:customStyle="1" w:styleId="supp">
    <w:name w:val="supp"/>
    <w:basedOn w:val="ack"/>
    <w:rsid w:val="00C53FC9"/>
  </w:style>
  <w:style w:type="character" w:styleId="PageNumber">
    <w:name w:val="page number"/>
    <w:basedOn w:val="DefaultParagraphFont"/>
    <w:rsid w:val="00C53FC9"/>
  </w:style>
  <w:style w:type="paragraph" w:styleId="BodyText">
    <w:name w:val="Body Text"/>
    <w:basedOn w:val="Normal"/>
    <w:link w:val="BodyTextChar"/>
    <w:rsid w:val="00C53FC9"/>
    <w:pPr>
      <w:autoSpaceDE w:val="0"/>
      <w:autoSpaceDN w:val="0"/>
      <w:adjustRightInd w:val="0"/>
      <w:spacing w:after="0" w:line="240" w:lineRule="auto"/>
    </w:pPr>
    <w:rPr>
      <w:rFonts w:ascii="Arial" w:eastAsia="Times New Roman" w:hAnsi="Arial"/>
      <w:b/>
      <w:szCs w:val="20"/>
    </w:rPr>
  </w:style>
  <w:style w:type="character" w:customStyle="1" w:styleId="BodyTextChar">
    <w:name w:val="Body Text Char"/>
    <w:basedOn w:val="DefaultParagraphFont"/>
    <w:link w:val="BodyText"/>
    <w:rsid w:val="00C53FC9"/>
    <w:rPr>
      <w:rFonts w:ascii="Arial" w:eastAsia="Times New Roman" w:hAnsi="Arial"/>
      <w:b/>
      <w:szCs w:val="20"/>
    </w:rPr>
  </w:style>
  <w:style w:type="table" w:styleId="TableGrid">
    <w:name w:val="Table Grid"/>
    <w:basedOn w:val="TableNormal"/>
    <w:uiPriority w:val="59"/>
    <w:rsid w:val="00C53FC9"/>
    <w:pPr>
      <w:spacing w:after="0" w:line="48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53FC9"/>
    <w:pPr>
      <w:spacing w:after="0" w:line="240" w:lineRule="auto"/>
    </w:pPr>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53FC9"/>
    <w:pPr>
      <w:spacing w:after="0" w:line="240" w:lineRule="auto"/>
    </w:pPr>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53FC9"/>
    <w:pPr>
      <w:spacing w:after="0" w:line="240" w:lineRule="auto"/>
    </w:pPr>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C53FC9"/>
  </w:style>
  <w:style w:type="table" w:customStyle="1" w:styleId="TableGrid4">
    <w:name w:val="Table Grid4"/>
    <w:basedOn w:val="TableNormal"/>
    <w:next w:val="TableGrid"/>
    <w:uiPriority w:val="59"/>
    <w:rsid w:val="00C53FC9"/>
    <w:pPr>
      <w:spacing w:after="0" w:line="240" w:lineRule="auto"/>
    </w:pPr>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C0B"/>
  </w:style>
  <w:style w:type="paragraph" w:styleId="Heading1">
    <w:name w:val="heading 1"/>
    <w:basedOn w:val="Normal"/>
    <w:link w:val="Heading1Char"/>
    <w:qFormat/>
    <w:rsid w:val="00C53FC9"/>
    <w:pPr>
      <w:spacing w:before="240" w:after="60" w:line="480" w:lineRule="auto"/>
      <w:outlineLvl w:val="0"/>
    </w:pPr>
    <w:rPr>
      <w:rFonts w:ascii="Arial" w:eastAsia="Times New Roman" w:hAnsi="Arial"/>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3C0B"/>
    <w:rPr>
      <w:sz w:val="16"/>
      <w:szCs w:val="16"/>
    </w:rPr>
  </w:style>
  <w:style w:type="paragraph" w:styleId="CommentText">
    <w:name w:val="annotation text"/>
    <w:basedOn w:val="Normal"/>
    <w:link w:val="CommentTextChar"/>
    <w:uiPriority w:val="99"/>
    <w:semiHidden/>
    <w:unhideWhenUsed/>
    <w:rsid w:val="008A3C0B"/>
    <w:pPr>
      <w:spacing w:line="240" w:lineRule="auto"/>
    </w:pPr>
    <w:rPr>
      <w:sz w:val="20"/>
      <w:szCs w:val="20"/>
    </w:rPr>
  </w:style>
  <w:style w:type="character" w:customStyle="1" w:styleId="CommentTextChar">
    <w:name w:val="Comment Text Char"/>
    <w:basedOn w:val="DefaultParagraphFont"/>
    <w:link w:val="CommentText"/>
    <w:uiPriority w:val="99"/>
    <w:semiHidden/>
    <w:rsid w:val="008A3C0B"/>
    <w:rPr>
      <w:sz w:val="20"/>
      <w:szCs w:val="20"/>
    </w:rPr>
  </w:style>
  <w:style w:type="paragraph" w:styleId="CommentSubject">
    <w:name w:val="annotation subject"/>
    <w:basedOn w:val="CommentText"/>
    <w:next w:val="CommentText"/>
    <w:link w:val="CommentSubjectChar"/>
    <w:uiPriority w:val="99"/>
    <w:semiHidden/>
    <w:unhideWhenUsed/>
    <w:rsid w:val="008A3C0B"/>
    <w:rPr>
      <w:b/>
      <w:bCs/>
    </w:rPr>
  </w:style>
  <w:style w:type="character" w:customStyle="1" w:styleId="CommentSubjectChar">
    <w:name w:val="Comment Subject Char"/>
    <w:basedOn w:val="CommentTextChar"/>
    <w:link w:val="CommentSubject"/>
    <w:uiPriority w:val="99"/>
    <w:semiHidden/>
    <w:rsid w:val="008A3C0B"/>
    <w:rPr>
      <w:b/>
      <w:bCs/>
      <w:sz w:val="20"/>
      <w:szCs w:val="20"/>
    </w:rPr>
  </w:style>
  <w:style w:type="paragraph" w:styleId="BalloonText">
    <w:name w:val="Balloon Text"/>
    <w:basedOn w:val="Normal"/>
    <w:link w:val="BalloonTextChar"/>
    <w:uiPriority w:val="99"/>
    <w:semiHidden/>
    <w:unhideWhenUsed/>
    <w:rsid w:val="008A3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C0B"/>
    <w:rPr>
      <w:rFonts w:ascii="Tahoma" w:hAnsi="Tahoma" w:cs="Tahoma"/>
      <w:sz w:val="16"/>
      <w:szCs w:val="16"/>
    </w:rPr>
  </w:style>
  <w:style w:type="character" w:styleId="Hyperlink">
    <w:name w:val="Hyperlink"/>
    <w:basedOn w:val="DefaultParagraphFont"/>
    <w:unhideWhenUsed/>
    <w:rsid w:val="008A3C0B"/>
    <w:rPr>
      <w:color w:val="0000FF" w:themeColor="hyperlink"/>
      <w:u w:val="single"/>
    </w:rPr>
  </w:style>
  <w:style w:type="paragraph" w:styleId="Header">
    <w:name w:val="header"/>
    <w:basedOn w:val="Normal"/>
    <w:link w:val="HeaderChar"/>
    <w:unhideWhenUsed/>
    <w:rsid w:val="008A3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C0B"/>
  </w:style>
  <w:style w:type="paragraph" w:styleId="Footer">
    <w:name w:val="footer"/>
    <w:basedOn w:val="Normal"/>
    <w:link w:val="FooterChar"/>
    <w:unhideWhenUsed/>
    <w:rsid w:val="008A3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C0B"/>
  </w:style>
  <w:style w:type="character" w:customStyle="1" w:styleId="st">
    <w:name w:val="st"/>
    <w:basedOn w:val="DefaultParagraphFont"/>
    <w:rsid w:val="007170F2"/>
  </w:style>
  <w:style w:type="character" w:customStyle="1" w:styleId="Heading1Char">
    <w:name w:val="Heading 1 Char"/>
    <w:basedOn w:val="DefaultParagraphFont"/>
    <w:link w:val="Heading1"/>
    <w:rsid w:val="00C53FC9"/>
    <w:rPr>
      <w:rFonts w:ascii="Arial" w:eastAsia="Times New Roman" w:hAnsi="Arial"/>
      <w:b/>
      <w:sz w:val="28"/>
      <w:szCs w:val="20"/>
      <w:lang w:val="en-GB"/>
    </w:rPr>
  </w:style>
  <w:style w:type="paragraph" w:customStyle="1" w:styleId="arttitle">
    <w:name w:val="arttitle"/>
    <w:basedOn w:val="p-ni"/>
    <w:rsid w:val="00C53FC9"/>
    <w:pPr>
      <w:spacing w:after="240"/>
      <w:ind w:firstLine="0"/>
    </w:pPr>
    <w:rPr>
      <w:rFonts w:ascii="Arial" w:hAnsi="Arial"/>
      <w:b/>
      <w:sz w:val="32"/>
    </w:rPr>
  </w:style>
  <w:style w:type="paragraph" w:customStyle="1" w:styleId="p-ni">
    <w:name w:val="p-ni"/>
    <w:basedOn w:val="p"/>
    <w:rsid w:val="00C53FC9"/>
  </w:style>
  <w:style w:type="paragraph" w:customStyle="1" w:styleId="p">
    <w:name w:val="p"/>
    <w:rsid w:val="00C53FC9"/>
    <w:pPr>
      <w:spacing w:after="360" w:line="480" w:lineRule="atLeast"/>
      <w:ind w:firstLine="567"/>
    </w:pPr>
    <w:rPr>
      <w:rFonts w:eastAsia="Times New Roman"/>
      <w:szCs w:val="20"/>
      <w:lang w:val="en-GB"/>
    </w:rPr>
  </w:style>
  <w:style w:type="paragraph" w:customStyle="1" w:styleId="aug">
    <w:name w:val="aug"/>
    <w:basedOn w:val="p-ni"/>
    <w:rsid w:val="00C53FC9"/>
    <w:pPr>
      <w:spacing w:after="240"/>
      <w:ind w:firstLine="0"/>
    </w:pPr>
  </w:style>
  <w:style w:type="paragraph" w:customStyle="1" w:styleId="aff">
    <w:name w:val="aff"/>
    <w:basedOn w:val="p-ni"/>
    <w:rsid w:val="00C53FC9"/>
    <w:pPr>
      <w:spacing w:after="240"/>
      <w:ind w:firstLine="0"/>
    </w:pPr>
    <w:rPr>
      <w:i/>
    </w:rPr>
  </w:style>
  <w:style w:type="paragraph" w:customStyle="1" w:styleId="abs">
    <w:name w:val="abs"/>
    <w:basedOn w:val="p-ni"/>
    <w:next w:val="p"/>
    <w:rsid w:val="00C53FC9"/>
    <w:pPr>
      <w:spacing w:after="240"/>
      <w:ind w:firstLine="0"/>
    </w:pPr>
    <w:rPr>
      <w:b/>
    </w:rPr>
  </w:style>
  <w:style w:type="paragraph" w:customStyle="1" w:styleId="bibcit">
    <w:name w:val="bibcit"/>
    <w:basedOn w:val="p-ni"/>
    <w:rsid w:val="00C53FC9"/>
    <w:pPr>
      <w:spacing w:after="120"/>
      <w:ind w:firstLine="0"/>
    </w:pPr>
  </w:style>
  <w:style w:type="paragraph" w:customStyle="1" w:styleId="ack">
    <w:name w:val="ack"/>
    <w:basedOn w:val="p-ni"/>
    <w:rsid w:val="00C53FC9"/>
    <w:pPr>
      <w:spacing w:after="240"/>
      <w:ind w:firstLine="0"/>
    </w:pPr>
    <w:rPr>
      <w:sz w:val="20"/>
    </w:rPr>
  </w:style>
  <w:style w:type="paragraph" w:customStyle="1" w:styleId="meth1hd">
    <w:name w:val="meth1hd"/>
    <w:basedOn w:val="p-ni"/>
    <w:next w:val="meth1"/>
    <w:rsid w:val="00C53FC9"/>
    <w:pPr>
      <w:spacing w:after="240"/>
      <w:ind w:firstLine="0"/>
    </w:pPr>
  </w:style>
  <w:style w:type="paragraph" w:customStyle="1" w:styleId="meth1">
    <w:name w:val="meth1"/>
    <w:basedOn w:val="meth1hd"/>
    <w:rsid w:val="00C53FC9"/>
    <w:pPr>
      <w:ind w:firstLine="567"/>
    </w:pPr>
  </w:style>
  <w:style w:type="paragraph" w:customStyle="1" w:styleId="meth1ttl">
    <w:name w:val="meth1ttl"/>
    <w:basedOn w:val="meth1hd"/>
    <w:rsid w:val="00C53FC9"/>
    <w:rPr>
      <w:b/>
    </w:rPr>
  </w:style>
  <w:style w:type="paragraph" w:customStyle="1" w:styleId="received">
    <w:name w:val="received"/>
    <w:basedOn w:val="p-ni"/>
    <w:rsid w:val="00C53FC9"/>
    <w:pPr>
      <w:spacing w:after="240"/>
      <w:ind w:firstLine="0"/>
    </w:pPr>
    <w:rPr>
      <w:sz w:val="20"/>
    </w:rPr>
  </w:style>
  <w:style w:type="paragraph" w:customStyle="1" w:styleId="corr">
    <w:name w:val="corr"/>
    <w:basedOn w:val="meth1ttl"/>
    <w:rsid w:val="00C53FC9"/>
    <w:rPr>
      <w:b w:val="0"/>
      <w:sz w:val="20"/>
    </w:rPr>
  </w:style>
  <w:style w:type="paragraph" w:customStyle="1" w:styleId="LEGEND">
    <w:name w:val="LEGEND"/>
    <w:basedOn w:val="p-ni"/>
    <w:rsid w:val="00C53FC9"/>
    <w:pPr>
      <w:spacing w:after="240"/>
      <w:ind w:firstLine="0"/>
    </w:pPr>
    <w:rPr>
      <w:rFonts w:ascii="Arial" w:hAnsi="Arial"/>
    </w:rPr>
  </w:style>
  <w:style w:type="paragraph" w:customStyle="1" w:styleId="TBLTTL">
    <w:name w:val="TBLTTL"/>
    <w:basedOn w:val="TBLROW"/>
    <w:rsid w:val="00C53FC9"/>
  </w:style>
  <w:style w:type="paragraph" w:customStyle="1" w:styleId="TBLROW">
    <w:name w:val="TBLROW"/>
    <w:basedOn w:val="p-ni"/>
    <w:rsid w:val="00C53FC9"/>
    <w:pPr>
      <w:spacing w:after="240" w:line="360" w:lineRule="atLeast"/>
      <w:ind w:firstLine="0"/>
    </w:pPr>
    <w:rPr>
      <w:rFonts w:ascii="Arial" w:hAnsi="Arial"/>
      <w:sz w:val="20"/>
    </w:rPr>
  </w:style>
  <w:style w:type="paragraph" w:customStyle="1" w:styleId="TBLFN">
    <w:name w:val="TBLFN"/>
    <w:basedOn w:val="TBLROW"/>
    <w:rsid w:val="00C53FC9"/>
  </w:style>
  <w:style w:type="paragraph" w:customStyle="1" w:styleId="footnote">
    <w:name w:val="footnote"/>
    <w:basedOn w:val="p-ni"/>
    <w:rsid w:val="00C53FC9"/>
    <w:pPr>
      <w:spacing w:after="240"/>
      <w:ind w:firstLine="0"/>
    </w:pPr>
    <w:rPr>
      <w:sz w:val="20"/>
    </w:rPr>
  </w:style>
  <w:style w:type="paragraph" w:customStyle="1" w:styleId="sec1ttl">
    <w:name w:val="sec1ttl"/>
    <w:basedOn w:val="abs"/>
    <w:rsid w:val="00C53FC9"/>
  </w:style>
  <w:style w:type="paragraph" w:customStyle="1" w:styleId="fd">
    <w:name w:val="fd"/>
    <w:basedOn w:val="p-ni"/>
    <w:rsid w:val="00C53FC9"/>
    <w:pPr>
      <w:tabs>
        <w:tab w:val="right" w:pos="8505"/>
      </w:tabs>
      <w:spacing w:after="240"/>
      <w:ind w:firstLine="0"/>
    </w:pPr>
  </w:style>
  <w:style w:type="paragraph" w:customStyle="1" w:styleId="BX">
    <w:name w:val="BX"/>
    <w:basedOn w:val="LEGEND"/>
    <w:rsid w:val="00C53FC9"/>
  </w:style>
  <w:style w:type="paragraph" w:customStyle="1" w:styleId="supp">
    <w:name w:val="supp"/>
    <w:basedOn w:val="ack"/>
    <w:rsid w:val="00C53FC9"/>
  </w:style>
  <w:style w:type="character" w:styleId="PageNumber">
    <w:name w:val="page number"/>
    <w:basedOn w:val="DefaultParagraphFont"/>
    <w:rsid w:val="00C53FC9"/>
  </w:style>
  <w:style w:type="paragraph" w:styleId="BodyText">
    <w:name w:val="Body Text"/>
    <w:basedOn w:val="Normal"/>
    <w:link w:val="BodyTextChar"/>
    <w:rsid w:val="00C53FC9"/>
    <w:pPr>
      <w:autoSpaceDE w:val="0"/>
      <w:autoSpaceDN w:val="0"/>
      <w:adjustRightInd w:val="0"/>
      <w:spacing w:after="0" w:line="240" w:lineRule="auto"/>
    </w:pPr>
    <w:rPr>
      <w:rFonts w:ascii="Arial" w:eastAsia="Times New Roman" w:hAnsi="Arial"/>
      <w:b/>
      <w:szCs w:val="20"/>
    </w:rPr>
  </w:style>
  <w:style w:type="character" w:customStyle="1" w:styleId="BodyTextChar">
    <w:name w:val="Body Text Char"/>
    <w:basedOn w:val="DefaultParagraphFont"/>
    <w:link w:val="BodyText"/>
    <w:rsid w:val="00C53FC9"/>
    <w:rPr>
      <w:rFonts w:ascii="Arial" w:eastAsia="Times New Roman" w:hAnsi="Arial"/>
      <w:b/>
      <w:szCs w:val="20"/>
    </w:rPr>
  </w:style>
  <w:style w:type="table" w:styleId="TableGrid">
    <w:name w:val="Table Grid"/>
    <w:basedOn w:val="TableNormal"/>
    <w:uiPriority w:val="59"/>
    <w:rsid w:val="00C53FC9"/>
    <w:pPr>
      <w:spacing w:after="0" w:line="48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53FC9"/>
    <w:pPr>
      <w:spacing w:after="0" w:line="240" w:lineRule="auto"/>
    </w:pPr>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53FC9"/>
    <w:pPr>
      <w:spacing w:after="0" w:line="240" w:lineRule="auto"/>
    </w:pPr>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53FC9"/>
    <w:pPr>
      <w:spacing w:after="0" w:line="240" w:lineRule="auto"/>
    </w:pPr>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C53FC9"/>
  </w:style>
  <w:style w:type="table" w:customStyle="1" w:styleId="TableGrid4">
    <w:name w:val="Table Grid4"/>
    <w:basedOn w:val="TableNormal"/>
    <w:next w:val="TableGrid"/>
    <w:uiPriority w:val="59"/>
    <w:rsid w:val="00C53FC9"/>
    <w:pPr>
      <w:spacing w:after="0" w:line="240" w:lineRule="auto"/>
    </w:pPr>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rel.gov/docs/legost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Adam</dc:creator>
  <cp:lastModifiedBy>Davis, Adam</cp:lastModifiedBy>
  <cp:revision>3</cp:revision>
  <cp:lastPrinted>2012-06-18T17:39:00Z</cp:lastPrinted>
  <dcterms:created xsi:type="dcterms:W3CDTF">2012-07-12T06:12:00Z</dcterms:created>
  <dcterms:modified xsi:type="dcterms:W3CDTF">2012-09-04T17:38:00Z</dcterms:modified>
</cp:coreProperties>
</file>