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6D" w:rsidRPr="00BF2E6D" w:rsidRDefault="00BF2E6D" w:rsidP="0043349F">
      <w:pPr>
        <w:spacing w:line="480" w:lineRule="auto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BF2E6D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S</w:t>
      </w:r>
      <w:r w:rsidRPr="00BF2E6D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3</w:t>
      </w:r>
      <w:r w:rsidRPr="00BF2E6D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BF2E6D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Fig. Predictive ability of OPN for SDAI remission in patients with RA who received TCZ</w:t>
      </w:r>
      <w:bookmarkStart w:id="0" w:name="_GoBack"/>
      <w:bookmarkEnd w:id="0"/>
    </w:p>
    <w:p w:rsidR="00BF2E6D" w:rsidRPr="00BF2E6D" w:rsidRDefault="00BF2E6D" w:rsidP="00BF2E6D">
      <w:pPr>
        <w:spacing w:line="480" w:lineRule="auto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(A) Logistic regression analysis showing 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association of 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increasing baseline 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osteopontin (OPN)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levels with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decreasing predicted probability of achieving </w:t>
      </w:r>
      <w:r w:rsidRPr="00BF2E6D">
        <w:rPr>
          <w:rFonts w:ascii="Times New Roman" w:eastAsia="ＭＳ 明朝" w:hAnsi="Times New Roman" w:cs="Times New Roman" w:hint="eastAsia"/>
          <w:bCs/>
          <w:color w:val="000000"/>
          <w:sz w:val="24"/>
          <w:szCs w:val="24"/>
          <w:bdr w:val="none" w:sz="0" w:space="0" w:color="auto" w:frame="1"/>
        </w:rPr>
        <w:t xml:space="preserve">Simplified 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Disease Activity Index (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>SDAI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)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remission at 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1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year. (B) ROC curve showing a cut-off baseline OPN level of 17.3 ng/mL, discriminating between SDAI remission and non-remission at </w:t>
      </w:r>
      <w:r w:rsidRPr="00BF2E6D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1</w:t>
      </w:r>
      <w:r w:rsidRPr="00BF2E6D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year, with a sensitivity of 64% and a specificity of 80%.</w:t>
      </w:r>
    </w:p>
    <w:p w:rsidR="00BF2E6D" w:rsidRPr="00BF2E6D" w:rsidRDefault="00BF2E6D" w:rsidP="00BF2E6D">
      <w:pPr>
        <w:widowControl/>
        <w:jc w:val="left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BF2E6D">
        <w:rPr>
          <w:rFonts w:ascii="Times New Roman" w:eastAsia="ＭＳ 明朝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A2C5798" wp14:editId="12296978">
            <wp:extent cx="5669280" cy="2580539"/>
            <wp:effectExtent l="0" t="0" r="0" b="0"/>
            <wp:docPr id="1" name="図 1" descr="C:\Users\L\Documents\Dropbox\2014_EULAR\KEIO-TCZ-IFX\Paper\PLoS_ONE\revision\画像Fig\Supple_Fig\SDAI_OPN_prob_plot_R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ocuments\Dropbox\2014_EULAR\KEIO-TCZ-IFX\Paper\PLoS_ONE\revision\画像Fig\Supple_Fig\SDAI_OPN_prob_plot_RO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8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6D" w:rsidRPr="00BF2E6D" w:rsidRDefault="00BF2E6D" w:rsidP="00BF2E6D">
      <w:pPr>
        <w:widowControl/>
        <w:jc w:val="left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:rsidR="00D75E0D" w:rsidRDefault="00D75E0D" w:rsidP="00BF2E6D">
      <w:pPr>
        <w:spacing w:line="480" w:lineRule="auto"/>
      </w:pPr>
    </w:p>
    <w:sectPr w:rsidR="00D75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34" w:rsidRDefault="00667034" w:rsidP="0043349F">
      <w:r>
        <w:separator/>
      </w:r>
    </w:p>
  </w:endnote>
  <w:endnote w:type="continuationSeparator" w:id="0">
    <w:p w:rsidR="00667034" w:rsidRDefault="00667034" w:rsidP="004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34" w:rsidRDefault="00667034" w:rsidP="0043349F">
      <w:r>
        <w:separator/>
      </w:r>
    </w:p>
  </w:footnote>
  <w:footnote w:type="continuationSeparator" w:id="0">
    <w:p w:rsidR="00667034" w:rsidRDefault="00667034" w:rsidP="0043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D"/>
    <w:rsid w:val="0043349F"/>
    <w:rsid w:val="00667034"/>
    <w:rsid w:val="00BF2E6D"/>
    <w:rsid w:val="00D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C9C81-4554-4974-A8BC-6CC6425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49F"/>
  </w:style>
  <w:style w:type="paragraph" w:styleId="a5">
    <w:name w:val="footer"/>
    <w:basedOn w:val="a"/>
    <w:link w:val="a6"/>
    <w:uiPriority w:val="99"/>
    <w:unhideWhenUsed/>
    <w:rsid w:val="0043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izu</dc:creator>
  <cp:keywords/>
  <dc:description/>
  <cp:lastModifiedBy>ke izu</cp:lastModifiedBy>
  <cp:revision>2</cp:revision>
  <dcterms:created xsi:type="dcterms:W3CDTF">2015-12-10T21:25:00Z</dcterms:created>
  <dcterms:modified xsi:type="dcterms:W3CDTF">2015-12-10T21:28:00Z</dcterms:modified>
</cp:coreProperties>
</file>