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1142D" w14:textId="77777777" w:rsidR="001E4241" w:rsidRDefault="001E4241" w:rsidP="001E4241">
      <w:pPr>
        <w:pStyle w:val="SMHeading"/>
        <w:rPr>
          <w:sz w:val="36"/>
          <w:szCs w:val="36"/>
        </w:rPr>
      </w:pPr>
      <w:r>
        <w:rPr>
          <w:sz w:val="36"/>
          <w:szCs w:val="36"/>
        </w:rPr>
        <w:t xml:space="preserve">Supporting </w:t>
      </w:r>
      <w:r w:rsidRPr="001E4241">
        <w:rPr>
          <w:sz w:val="36"/>
          <w:szCs w:val="36"/>
        </w:rPr>
        <w:t>Table S2</w:t>
      </w:r>
    </w:p>
    <w:p w14:paraId="12B1142E" w14:textId="77777777" w:rsidR="001E4241" w:rsidRPr="001E4241" w:rsidRDefault="001E4241" w:rsidP="001E4241">
      <w:pPr>
        <w:pStyle w:val="SMHeading"/>
        <w:rPr>
          <w:sz w:val="36"/>
          <w:szCs w:val="36"/>
        </w:rPr>
      </w:pPr>
    </w:p>
    <w:p w14:paraId="12B1142F" w14:textId="77777777" w:rsidR="001E4241" w:rsidRPr="00287983" w:rsidRDefault="001E4241" w:rsidP="001E4241">
      <w:pPr>
        <w:pStyle w:val="SMHeading"/>
        <w:jc w:val="center"/>
        <w:rPr>
          <w:b w:val="0"/>
          <w:i/>
        </w:rPr>
      </w:pPr>
      <w:r w:rsidRPr="001E4241">
        <w:t>Table S2.</w:t>
      </w:r>
      <w:bookmarkStart w:id="0" w:name="_Ref416350629"/>
      <w:bookmarkStart w:id="1" w:name="_Ref416693273"/>
      <w:r w:rsidRPr="001E4241">
        <w:t xml:space="preserve"> </w:t>
      </w:r>
      <w:bookmarkEnd w:id="0"/>
      <w:bookmarkEnd w:id="1"/>
      <w:r w:rsidRPr="001E4241">
        <w:t>Overview of ICP</w:t>
      </w:r>
      <w:r w:rsidRPr="001E4241">
        <w:noBreakHyphen/>
        <w:t>MS analysis.</w:t>
      </w:r>
    </w:p>
    <w:tbl>
      <w:tblPr>
        <w:tblStyle w:val="TableGrid"/>
        <w:tblW w:w="8309" w:type="dxa"/>
        <w:jc w:val="center"/>
        <w:tblLook w:val="04A0" w:firstRow="1" w:lastRow="0" w:firstColumn="1" w:lastColumn="0" w:noHBand="0" w:noVBand="1"/>
      </w:tblPr>
      <w:tblGrid>
        <w:gridCol w:w="2084"/>
        <w:gridCol w:w="3096"/>
        <w:gridCol w:w="1163"/>
        <w:gridCol w:w="1103"/>
        <w:gridCol w:w="863"/>
      </w:tblGrid>
      <w:tr w:rsidR="001E4241" w:rsidRPr="00287983" w14:paraId="12B11433" w14:textId="77777777" w:rsidTr="001E4241">
        <w:trPr>
          <w:jc w:val="center"/>
        </w:trPr>
        <w:tc>
          <w:tcPr>
            <w:tcW w:w="20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B11430" w14:textId="77777777" w:rsidR="001E4241" w:rsidRPr="009E4285" w:rsidRDefault="001E4241" w:rsidP="001F2494"/>
        </w:tc>
        <w:tc>
          <w:tcPr>
            <w:tcW w:w="30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B11431" w14:textId="77777777" w:rsidR="001E4241" w:rsidRPr="009E4285" w:rsidRDefault="001E4241" w:rsidP="001F2494">
            <w:pPr>
              <w:jc w:val="center"/>
            </w:pPr>
            <w:r w:rsidRPr="009E4285">
              <w:t>Standards (ppb K</w:t>
            </w:r>
            <w:r w:rsidRPr="009E4285">
              <w:rPr>
                <w:vertAlign w:val="superscript"/>
              </w:rPr>
              <w:t>+</w:t>
            </w:r>
            <w:r w:rsidRPr="009E4285">
              <w:t>)</w:t>
            </w:r>
          </w:p>
        </w:tc>
        <w:tc>
          <w:tcPr>
            <w:tcW w:w="31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B11432" w14:textId="77777777" w:rsidR="001E4241" w:rsidRPr="009E4285" w:rsidRDefault="001E4241" w:rsidP="001F2494">
            <w:pPr>
              <w:jc w:val="center"/>
            </w:pPr>
            <w:r w:rsidRPr="009E4285">
              <w:t>Quality control parameters</w:t>
            </w:r>
          </w:p>
        </w:tc>
      </w:tr>
      <w:tr w:rsidR="001E4241" w:rsidRPr="00287983" w14:paraId="12B11439" w14:textId="77777777" w:rsidTr="001E4241">
        <w:trPr>
          <w:jc w:val="center"/>
        </w:trPr>
        <w:tc>
          <w:tcPr>
            <w:tcW w:w="208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2B11434" w14:textId="77777777" w:rsidR="001E4241" w:rsidRPr="009E4285" w:rsidRDefault="001E4241" w:rsidP="001F2494"/>
        </w:tc>
        <w:tc>
          <w:tcPr>
            <w:tcW w:w="309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2B11435" w14:textId="77777777" w:rsidR="001E4241" w:rsidRPr="009E4285" w:rsidRDefault="001E4241" w:rsidP="001F2494"/>
        </w:tc>
        <w:tc>
          <w:tcPr>
            <w:tcW w:w="116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2B11436" w14:textId="77777777" w:rsidR="001E4241" w:rsidRPr="009E4285" w:rsidRDefault="001E4241" w:rsidP="001F2494">
            <w:pPr>
              <w:jc w:val="center"/>
              <w:rPr>
                <w:b/>
              </w:rPr>
            </w:pPr>
            <w:r w:rsidRPr="009E4285">
              <w:rPr>
                <w:b/>
              </w:rPr>
              <w:t>BEC</w:t>
            </w:r>
            <w:r w:rsidRPr="009E4285">
              <w:rPr>
                <w:b/>
                <w:i/>
              </w:rPr>
              <w:t xml:space="preserve"> </w:t>
            </w:r>
            <w:r w:rsidRPr="009E4285">
              <w:t>(M)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2B11437" w14:textId="77777777" w:rsidR="001E4241" w:rsidRPr="009E4285" w:rsidRDefault="001E4241" w:rsidP="001F2494">
            <w:pPr>
              <w:jc w:val="center"/>
              <w:rPr>
                <w:b/>
                <w:i/>
              </w:rPr>
            </w:pPr>
            <w:r w:rsidRPr="009E4285">
              <w:rPr>
                <w:b/>
              </w:rPr>
              <w:t>DL</w:t>
            </w:r>
            <w:r w:rsidRPr="009E4285">
              <w:rPr>
                <w:b/>
                <w:i/>
              </w:rPr>
              <w:t xml:space="preserve"> </w:t>
            </w:r>
            <w:r w:rsidRPr="009E4285">
              <w:t>(M)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2B11438" w14:textId="77777777" w:rsidR="001E4241" w:rsidRPr="009E4285" w:rsidRDefault="001E4241" w:rsidP="001F2494">
            <w:pPr>
              <w:jc w:val="center"/>
              <w:rPr>
                <w:b/>
              </w:rPr>
            </w:pPr>
            <w:r w:rsidRPr="009E4285">
              <w:rPr>
                <w:b/>
              </w:rPr>
              <w:t xml:space="preserve">IS </w:t>
            </w:r>
            <w:r w:rsidRPr="009E4285">
              <w:t>(-)</w:t>
            </w:r>
          </w:p>
        </w:tc>
      </w:tr>
      <w:tr w:rsidR="001E4241" w:rsidRPr="00287983" w14:paraId="12B1143F" w14:textId="77777777" w:rsidTr="001E4241">
        <w:trPr>
          <w:jc w:val="center"/>
        </w:trPr>
        <w:tc>
          <w:tcPr>
            <w:tcW w:w="2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B1143A" w14:textId="77777777" w:rsidR="001E4241" w:rsidRPr="009E4285" w:rsidRDefault="001E4241" w:rsidP="001F2494">
            <w:r w:rsidRPr="009E4285">
              <w:t>Microchannel 1</w:t>
            </w: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B1143B" w14:textId="77777777" w:rsidR="001E4241" w:rsidRPr="009E4285" w:rsidRDefault="001E4241" w:rsidP="001F2494">
            <w:pPr>
              <w:jc w:val="both"/>
            </w:pPr>
            <w:r w:rsidRPr="009E4285">
              <w:t>0, 25, 50, 150, 300, 450, 600</w:t>
            </w:r>
          </w:p>
        </w:tc>
        <w:tc>
          <w:tcPr>
            <w:tcW w:w="11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B1143C" w14:textId="77777777" w:rsidR="001E4241" w:rsidRPr="009E4285" w:rsidRDefault="001E4241" w:rsidP="001F2494">
            <w:pPr>
              <w:jc w:val="center"/>
            </w:pPr>
            <w:r w:rsidRPr="009E4285">
              <w:t>1.9</w:t>
            </w:r>
            <w:r w:rsidRPr="009E4285">
              <w:rPr>
                <w:bCs/>
              </w:rPr>
              <w:t>×</w:t>
            </w:r>
            <w:r w:rsidRPr="009E4285">
              <w:t>10</w:t>
            </w:r>
            <w:r w:rsidRPr="009E4285">
              <w:rPr>
                <w:vertAlign w:val="superscript"/>
              </w:rPr>
              <w:noBreakHyphen/>
              <w:t>6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B1143D" w14:textId="77777777" w:rsidR="001E4241" w:rsidRPr="009E4285" w:rsidRDefault="001E4241" w:rsidP="001F2494">
            <w:pPr>
              <w:jc w:val="center"/>
            </w:pPr>
            <w:r w:rsidRPr="009E4285">
              <w:t>6</w:t>
            </w:r>
            <w:r w:rsidRPr="009E4285">
              <w:rPr>
                <w:bCs/>
              </w:rPr>
              <w:t>×</w:t>
            </w:r>
            <w:r w:rsidRPr="009E4285">
              <w:t>10</w:t>
            </w:r>
            <w:r w:rsidRPr="009E4285">
              <w:rPr>
                <w:vertAlign w:val="superscript"/>
              </w:rPr>
              <w:noBreakHyphen/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B1143E" w14:textId="77777777" w:rsidR="001E4241" w:rsidRPr="009E4285" w:rsidRDefault="001E4241" w:rsidP="001F2494">
            <w:pPr>
              <w:jc w:val="center"/>
            </w:pPr>
            <w:r w:rsidRPr="009E4285">
              <w:t>Yes</w:t>
            </w:r>
          </w:p>
        </w:tc>
      </w:tr>
      <w:tr w:rsidR="001E4241" w:rsidRPr="00287983" w14:paraId="12B11445" w14:textId="77777777" w:rsidTr="001E4241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B11440" w14:textId="77777777" w:rsidR="001E4241" w:rsidRPr="009E4285" w:rsidRDefault="001E4241" w:rsidP="001E4241">
            <w:r w:rsidRPr="009E4285">
              <w:t>Microchannel 1a</w:t>
            </w:r>
            <w:r w:rsidRPr="001E4241">
              <w:rPr>
                <w:sz w:val="18"/>
                <w:szCs w:val="18"/>
                <w:vertAlign w:val="superscript"/>
              </w:rPr>
              <w:sym w:font="Wingdings 2" w:char="F084"/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2B11441" w14:textId="77777777" w:rsidR="001E4241" w:rsidRPr="009E4285" w:rsidRDefault="001E4241" w:rsidP="001F2494">
            <w:pPr>
              <w:jc w:val="both"/>
            </w:pPr>
            <w:r w:rsidRPr="009E4285">
              <w:t>0, 25, 50, 150, 300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2B11442" w14:textId="77777777" w:rsidR="001E4241" w:rsidRPr="009E4285" w:rsidRDefault="001E4241" w:rsidP="001F2494">
            <w:pPr>
              <w:jc w:val="center"/>
            </w:pPr>
            <w:r w:rsidRPr="009E4285">
              <w:t>1.3</w:t>
            </w:r>
            <w:r w:rsidRPr="009E4285">
              <w:rPr>
                <w:bCs/>
              </w:rPr>
              <w:t>×</w:t>
            </w:r>
            <w:r w:rsidRPr="009E4285">
              <w:t>10</w:t>
            </w:r>
            <w:r w:rsidRPr="009E4285">
              <w:rPr>
                <w:vertAlign w:val="superscript"/>
              </w:rPr>
              <w:noBreakHyphen/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2B11443" w14:textId="77777777" w:rsidR="001E4241" w:rsidRPr="009E4285" w:rsidRDefault="001E4241" w:rsidP="001F2494">
            <w:pPr>
              <w:jc w:val="center"/>
            </w:pPr>
            <w:r w:rsidRPr="009E4285">
              <w:t>1</w:t>
            </w:r>
            <w:r w:rsidRPr="009E4285">
              <w:rPr>
                <w:bCs/>
              </w:rPr>
              <w:t>×</w:t>
            </w:r>
            <w:r w:rsidRPr="009E4285">
              <w:t>10</w:t>
            </w:r>
            <w:r w:rsidRPr="009E4285">
              <w:rPr>
                <w:vertAlign w:val="superscript"/>
              </w:rPr>
              <w:noBreakHyphen/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2B11444" w14:textId="77777777" w:rsidR="001E4241" w:rsidRPr="009E4285" w:rsidRDefault="001E4241" w:rsidP="001F2494">
            <w:pPr>
              <w:jc w:val="center"/>
            </w:pPr>
            <w:r w:rsidRPr="009E4285">
              <w:t>Yes</w:t>
            </w:r>
          </w:p>
        </w:tc>
      </w:tr>
      <w:tr w:rsidR="001E4241" w:rsidRPr="00287983" w14:paraId="12B1144B" w14:textId="77777777" w:rsidTr="001E4241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B11446" w14:textId="77777777" w:rsidR="001E4241" w:rsidRPr="009E4285" w:rsidRDefault="001E4241" w:rsidP="001E4241">
            <w:r w:rsidRPr="009E4285">
              <w:t>Microchannel 1b</w:t>
            </w:r>
            <w:r w:rsidRPr="001E4241">
              <w:rPr>
                <w:sz w:val="18"/>
                <w:szCs w:val="18"/>
                <w:vertAlign w:val="superscript"/>
              </w:rPr>
              <w:sym w:font="Wingdings 2" w:char="F084"/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2B11447" w14:textId="77777777" w:rsidR="001E4241" w:rsidRPr="009E4285" w:rsidRDefault="001E4241" w:rsidP="001F2494">
            <w:pPr>
              <w:jc w:val="both"/>
            </w:pPr>
            <w:r w:rsidRPr="009E4285">
              <w:t>0, 25, 50, 150, 300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2B11448" w14:textId="77777777" w:rsidR="001E4241" w:rsidRPr="009E4285" w:rsidRDefault="001E4241" w:rsidP="001F2494">
            <w:pPr>
              <w:jc w:val="center"/>
            </w:pPr>
            <w:r w:rsidRPr="009E4285">
              <w:t>9.5</w:t>
            </w:r>
            <w:r w:rsidRPr="009E4285">
              <w:rPr>
                <w:bCs/>
              </w:rPr>
              <w:t>×</w:t>
            </w:r>
            <w:r w:rsidRPr="009E4285">
              <w:t>10</w:t>
            </w:r>
            <w:r w:rsidRPr="009E4285">
              <w:rPr>
                <w:vertAlign w:val="superscript"/>
              </w:rPr>
              <w:noBreakHyphen/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2B11449" w14:textId="77777777" w:rsidR="001E4241" w:rsidRPr="009E4285" w:rsidRDefault="001E4241" w:rsidP="001F2494">
            <w:pPr>
              <w:jc w:val="center"/>
            </w:pPr>
            <w:r w:rsidRPr="009E4285">
              <w:t>3</w:t>
            </w:r>
            <w:r w:rsidRPr="009E4285">
              <w:rPr>
                <w:bCs/>
              </w:rPr>
              <w:t>×</w:t>
            </w:r>
            <w:r w:rsidRPr="009E4285">
              <w:t>10</w:t>
            </w:r>
            <w:r w:rsidRPr="009E4285">
              <w:rPr>
                <w:vertAlign w:val="superscript"/>
              </w:rPr>
              <w:noBreakHyphen/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2B1144A" w14:textId="77777777" w:rsidR="001E4241" w:rsidRPr="009E4285" w:rsidRDefault="001E4241" w:rsidP="001F2494">
            <w:pPr>
              <w:jc w:val="center"/>
            </w:pPr>
            <w:r w:rsidRPr="009E4285">
              <w:t>Yes</w:t>
            </w:r>
          </w:p>
        </w:tc>
      </w:tr>
      <w:tr w:rsidR="001E4241" w:rsidRPr="00287983" w14:paraId="12B11451" w14:textId="77777777" w:rsidTr="001E4241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B1144C" w14:textId="77777777" w:rsidR="001E4241" w:rsidRPr="009E4285" w:rsidRDefault="001E4241" w:rsidP="001F249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2B1144D" w14:textId="77777777" w:rsidR="001E4241" w:rsidRPr="009E4285" w:rsidRDefault="001E4241" w:rsidP="001F2494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2B1144E" w14:textId="77777777" w:rsidR="001E4241" w:rsidRPr="009E4285" w:rsidRDefault="001E4241" w:rsidP="001F2494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2B1144F" w14:textId="77777777" w:rsidR="001E4241" w:rsidRPr="009E4285" w:rsidRDefault="001E4241" w:rsidP="001F2494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2B11450" w14:textId="77777777" w:rsidR="001E4241" w:rsidRPr="009E4285" w:rsidRDefault="001E4241" w:rsidP="001F2494">
            <w:pPr>
              <w:jc w:val="center"/>
            </w:pPr>
          </w:p>
        </w:tc>
      </w:tr>
      <w:tr w:rsidR="001E4241" w:rsidRPr="00287983" w14:paraId="12B11457" w14:textId="77777777" w:rsidTr="001E4241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B11452" w14:textId="77777777" w:rsidR="001E4241" w:rsidRPr="009E4285" w:rsidRDefault="001E4241" w:rsidP="001F2494">
            <w:r w:rsidRPr="009E4285">
              <w:t>Microchannel 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2B11453" w14:textId="77777777" w:rsidR="001E4241" w:rsidRPr="009E4285" w:rsidRDefault="001E4241" w:rsidP="001F2494">
            <w:pPr>
              <w:jc w:val="both"/>
            </w:pPr>
            <w:r w:rsidRPr="009E4285">
              <w:t>0, 50, 150, 300, 450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2B11454" w14:textId="77777777" w:rsidR="001E4241" w:rsidRPr="009E4285" w:rsidRDefault="001E4241" w:rsidP="001F2494">
            <w:pPr>
              <w:jc w:val="center"/>
            </w:pPr>
            <w:r w:rsidRPr="009E4285">
              <w:t>9.2</w:t>
            </w:r>
            <w:r w:rsidRPr="009E4285">
              <w:rPr>
                <w:bCs/>
              </w:rPr>
              <w:t>×</w:t>
            </w:r>
            <w:r w:rsidRPr="009E4285">
              <w:t>10</w:t>
            </w:r>
            <w:r w:rsidRPr="009E4285">
              <w:rPr>
                <w:vertAlign w:val="superscript"/>
              </w:rPr>
              <w:noBreakHyphen/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2B11455" w14:textId="77777777" w:rsidR="001E4241" w:rsidRPr="009E4285" w:rsidRDefault="001E4241" w:rsidP="001F2494">
            <w:pPr>
              <w:jc w:val="center"/>
            </w:pPr>
            <w:r w:rsidRPr="009E4285">
              <w:t>6</w:t>
            </w:r>
            <w:r w:rsidRPr="009E4285">
              <w:rPr>
                <w:bCs/>
              </w:rPr>
              <w:t>×</w:t>
            </w:r>
            <w:r w:rsidRPr="009E4285">
              <w:t>10</w:t>
            </w:r>
            <w:r w:rsidRPr="009E4285">
              <w:rPr>
                <w:vertAlign w:val="superscript"/>
              </w:rPr>
              <w:noBreakHyphen/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2B11456" w14:textId="77777777" w:rsidR="001E4241" w:rsidRPr="009E4285" w:rsidRDefault="001E4241" w:rsidP="001F2494">
            <w:pPr>
              <w:jc w:val="center"/>
            </w:pPr>
            <w:r w:rsidRPr="009E4285">
              <w:t>Yes</w:t>
            </w:r>
          </w:p>
        </w:tc>
      </w:tr>
      <w:tr w:rsidR="001E4241" w:rsidRPr="00287983" w14:paraId="12B1145D" w14:textId="77777777" w:rsidTr="001E4241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B11458" w14:textId="77777777" w:rsidR="001E4241" w:rsidRPr="009E4285" w:rsidRDefault="001E4241" w:rsidP="001F249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2B11459" w14:textId="77777777" w:rsidR="001E4241" w:rsidRPr="009E4285" w:rsidRDefault="001E4241" w:rsidP="001F2494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2B1145A" w14:textId="77777777" w:rsidR="001E4241" w:rsidRPr="009E4285" w:rsidRDefault="001E4241" w:rsidP="001F2494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2B1145B" w14:textId="77777777" w:rsidR="001E4241" w:rsidRPr="009E4285" w:rsidRDefault="001E4241" w:rsidP="001F2494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2B1145C" w14:textId="77777777" w:rsidR="001E4241" w:rsidRPr="009E4285" w:rsidRDefault="001E4241" w:rsidP="001F2494">
            <w:pPr>
              <w:jc w:val="center"/>
            </w:pPr>
          </w:p>
        </w:tc>
      </w:tr>
      <w:tr w:rsidR="001E4241" w:rsidRPr="00287983" w14:paraId="12B11463" w14:textId="77777777" w:rsidTr="001E4241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B1145E" w14:textId="77777777" w:rsidR="001E4241" w:rsidRPr="009E4285" w:rsidRDefault="001E4241" w:rsidP="001F2494">
            <w:r w:rsidRPr="009E4285">
              <w:t>Microchannel 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2B1145F" w14:textId="77777777" w:rsidR="001E4241" w:rsidRPr="009E4285" w:rsidRDefault="001E4241" w:rsidP="001F2494">
            <w:pPr>
              <w:jc w:val="both"/>
            </w:pPr>
            <w:r w:rsidRPr="009E4285">
              <w:t>0, 50, 150, 300, 450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2B11460" w14:textId="77777777" w:rsidR="001E4241" w:rsidRPr="009E4285" w:rsidRDefault="001E4241" w:rsidP="001F2494">
            <w:pPr>
              <w:jc w:val="center"/>
            </w:pPr>
            <w:r w:rsidRPr="009E4285">
              <w:t>1.6×10</w:t>
            </w:r>
            <w:r w:rsidRPr="009E4285">
              <w:rPr>
                <w:vertAlign w:val="superscript"/>
              </w:rPr>
              <w:noBreakHyphen/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2B11461" w14:textId="77777777" w:rsidR="001E4241" w:rsidRPr="009E4285" w:rsidRDefault="001E4241" w:rsidP="001F2494">
            <w:pPr>
              <w:jc w:val="center"/>
            </w:pPr>
            <w:r w:rsidRPr="009E4285">
              <w:t>5×10</w:t>
            </w:r>
            <w:r w:rsidRPr="009E4285">
              <w:rPr>
                <w:vertAlign w:val="superscript"/>
              </w:rPr>
              <w:noBreakHyphen/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2B11462" w14:textId="77777777" w:rsidR="001E4241" w:rsidRPr="009E4285" w:rsidRDefault="001E4241" w:rsidP="001F2494">
            <w:pPr>
              <w:jc w:val="center"/>
            </w:pPr>
            <w:r w:rsidRPr="009E4285">
              <w:t>No</w:t>
            </w:r>
          </w:p>
        </w:tc>
      </w:tr>
      <w:tr w:rsidR="001E4241" w:rsidRPr="00287983" w14:paraId="12B11469" w14:textId="77777777" w:rsidTr="001E4241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B11464" w14:textId="77777777" w:rsidR="001E4241" w:rsidRPr="009E4285" w:rsidRDefault="001E4241" w:rsidP="001F2494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2B11465" w14:textId="77777777" w:rsidR="001E4241" w:rsidRPr="009E4285" w:rsidRDefault="001E4241" w:rsidP="001F2494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2B11466" w14:textId="77777777" w:rsidR="001E4241" w:rsidRPr="009E4285" w:rsidRDefault="001E4241" w:rsidP="001F2494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2B11467" w14:textId="77777777" w:rsidR="001E4241" w:rsidRPr="009E4285" w:rsidRDefault="001E4241" w:rsidP="001F2494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2B11468" w14:textId="77777777" w:rsidR="001E4241" w:rsidRPr="009E4285" w:rsidRDefault="001E4241" w:rsidP="001F2494">
            <w:pPr>
              <w:jc w:val="center"/>
            </w:pPr>
          </w:p>
        </w:tc>
      </w:tr>
      <w:tr w:rsidR="001E4241" w:rsidRPr="00287983" w14:paraId="12B1146F" w14:textId="77777777" w:rsidTr="001E4241">
        <w:trPr>
          <w:jc w:val="center"/>
        </w:trPr>
        <w:tc>
          <w:tcPr>
            <w:tcW w:w="208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2B1146A" w14:textId="77777777" w:rsidR="001E4241" w:rsidRPr="009E4285" w:rsidRDefault="001E4241" w:rsidP="001F2494">
            <w:r w:rsidRPr="009E4285">
              <w:t>HNO</w:t>
            </w:r>
            <w:r w:rsidRPr="009E4285">
              <w:rPr>
                <w:vertAlign w:val="subscript"/>
              </w:rPr>
              <w:t>3</w:t>
            </w:r>
            <w:r w:rsidRPr="009E4285">
              <w:t xml:space="preserve"> 1M</w:t>
            </w:r>
          </w:p>
        </w:tc>
        <w:tc>
          <w:tcPr>
            <w:tcW w:w="30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2B1146B" w14:textId="77777777" w:rsidR="001E4241" w:rsidRPr="009E4285" w:rsidRDefault="001E4241" w:rsidP="001F2494">
            <w:pPr>
              <w:jc w:val="both"/>
            </w:pPr>
            <w:r w:rsidRPr="009E4285">
              <w:t>0, 20, 40, 60, 80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2B1146C" w14:textId="77777777" w:rsidR="001E4241" w:rsidRPr="009E4285" w:rsidRDefault="001E4241" w:rsidP="001F2494">
            <w:pPr>
              <w:jc w:val="center"/>
            </w:pPr>
            <w:r w:rsidRPr="009E4285">
              <w:t>1.6×10</w:t>
            </w:r>
            <w:r w:rsidRPr="009E4285">
              <w:rPr>
                <w:vertAlign w:val="superscript"/>
              </w:rPr>
              <w:noBreakHyphen/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2B1146D" w14:textId="77777777" w:rsidR="001E4241" w:rsidRPr="009E4285" w:rsidRDefault="001E4241" w:rsidP="001F2494">
            <w:pPr>
              <w:jc w:val="center"/>
            </w:pPr>
            <w:r w:rsidRPr="009E4285">
              <w:t>6</w:t>
            </w:r>
            <w:r w:rsidRPr="009E4285">
              <w:rPr>
                <w:bCs/>
              </w:rPr>
              <w:t>×</w:t>
            </w:r>
            <w:r w:rsidRPr="009E4285">
              <w:t>10</w:t>
            </w:r>
            <w:r w:rsidRPr="009E4285">
              <w:rPr>
                <w:vertAlign w:val="superscript"/>
              </w:rPr>
              <w:noBreakHyphen/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2B1146E" w14:textId="77777777" w:rsidR="001E4241" w:rsidRPr="009E4285" w:rsidRDefault="001E4241" w:rsidP="001F2494">
            <w:pPr>
              <w:jc w:val="center"/>
            </w:pPr>
            <w:r w:rsidRPr="009E4285">
              <w:t>No</w:t>
            </w:r>
          </w:p>
        </w:tc>
      </w:tr>
    </w:tbl>
    <w:p w14:paraId="12B11470" w14:textId="77777777" w:rsidR="001E4241" w:rsidRDefault="001E4241">
      <w:pPr>
        <w:rPr>
          <w:sz w:val="18"/>
          <w:szCs w:val="18"/>
          <w:vertAlign w:val="superscript"/>
        </w:rPr>
      </w:pPr>
    </w:p>
    <w:p w14:paraId="12B11471" w14:textId="2F097215" w:rsidR="00B8098F" w:rsidRDefault="001E4241" w:rsidP="001E4241">
      <w:pPr>
        <w:jc w:val="both"/>
      </w:pPr>
      <w:r w:rsidRPr="001E4241">
        <w:rPr>
          <w:sz w:val="18"/>
          <w:szCs w:val="18"/>
          <w:vertAlign w:val="superscript"/>
        </w:rPr>
        <w:sym w:font="Wingdings 2" w:char="F084"/>
      </w:r>
      <w:r>
        <w:rPr>
          <w:sz w:val="18"/>
          <w:szCs w:val="18"/>
        </w:rPr>
        <w:t xml:space="preserve"> </w:t>
      </w:r>
      <w:r w:rsidRPr="00E47622">
        <w:rPr>
          <w:sz w:val="18"/>
          <w:szCs w:val="18"/>
        </w:rPr>
        <w:t>Data are obtaine</w:t>
      </w:r>
      <w:r w:rsidR="00D62FB7">
        <w:rPr>
          <w:sz w:val="18"/>
          <w:szCs w:val="18"/>
        </w:rPr>
        <w:t>d from microchannel 1. “Microchannel 1a” and “M</w:t>
      </w:r>
      <w:r w:rsidRPr="00E47622">
        <w:rPr>
          <w:sz w:val="18"/>
          <w:szCs w:val="18"/>
        </w:rPr>
        <w:t>icrochannel1b” are chosen as labels to indicate that two sets of ICP</w:t>
      </w:r>
      <w:r w:rsidRPr="00E47622">
        <w:rPr>
          <w:sz w:val="18"/>
          <w:szCs w:val="18"/>
        </w:rPr>
        <w:noBreakHyphen/>
        <w:t>MS analysis were made to assess the K</w:t>
      </w:r>
      <w:r w:rsidRPr="00E47622">
        <w:rPr>
          <w:sz w:val="18"/>
          <w:szCs w:val="18"/>
          <w:vertAlign w:val="superscript"/>
        </w:rPr>
        <w:t xml:space="preserve">+ </w:t>
      </w:r>
      <w:r w:rsidRPr="00E47622">
        <w:rPr>
          <w:sz w:val="18"/>
          <w:szCs w:val="18"/>
        </w:rPr>
        <w:t>leaching rate in the long leaching experiment (data of the inset of Fig</w:t>
      </w:r>
      <w:r>
        <w:rPr>
          <w:sz w:val="18"/>
          <w:szCs w:val="18"/>
        </w:rPr>
        <w:t>.</w:t>
      </w:r>
      <w:r w:rsidR="00D62FB7">
        <w:rPr>
          <w:sz w:val="18"/>
          <w:szCs w:val="18"/>
        </w:rPr>
        <w:t>2 of</w:t>
      </w:r>
      <w:r w:rsidRPr="00E47622">
        <w:rPr>
          <w:sz w:val="18"/>
          <w:szCs w:val="18"/>
        </w:rPr>
        <w:t xml:space="preserve"> the main t</w:t>
      </w:r>
      <w:bookmarkStart w:id="2" w:name="_GoBack"/>
      <w:bookmarkEnd w:id="2"/>
      <w:r w:rsidRPr="00E47622">
        <w:rPr>
          <w:sz w:val="18"/>
          <w:szCs w:val="18"/>
        </w:rPr>
        <w:t>ext).</w:t>
      </w:r>
    </w:p>
    <w:sectPr w:rsidR="00B8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1474" w14:textId="77777777" w:rsidR="003E3702" w:rsidRDefault="003E3702" w:rsidP="001E4241">
      <w:r>
        <w:separator/>
      </w:r>
    </w:p>
  </w:endnote>
  <w:endnote w:type="continuationSeparator" w:id="0">
    <w:p w14:paraId="12B11475" w14:textId="77777777" w:rsidR="003E3702" w:rsidRDefault="003E3702" w:rsidP="001E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11472" w14:textId="77777777" w:rsidR="003E3702" w:rsidRDefault="003E3702" w:rsidP="001E4241">
      <w:r>
        <w:separator/>
      </w:r>
    </w:p>
  </w:footnote>
  <w:footnote w:type="continuationSeparator" w:id="0">
    <w:p w14:paraId="12B11473" w14:textId="77777777" w:rsidR="003E3702" w:rsidRDefault="003E3702" w:rsidP="001E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41"/>
    <w:rsid w:val="001E4241"/>
    <w:rsid w:val="003E3702"/>
    <w:rsid w:val="00AA56F0"/>
    <w:rsid w:val="00D62FB7"/>
    <w:rsid w:val="00E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142D"/>
  <w15:chartTrackingRefBased/>
  <w15:docId w15:val="{CE463B18-C68A-44BC-A956-50AD228D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1E4241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E42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2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E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E424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E4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Ciceri</dc:creator>
  <cp:keywords/>
  <dc:description/>
  <cp:lastModifiedBy>Davide Ciceri</cp:lastModifiedBy>
  <cp:revision>2</cp:revision>
  <dcterms:created xsi:type="dcterms:W3CDTF">2015-06-01T19:59:00Z</dcterms:created>
  <dcterms:modified xsi:type="dcterms:W3CDTF">2015-06-02T15:51:00Z</dcterms:modified>
</cp:coreProperties>
</file>