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F2AF" w14:textId="32C6F6FA" w:rsidR="000D0652" w:rsidRDefault="00BE0484" w:rsidP="000D0652">
      <w:pPr>
        <w:keepNext/>
        <w:jc w:val="center"/>
        <w:rPr>
          <w:b/>
        </w:rPr>
      </w:pPr>
      <w:r>
        <w:rPr>
          <w:b/>
        </w:rPr>
        <w:t>S1</w:t>
      </w:r>
      <w:r w:rsidR="000D0652" w:rsidRPr="000D0652">
        <w:rPr>
          <w:b/>
        </w:rPr>
        <w:t xml:space="preserve"> Appendix: </w:t>
      </w:r>
      <w:r>
        <w:rPr>
          <w:b/>
        </w:rPr>
        <w:t>ACPP uptake in other organs.</w:t>
      </w:r>
    </w:p>
    <w:p w14:paraId="6234C50D" w14:textId="77777777" w:rsidR="00473D90" w:rsidRDefault="00473D90" w:rsidP="000D0652">
      <w:pPr>
        <w:keepNext/>
        <w:jc w:val="center"/>
        <w:rPr>
          <w:b/>
        </w:rPr>
      </w:pPr>
    </w:p>
    <w:p w14:paraId="2C410A15" w14:textId="656E3FA1" w:rsidR="00BE0484" w:rsidRDefault="008B28BB" w:rsidP="00866BD6">
      <w:pPr>
        <w:keepNext/>
        <w:spacing w:line="48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At the end of the 6-</w:t>
      </w:r>
      <w:r w:rsidR="00BE0484" w:rsidRPr="00A26676">
        <w:rPr>
          <w:rFonts w:ascii="Calibri" w:hAnsi="Calibri"/>
        </w:rPr>
        <w:t>hour ACPP circulation period</w:t>
      </w:r>
      <w:r w:rsidR="00473D90">
        <w:rPr>
          <w:rFonts w:ascii="Calibri" w:hAnsi="Calibri"/>
        </w:rPr>
        <w:t>,</w:t>
      </w:r>
      <w:r w:rsidR="00BE0484" w:rsidRPr="00A26676">
        <w:rPr>
          <w:rFonts w:ascii="Calibri" w:hAnsi="Calibri"/>
        </w:rPr>
        <w:t xml:space="preserve"> tissue was harve</w:t>
      </w:r>
      <w:r>
        <w:rPr>
          <w:rFonts w:ascii="Calibri" w:hAnsi="Calibri"/>
        </w:rPr>
        <w:t xml:space="preserve">sted, homogenized and suspended </w:t>
      </w:r>
      <w:r w:rsidR="00BE0484" w:rsidRPr="00A26676">
        <w:rPr>
          <w:rFonts w:ascii="Calibri" w:hAnsi="Calibri"/>
        </w:rPr>
        <w:t xml:space="preserve">in a plate reader. Aorta segments were obtained from levels known to have little vulnerable plaque, as these are distal to the site of balloon injury. In parallel, liver </w:t>
      </w:r>
      <w:r>
        <w:rPr>
          <w:rFonts w:ascii="Calibri" w:hAnsi="Calibri"/>
        </w:rPr>
        <w:t xml:space="preserve">and muscle </w:t>
      </w:r>
      <w:r w:rsidR="00BE0484" w:rsidRPr="00A26676">
        <w:rPr>
          <w:rFonts w:ascii="Calibri" w:hAnsi="Calibri"/>
        </w:rPr>
        <w:t>samples harvested. Tissues were weighed and homogenized in 9x volumes of a SDS homogenization buffer (</w:t>
      </w:r>
      <w:r w:rsidR="00BE0484" w:rsidRPr="00A26676">
        <w:rPr>
          <w:rFonts w:ascii="Calibri" w:hAnsi="Calibri" w:cs="Arial"/>
        </w:rPr>
        <w:t xml:space="preserve">25mg/ml </w:t>
      </w:r>
      <w:proofErr w:type="spellStart"/>
      <w:r w:rsidR="00BE0484" w:rsidRPr="00A26676">
        <w:rPr>
          <w:rFonts w:ascii="Calibri" w:hAnsi="Calibri" w:cs="Arial"/>
        </w:rPr>
        <w:t>ProK</w:t>
      </w:r>
      <w:proofErr w:type="spellEnd"/>
      <w:r w:rsidR="00BE0484" w:rsidRPr="00A26676">
        <w:rPr>
          <w:rFonts w:ascii="Calibri" w:hAnsi="Calibri" w:cs="Arial"/>
        </w:rPr>
        <w:t xml:space="preserve">, 0.1mg/ml </w:t>
      </w:r>
      <w:proofErr w:type="spellStart"/>
      <w:r w:rsidR="00BE0484" w:rsidRPr="00A26676">
        <w:rPr>
          <w:rFonts w:ascii="Calibri" w:hAnsi="Calibri" w:cs="Arial"/>
        </w:rPr>
        <w:t>DNAse</w:t>
      </w:r>
      <w:proofErr w:type="spellEnd"/>
      <w:r w:rsidR="00BE0484" w:rsidRPr="00A26676">
        <w:rPr>
          <w:rFonts w:ascii="Calibri" w:hAnsi="Calibri" w:cs="Arial"/>
        </w:rPr>
        <w:t xml:space="preserve">, 150mM </w:t>
      </w:r>
      <w:proofErr w:type="spellStart"/>
      <w:r w:rsidR="00BE0484" w:rsidRPr="00A26676">
        <w:rPr>
          <w:rFonts w:ascii="Calibri" w:hAnsi="Calibri" w:cs="Arial"/>
        </w:rPr>
        <w:t>NaCl</w:t>
      </w:r>
      <w:proofErr w:type="spellEnd"/>
      <w:r w:rsidR="00BE0484" w:rsidRPr="00A26676">
        <w:rPr>
          <w:rFonts w:ascii="Calibri" w:hAnsi="Calibri" w:cs="Arial"/>
        </w:rPr>
        <w:t>, 10mM TRIS PH8,</w:t>
      </w:r>
      <w:r w:rsidR="00BE0484">
        <w:rPr>
          <w:rFonts w:ascii="Calibri" w:hAnsi="Calibri" w:cs="Arial"/>
        </w:rPr>
        <w:t xml:space="preserve"> </w:t>
      </w:r>
      <w:r w:rsidR="00BE0484" w:rsidRPr="00A26676">
        <w:rPr>
          <w:rFonts w:ascii="Calibri" w:hAnsi="Calibri" w:cs="Arial"/>
        </w:rPr>
        <w:t>0.2% SDS)</w:t>
      </w:r>
      <w:r w:rsidR="00BE0484" w:rsidRPr="00A26676">
        <w:rPr>
          <w:rFonts w:ascii="Calibri" w:hAnsi="Calibri"/>
        </w:rPr>
        <w:t xml:space="preserve"> formulated to preserves Cy5 fluorescence. After overnight incubation at 37 degrees, the tissue was </w:t>
      </w:r>
      <w:proofErr w:type="spellStart"/>
      <w:r w:rsidR="00BE0484" w:rsidRPr="00A26676">
        <w:rPr>
          <w:rFonts w:ascii="Calibri" w:hAnsi="Calibri"/>
        </w:rPr>
        <w:t>sonicated</w:t>
      </w:r>
      <w:proofErr w:type="spellEnd"/>
      <w:r w:rsidR="00BE0484" w:rsidRPr="00A26676">
        <w:rPr>
          <w:rFonts w:ascii="Calibri" w:hAnsi="Calibri"/>
        </w:rPr>
        <w:t>. Equivalent volumes were pipetted into 96 well clear bottom plates.</w:t>
      </w:r>
      <w:r w:rsidR="00BE0484">
        <w:rPr>
          <w:rFonts w:ascii="Calibri" w:hAnsi="Calibri"/>
        </w:rPr>
        <w:t xml:space="preserve"> </w:t>
      </w:r>
      <w:r w:rsidR="00BE0484" w:rsidRPr="00A26676">
        <w:rPr>
          <w:rFonts w:ascii="Calibri" w:hAnsi="Calibri"/>
        </w:rPr>
        <w:t>The fluorescence readings for Cy5 were taken with 630</w:t>
      </w:r>
      <w:r w:rsidR="00BE0484">
        <w:rPr>
          <w:rFonts w:ascii="Calibri" w:hAnsi="Calibri"/>
        </w:rPr>
        <w:t>nm</w:t>
      </w:r>
      <w:r w:rsidR="00BE0484" w:rsidRPr="00A26676">
        <w:rPr>
          <w:rFonts w:ascii="Calibri" w:hAnsi="Calibri"/>
        </w:rPr>
        <w:t xml:space="preserve"> </w:t>
      </w:r>
      <w:r w:rsidR="00BE0484">
        <w:rPr>
          <w:rFonts w:ascii="Calibri" w:hAnsi="Calibri"/>
        </w:rPr>
        <w:t xml:space="preserve">(excitation) and </w:t>
      </w:r>
      <w:r w:rsidR="00BE0484" w:rsidRPr="00A26676">
        <w:rPr>
          <w:rFonts w:ascii="Calibri" w:hAnsi="Calibri"/>
        </w:rPr>
        <w:t>680</w:t>
      </w:r>
      <w:r w:rsidR="00BE0484">
        <w:rPr>
          <w:rFonts w:ascii="Calibri" w:hAnsi="Calibri"/>
        </w:rPr>
        <w:t>nm (emission)</w:t>
      </w:r>
      <w:r w:rsidR="00BE0484" w:rsidRPr="00A26676">
        <w:rPr>
          <w:rFonts w:ascii="Calibri" w:hAnsi="Calibri"/>
        </w:rPr>
        <w:t>.</w:t>
      </w:r>
    </w:p>
    <w:p w14:paraId="1D72D5EC" w14:textId="3883A712" w:rsidR="003D762D" w:rsidRPr="00A26676" w:rsidRDefault="003D762D" w:rsidP="00866BD6">
      <w:pPr>
        <w:spacing w:line="480" w:lineRule="auto"/>
        <w:ind w:firstLine="360"/>
        <w:jc w:val="both"/>
        <w:rPr>
          <w:rFonts w:ascii="Calibri" w:hAnsi="Calibri"/>
        </w:rPr>
      </w:pPr>
      <w:r w:rsidRPr="00A26676">
        <w:rPr>
          <w:rFonts w:ascii="Calibri" w:hAnsi="Calibri"/>
        </w:rPr>
        <w:t>The data show</w:t>
      </w:r>
      <w:r w:rsidR="00866BD6">
        <w:rPr>
          <w:rFonts w:ascii="Calibri" w:hAnsi="Calibri"/>
        </w:rPr>
        <w:t>ed</w:t>
      </w:r>
      <w:r w:rsidRPr="00A26676">
        <w:rPr>
          <w:rFonts w:ascii="Calibri" w:hAnsi="Calibri"/>
        </w:rPr>
        <w:t xml:space="preserve"> relatively low fluorescence in aorta homogenates</w:t>
      </w:r>
      <w:r w:rsidR="00E5054C">
        <w:rPr>
          <w:rFonts w:ascii="Calibri" w:hAnsi="Calibri"/>
        </w:rPr>
        <w:t xml:space="preserve"> (Fig.</w:t>
      </w:r>
      <w:bookmarkStart w:id="0" w:name="_GoBack"/>
      <w:bookmarkEnd w:id="0"/>
      <w:r w:rsidR="00866BD6">
        <w:rPr>
          <w:rFonts w:ascii="Calibri" w:hAnsi="Calibri"/>
        </w:rPr>
        <w:t xml:space="preserve"> S1)</w:t>
      </w:r>
      <w:r w:rsidRPr="00A26676">
        <w:rPr>
          <w:rFonts w:ascii="Calibri" w:hAnsi="Calibri"/>
        </w:rPr>
        <w:t>. There was no difference between fluorescence in aorta homogenates from rab</w:t>
      </w:r>
      <w:r w:rsidR="00866BD6">
        <w:rPr>
          <w:rFonts w:ascii="Calibri" w:hAnsi="Calibri"/>
        </w:rPr>
        <w:t>bits injected with the thrombin-</w:t>
      </w:r>
      <w:r w:rsidRPr="00A26676">
        <w:rPr>
          <w:rFonts w:ascii="Calibri" w:hAnsi="Calibri"/>
        </w:rPr>
        <w:t xml:space="preserve">cleavable, or MMP-cleavable or </w:t>
      </w:r>
      <w:proofErr w:type="spellStart"/>
      <w:r w:rsidRPr="00A26676">
        <w:rPr>
          <w:rFonts w:ascii="Calibri" w:hAnsi="Calibri"/>
        </w:rPr>
        <w:t>uncleavable</w:t>
      </w:r>
      <w:proofErr w:type="spellEnd"/>
      <w:r w:rsidR="00866BD6">
        <w:rPr>
          <w:rFonts w:ascii="Calibri" w:hAnsi="Calibri"/>
        </w:rPr>
        <w:t xml:space="preserve"> (PEG)</w:t>
      </w:r>
      <w:r w:rsidRPr="00A26676">
        <w:rPr>
          <w:rFonts w:ascii="Calibri" w:hAnsi="Calibri"/>
        </w:rPr>
        <w:t xml:space="preserve"> ACPPs. This indicates ACPP aorta uptake was equivalent and that local differences in signal are not due to gross differences in uptake. </w:t>
      </w:r>
      <w:r>
        <w:rPr>
          <w:rFonts w:ascii="Calibri" w:hAnsi="Calibri"/>
        </w:rPr>
        <w:t>The uptake of ACPP</w:t>
      </w:r>
      <w:r w:rsidR="00866BD6">
        <w:rPr>
          <w:rFonts w:ascii="Calibri" w:hAnsi="Calibri"/>
        </w:rPr>
        <w:t>s</w:t>
      </w:r>
      <w:r>
        <w:rPr>
          <w:rFonts w:ascii="Calibri" w:hAnsi="Calibri"/>
        </w:rPr>
        <w:t xml:space="preserve"> in muscle is relatively low as compared to aorta uptake. </w:t>
      </w:r>
      <w:r w:rsidRPr="00A26676">
        <w:rPr>
          <w:rFonts w:ascii="Calibri" w:hAnsi="Calibri"/>
        </w:rPr>
        <w:t>Consistent with a hepatic route of ACPP clearance, there was significantly higher fluorescence present in liver homogenates as compared to aortas</w:t>
      </w:r>
      <w:r w:rsidR="00866BD6">
        <w:rPr>
          <w:rFonts w:ascii="Calibri" w:hAnsi="Calibri"/>
        </w:rPr>
        <w:t>/muscles</w:t>
      </w:r>
      <w:r w:rsidRPr="00A26676">
        <w:rPr>
          <w:rFonts w:ascii="Calibri" w:hAnsi="Calibri"/>
        </w:rPr>
        <w:t xml:space="preserve"> from the same rabbit </w:t>
      </w:r>
      <w:r w:rsidRPr="00977F05">
        <w:rPr>
          <w:rFonts w:ascii="Calibri" w:hAnsi="Calibri"/>
        </w:rPr>
        <w:t>(p&lt;0.05, two tailed t-test)</w:t>
      </w:r>
      <w:r w:rsidRPr="00A26676">
        <w:rPr>
          <w:rFonts w:ascii="Calibri" w:hAnsi="Calibri"/>
        </w:rPr>
        <w:t>. However, there was no significant differenc</w:t>
      </w:r>
      <w:r w:rsidR="00866BD6">
        <w:rPr>
          <w:rFonts w:ascii="Calibri" w:hAnsi="Calibri"/>
        </w:rPr>
        <w:t>e in liver uptake of thrombin-cleavable, MMP-</w:t>
      </w:r>
      <w:r w:rsidRPr="00A26676">
        <w:rPr>
          <w:rFonts w:ascii="Calibri" w:hAnsi="Calibri"/>
        </w:rPr>
        <w:t xml:space="preserve">cleavable or </w:t>
      </w:r>
      <w:proofErr w:type="spellStart"/>
      <w:r w:rsidRPr="00A26676">
        <w:rPr>
          <w:rFonts w:ascii="Calibri" w:hAnsi="Calibri"/>
        </w:rPr>
        <w:t>uncleavable</w:t>
      </w:r>
      <w:proofErr w:type="spellEnd"/>
      <w:r w:rsidRPr="00A26676">
        <w:rPr>
          <w:rFonts w:ascii="Calibri" w:hAnsi="Calibri"/>
        </w:rPr>
        <w:t xml:space="preserve"> ACPPs. This further establishes that each rabbit was dosed with a consistent dose of Cy5-labelled ACPP.</w:t>
      </w:r>
    </w:p>
    <w:p w14:paraId="06D7BCCE" w14:textId="77777777" w:rsidR="003D762D" w:rsidRPr="000D0652" w:rsidRDefault="003D762D" w:rsidP="00BE0484">
      <w:pPr>
        <w:keepNext/>
        <w:rPr>
          <w:b/>
        </w:rPr>
      </w:pPr>
    </w:p>
    <w:p w14:paraId="7E48F2C5" w14:textId="77777777" w:rsidR="000D0652" w:rsidRDefault="000D0652" w:rsidP="00045A3D">
      <w:pPr>
        <w:keepNext/>
      </w:pPr>
    </w:p>
    <w:p w14:paraId="6766F73C" w14:textId="15FDB388" w:rsidR="00045A3D" w:rsidRDefault="00045A3D" w:rsidP="00045A3D">
      <w:pPr>
        <w:keepNext/>
      </w:pPr>
    </w:p>
    <w:p w14:paraId="317597BE" w14:textId="77777777" w:rsidR="000C5091" w:rsidRDefault="000C5091" w:rsidP="000C5091"/>
    <w:p w14:paraId="7F14B6F2" w14:textId="77777777" w:rsidR="005461FC" w:rsidRDefault="005461FC" w:rsidP="005461FC">
      <w:pPr>
        <w:keepNext/>
      </w:pPr>
      <w:r>
        <w:rPr>
          <w:noProof/>
        </w:rPr>
        <w:drawing>
          <wp:inline distT="0" distB="0" distL="0" distR="0" wp14:anchorId="1EC26F57" wp14:editId="5D4EC81F">
            <wp:extent cx="5486400" cy="195759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B3476" w14:textId="16377366" w:rsidR="000C5091" w:rsidRPr="005461FC" w:rsidRDefault="005461FC" w:rsidP="005461FC">
      <w:pPr>
        <w:pStyle w:val="Caption"/>
        <w:spacing w:line="480" w:lineRule="auto"/>
        <w:jc w:val="both"/>
        <w:rPr>
          <w:color w:val="auto"/>
        </w:rPr>
      </w:pPr>
      <w:r w:rsidRPr="005461FC">
        <w:rPr>
          <w:color w:val="auto"/>
        </w:rPr>
        <w:t xml:space="preserve">Figure S1: The comparison of MMP-cleavable, thrombin-cleavable and </w:t>
      </w:r>
      <w:proofErr w:type="spellStart"/>
      <w:r w:rsidRPr="005461FC">
        <w:rPr>
          <w:color w:val="auto"/>
        </w:rPr>
        <w:t>uncleavable</w:t>
      </w:r>
      <w:proofErr w:type="spellEnd"/>
      <w:r w:rsidRPr="005461FC">
        <w:rPr>
          <w:color w:val="auto"/>
        </w:rPr>
        <w:t xml:space="preserve"> (PEG) ACPP</w:t>
      </w:r>
      <w:r>
        <w:rPr>
          <w:color w:val="auto"/>
        </w:rPr>
        <w:t>s</w:t>
      </w:r>
      <w:r w:rsidRPr="005461FC">
        <w:rPr>
          <w:color w:val="auto"/>
        </w:rPr>
        <w:t xml:space="preserve"> uptake in aorta (a), liver (b) and m</w:t>
      </w:r>
      <w:r>
        <w:rPr>
          <w:color w:val="auto"/>
        </w:rPr>
        <w:t>uscle (c). Y-axis represents the relative</w:t>
      </w:r>
      <w:r w:rsidRPr="005461FC">
        <w:rPr>
          <w:color w:val="auto"/>
        </w:rPr>
        <w:t xml:space="preserve"> fluorescent signal intensity.</w:t>
      </w:r>
    </w:p>
    <w:p w14:paraId="01CF1EC7" w14:textId="77777777" w:rsidR="000C5091" w:rsidRPr="00A26676" w:rsidRDefault="000C5091" w:rsidP="000C5091">
      <w:pPr>
        <w:rPr>
          <w:rFonts w:ascii="Calibri" w:hAnsi="Calibri"/>
        </w:rPr>
      </w:pPr>
    </w:p>
    <w:p w14:paraId="01DC5AD7" w14:textId="77777777" w:rsidR="000C5091" w:rsidRPr="000C5091" w:rsidRDefault="000C5091" w:rsidP="000C5091">
      <w:pPr>
        <w:pStyle w:val="Caption"/>
      </w:pPr>
    </w:p>
    <w:sectPr w:rsidR="000C5091" w:rsidRPr="000C5091" w:rsidSect="008B28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3D"/>
    <w:rsid w:val="00045A3D"/>
    <w:rsid w:val="000C5091"/>
    <w:rsid w:val="000D0652"/>
    <w:rsid w:val="0012611E"/>
    <w:rsid w:val="001E421D"/>
    <w:rsid w:val="003D762D"/>
    <w:rsid w:val="00443B20"/>
    <w:rsid w:val="00473D90"/>
    <w:rsid w:val="005461FC"/>
    <w:rsid w:val="00645DB5"/>
    <w:rsid w:val="00866BD6"/>
    <w:rsid w:val="008B28BB"/>
    <w:rsid w:val="00BE0484"/>
    <w:rsid w:val="00E5054C"/>
    <w:rsid w:val="00ED4828"/>
    <w:rsid w:val="00F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9E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3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45A3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A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3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45A3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1558</Characters>
  <Application>Microsoft Macintosh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Hua</dc:creator>
  <cp:keywords/>
  <dc:description/>
  <cp:lastModifiedBy>Ning Hua</cp:lastModifiedBy>
  <cp:revision>5</cp:revision>
  <dcterms:created xsi:type="dcterms:W3CDTF">2015-09-04T19:03:00Z</dcterms:created>
  <dcterms:modified xsi:type="dcterms:W3CDTF">2015-09-05T21:58:00Z</dcterms:modified>
</cp:coreProperties>
</file>