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D4" w:rsidRPr="00EA69F6" w:rsidRDefault="0019664F" w:rsidP="00EA6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Supplement </w:t>
      </w:r>
      <w:r w:rsidR="00B00D9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B00D9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00D9C">
        <w:rPr>
          <w:b/>
          <w:sz w:val="28"/>
          <w:szCs w:val="28"/>
        </w:rPr>
        <w:t>Commercial Blue Crab</w:t>
      </w:r>
      <w:r w:rsidR="00365AFF">
        <w:rPr>
          <w:b/>
          <w:sz w:val="28"/>
          <w:szCs w:val="28"/>
        </w:rPr>
        <w:t>s</w:t>
      </w:r>
      <w:r w:rsidR="00B00D9C">
        <w:rPr>
          <w:b/>
          <w:sz w:val="28"/>
          <w:szCs w:val="28"/>
        </w:rPr>
        <w:t xml:space="preserve"> </w:t>
      </w:r>
      <w:r w:rsidR="006208C0">
        <w:rPr>
          <w:b/>
          <w:sz w:val="28"/>
          <w:szCs w:val="28"/>
        </w:rPr>
        <w:t xml:space="preserve">Landings </w:t>
      </w:r>
      <w:r w:rsidR="00B00D9C">
        <w:rPr>
          <w:b/>
          <w:sz w:val="28"/>
          <w:szCs w:val="28"/>
        </w:rPr>
        <w:t xml:space="preserve">in the </w:t>
      </w:r>
      <w:r w:rsidR="006208C0">
        <w:rPr>
          <w:b/>
          <w:sz w:val="28"/>
          <w:szCs w:val="28"/>
        </w:rPr>
        <w:t>GOM:</w:t>
      </w:r>
      <w:r w:rsidR="00B00D9C">
        <w:rPr>
          <w:b/>
          <w:sz w:val="28"/>
          <w:szCs w:val="28"/>
        </w:rPr>
        <w:t xml:space="preserve"> 1989-2013</w:t>
      </w:r>
    </w:p>
    <w:p w:rsidR="006549D7" w:rsidRDefault="00E21A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B00D9C">
        <w:rPr>
          <w:sz w:val="24"/>
          <w:szCs w:val="24"/>
        </w:rPr>
        <w:t>ommercial landings of Blue Crab (in metric tons) from 1989-2013</w:t>
      </w:r>
      <w:r w:rsidR="006F54D1" w:rsidRPr="007B38E1">
        <w:rPr>
          <w:sz w:val="24"/>
          <w:szCs w:val="24"/>
        </w:rPr>
        <w:t>.</w:t>
      </w:r>
      <w:proofErr w:type="gramEnd"/>
      <w:r w:rsidR="00B00D9C">
        <w:rPr>
          <w:sz w:val="24"/>
          <w:szCs w:val="24"/>
        </w:rPr>
        <w:t xml:space="preserve"> Data </w:t>
      </w:r>
      <w:r>
        <w:rPr>
          <w:sz w:val="24"/>
          <w:szCs w:val="24"/>
        </w:rPr>
        <w:t xml:space="preserve">were </w:t>
      </w:r>
      <w:r w:rsidR="00B00D9C">
        <w:rPr>
          <w:sz w:val="24"/>
          <w:szCs w:val="24"/>
        </w:rPr>
        <w:t>downloaded from NOAA (National Oceanic and Atmospheric Administrations) Annual Landings Statistics (</w:t>
      </w:r>
      <w:hyperlink r:id="rId7" w:history="1">
        <w:r w:rsidR="00B00D9C" w:rsidRPr="009E70B0">
          <w:rPr>
            <w:rStyle w:val="Hyperlink"/>
            <w:sz w:val="24"/>
            <w:szCs w:val="24"/>
          </w:rPr>
          <w:t>http://www.st.nmfs.noaa.gov/commercial-fisheries/commercial-landings/annual-landings/index</w:t>
        </w:r>
      </w:hyperlink>
      <w:r w:rsidR="00B00D9C">
        <w:rPr>
          <w:sz w:val="24"/>
          <w:szCs w:val="24"/>
        </w:rPr>
        <w:t>) downloaded on July 8</w:t>
      </w:r>
      <w:r w:rsidR="00B00D9C" w:rsidRPr="00B00D9C">
        <w:rPr>
          <w:sz w:val="24"/>
          <w:szCs w:val="24"/>
          <w:vertAlign w:val="superscript"/>
        </w:rPr>
        <w:t>th</w:t>
      </w:r>
      <w:r w:rsidR="00B00D9C">
        <w:rPr>
          <w:sz w:val="24"/>
          <w:szCs w:val="24"/>
        </w:rPr>
        <w:t xml:space="preserve">, 2015. Soft shell and peeler data </w:t>
      </w:r>
      <w:r>
        <w:rPr>
          <w:sz w:val="24"/>
          <w:szCs w:val="24"/>
        </w:rPr>
        <w:t xml:space="preserve">were </w:t>
      </w:r>
      <w:r w:rsidR="00B00D9C">
        <w:rPr>
          <w:sz w:val="24"/>
          <w:szCs w:val="24"/>
        </w:rPr>
        <w:t>not included in this</w:t>
      </w:r>
      <w:bookmarkStart w:id="0" w:name="_GoBack"/>
      <w:bookmarkEnd w:id="0"/>
      <w:r w:rsidR="00B00D9C">
        <w:rPr>
          <w:sz w:val="24"/>
          <w:szCs w:val="24"/>
        </w:rPr>
        <w:t xml:space="preserve"> dataset. </w:t>
      </w:r>
      <w:proofErr w:type="gramStart"/>
      <w:r>
        <w:rPr>
          <w:sz w:val="24"/>
          <w:szCs w:val="24"/>
        </w:rPr>
        <w:t>O</w:t>
      </w:r>
      <w:r w:rsidR="00B00D9C">
        <w:rPr>
          <w:sz w:val="24"/>
          <w:szCs w:val="24"/>
        </w:rPr>
        <w:t xml:space="preserve">verall Gulf of Mexico landings (a), </w:t>
      </w:r>
      <w:r>
        <w:rPr>
          <w:sz w:val="24"/>
          <w:szCs w:val="24"/>
        </w:rPr>
        <w:t>S</w:t>
      </w:r>
      <w:r w:rsidR="00B00D9C">
        <w:rPr>
          <w:sz w:val="24"/>
          <w:szCs w:val="24"/>
        </w:rPr>
        <w:t>tate-wide landings in Texas (b), Louisiana (c), Alabama (d), Mississippi (e) and the Florida West</w:t>
      </w:r>
      <w:r w:rsidR="00804D63">
        <w:rPr>
          <w:sz w:val="24"/>
          <w:szCs w:val="24"/>
        </w:rPr>
        <w:t xml:space="preserve"> (GOM)</w:t>
      </w:r>
      <w:r w:rsidR="00B00D9C">
        <w:rPr>
          <w:sz w:val="24"/>
          <w:szCs w:val="24"/>
        </w:rPr>
        <w:t xml:space="preserve"> Coast (f).</w:t>
      </w:r>
      <w:proofErr w:type="gramEnd"/>
      <w:r w:rsidR="00AB1406">
        <w:rPr>
          <w:sz w:val="24"/>
          <w:szCs w:val="24"/>
        </w:rPr>
        <w:t xml:space="preserve"> </w:t>
      </w:r>
    </w:p>
    <w:p w:rsidR="006F54D1" w:rsidRDefault="000F075E" w:rsidP="000F075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BBEC44C" wp14:editId="507D5E6A">
            <wp:extent cx="5456010" cy="33432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075E" w:rsidRDefault="000F075E" w:rsidP="000F075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49BFB4C" wp14:editId="1F0476F1">
            <wp:extent cx="5434692" cy="33432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075E" w:rsidRDefault="000F075E" w:rsidP="000F075E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53B76C" wp14:editId="6BB062BA">
            <wp:extent cx="5434692" cy="33432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075E" w:rsidRDefault="000F075E" w:rsidP="000F075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C8781F" wp14:editId="6DB53585">
            <wp:extent cx="5436507" cy="33528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075E" w:rsidRDefault="000F075E" w:rsidP="000F075E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D31D9C" wp14:editId="4D23D1E6">
            <wp:extent cx="5446485" cy="33432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075E" w:rsidRDefault="000F075E" w:rsidP="000F075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38316E" wp14:editId="70CD30BC">
            <wp:extent cx="5446485" cy="33432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0F075E" w:rsidSect="001065FD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28" w:rsidRDefault="00694F28" w:rsidP="006549D7">
      <w:pPr>
        <w:spacing w:after="0" w:line="240" w:lineRule="auto"/>
      </w:pPr>
      <w:r>
        <w:separator/>
      </w:r>
    </w:p>
  </w:endnote>
  <w:endnote w:type="continuationSeparator" w:id="0">
    <w:p w:rsidR="00694F28" w:rsidRDefault="00694F28" w:rsidP="0065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28" w:rsidRDefault="00694F28" w:rsidP="006549D7">
      <w:pPr>
        <w:spacing w:after="0" w:line="240" w:lineRule="auto"/>
      </w:pPr>
      <w:r>
        <w:separator/>
      </w:r>
    </w:p>
  </w:footnote>
  <w:footnote w:type="continuationSeparator" w:id="0">
    <w:p w:rsidR="00694F28" w:rsidRDefault="00694F28" w:rsidP="0065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D7" w:rsidRDefault="00B07077" w:rsidP="006549D7">
    <w:pPr>
      <w:pStyle w:val="Header"/>
      <w:jc w:val="right"/>
    </w:pPr>
    <w:r>
      <w:t>S7</w:t>
    </w:r>
  </w:p>
  <w:p w:rsidR="006549D7" w:rsidRDefault="00654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9D7"/>
    <w:rsid w:val="00011F5D"/>
    <w:rsid w:val="00052300"/>
    <w:rsid w:val="000D3242"/>
    <w:rsid w:val="000F075E"/>
    <w:rsid w:val="001045A5"/>
    <w:rsid w:val="001065FD"/>
    <w:rsid w:val="0019664F"/>
    <w:rsid w:val="001E3035"/>
    <w:rsid w:val="00365AFF"/>
    <w:rsid w:val="00420734"/>
    <w:rsid w:val="004C1296"/>
    <w:rsid w:val="004D497C"/>
    <w:rsid w:val="006208C0"/>
    <w:rsid w:val="00622755"/>
    <w:rsid w:val="006549D7"/>
    <w:rsid w:val="00694F28"/>
    <w:rsid w:val="006C5510"/>
    <w:rsid w:val="006F54D1"/>
    <w:rsid w:val="00772619"/>
    <w:rsid w:val="007B38E1"/>
    <w:rsid w:val="00804D63"/>
    <w:rsid w:val="008401A8"/>
    <w:rsid w:val="008402FE"/>
    <w:rsid w:val="00854538"/>
    <w:rsid w:val="008B3EE2"/>
    <w:rsid w:val="00916811"/>
    <w:rsid w:val="00943708"/>
    <w:rsid w:val="009579A5"/>
    <w:rsid w:val="00964056"/>
    <w:rsid w:val="00971849"/>
    <w:rsid w:val="00990FB3"/>
    <w:rsid w:val="00A54566"/>
    <w:rsid w:val="00AB1406"/>
    <w:rsid w:val="00AB4B0A"/>
    <w:rsid w:val="00B00D9C"/>
    <w:rsid w:val="00B07077"/>
    <w:rsid w:val="00B54A0C"/>
    <w:rsid w:val="00B84811"/>
    <w:rsid w:val="00BA11D7"/>
    <w:rsid w:val="00BA7199"/>
    <w:rsid w:val="00BD35BD"/>
    <w:rsid w:val="00BD36C4"/>
    <w:rsid w:val="00BD7972"/>
    <w:rsid w:val="00C2302B"/>
    <w:rsid w:val="00C34791"/>
    <w:rsid w:val="00C37E4E"/>
    <w:rsid w:val="00CA7648"/>
    <w:rsid w:val="00CC6A12"/>
    <w:rsid w:val="00D0212D"/>
    <w:rsid w:val="00D655B1"/>
    <w:rsid w:val="00D75782"/>
    <w:rsid w:val="00DC333D"/>
    <w:rsid w:val="00DE7BD4"/>
    <w:rsid w:val="00E21A4C"/>
    <w:rsid w:val="00E65BD4"/>
    <w:rsid w:val="00E70772"/>
    <w:rsid w:val="00EA69F6"/>
    <w:rsid w:val="00FC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D7"/>
  </w:style>
  <w:style w:type="paragraph" w:styleId="Footer">
    <w:name w:val="footer"/>
    <w:basedOn w:val="Normal"/>
    <w:link w:val="FooterChar"/>
    <w:uiPriority w:val="99"/>
    <w:unhideWhenUsed/>
    <w:rsid w:val="0065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D7"/>
  </w:style>
  <w:style w:type="paragraph" w:styleId="BalloonText">
    <w:name w:val="Balloon Text"/>
    <w:basedOn w:val="Normal"/>
    <w:link w:val="BalloonTextChar"/>
    <w:uiPriority w:val="99"/>
    <w:semiHidden/>
    <w:unhideWhenUsed/>
    <w:rsid w:val="006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D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A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A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D7"/>
  </w:style>
  <w:style w:type="paragraph" w:styleId="Footer">
    <w:name w:val="footer"/>
    <w:basedOn w:val="Normal"/>
    <w:link w:val="FooterChar"/>
    <w:uiPriority w:val="99"/>
    <w:unhideWhenUsed/>
    <w:rsid w:val="0065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D7"/>
  </w:style>
  <w:style w:type="paragraph" w:styleId="BalloonText">
    <w:name w:val="Balloon Text"/>
    <w:basedOn w:val="Normal"/>
    <w:link w:val="BalloonTextChar"/>
    <w:uiPriority w:val="99"/>
    <w:semiHidden/>
    <w:unhideWhenUsed/>
    <w:rsid w:val="006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http://www.st.nmfs.noaa.gov/commercial-fisheries/commercial-landings/annual-landings/index" TargetMode="External"/><Relationship Id="rId12" Type="http://schemas.openxmlformats.org/officeDocument/2006/relationships/chart" Target="charts/chart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MF_ANNUAL_LANDINGS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MF_ANNUAL_LANDINGS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MF_ANNUAL_LANDINGS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MF_ANNUAL_LANDINGS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MF_ANNUAL_LANDINGS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MF_ANNUAL_LANDING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a. WHOLE GULF</a:t>
            </a:r>
          </a:p>
        </c:rich>
      </c:tx>
      <c:layout>
        <c:manualLayout>
          <c:xMode val="edge"/>
          <c:yMode val="edge"/>
          <c:x val="0.40314204833055201"/>
          <c:y val="3.35195987904792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544603107399001"/>
          <c:y val="0.19553099294446299"/>
          <c:w val="0.830122928660321"/>
          <c:h val="0.653632176414347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Sheet2!$K$1</c:f>
              <c:strCache>
                <c:ptCount val="1"/>
                <c:pt idx="0">
                  <c:v>Metric Tons</c:v>
                </c:pt>
              </c:strCache>
            </c:strRef>
          </c:tx>
          <c:spPr>
            <a:solidFill>
              <a:srgbClr val="004586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0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cat>
            <c:numRef>
              <c:f>Sheet2!$I$2:$I$26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Sheet2!$K$2:$K$26</c:f>
              <c:numCache>
                <c:formatCode>General</c:formatCode>
                <c:ptCount val="25"/>
                <c:pt idx="0">
                  <c:v>25135.1</c:v>
                </c:pt>
                <c:pt idx="1">
                  <c:v>26334.2</c:v>
                </c:pt>
                <c:pt idx="2">
                  <c:v>29759.8</c:v>
                </c:pt>
                <c:pt idx="3">
                  <c:v>31532.3</c:v>
                </c:pt>
                <c:pt idx="4">
                  <c:v>29684.400000000001</c:v>
                </c:pt>
                <c:pt idx="5">
                  <c:v>24078.9</c:v>
                </c:pt>
                <c:pt idx="6">
                  <c:v>24614.3</c:v>
                </c:pt>
                <c:pt idx="7">
                  <c:v>28237.7</c:v>
                </c:pt>
                <c:pt idx="8">
                  <c:v>29001.8</c:v>
                </c:pt>
                <c:pt idx="9">
                  <c:v>30531.200000000001</c:v>
                </c:pt>
                <c:pt idx="10">
                  <c:v>31086.799999999999</c:v>
                </c:pt>
                <c:pt idx="11">
                  <c:v>30904.1</c:v>
                </c:pt>
                <c:pt idx="12">
                  <c:v>24493.399999999991</c:v>
                </c:pt>
                <c:pt idx="13">
                  <c:v>29741.599999999999</c:v>
                </c:pt>
                <c:pt idx="14">
                  <c:v>28798.7</c:v>
                </c:pt>
                <c:pt idx="15">
                  <c:v>27296.1</c:v>
                </c:pt>
                <c:pt idx="16">
                  <c:v>22572.6</c:v>
                </c:pt>
                <c:pt idx="17">
                  <c:v>30524.19999999999</c:v>
                </c:pt>
                <c:pt idx="18">
                  <c:v>26182.399999999991</c:v>
                </c:pt>
                <c:pt idx="19">
                  <c:v>22283.399999999991</c:v>
                </c:pt>
                <c:pt idx="20">
                  <c:v>27675.7</c:v>
                </c:pt>
                <c:pt idx="21">
                  <c:v>18624.599999999991</c:v>
                </c:pt>
                <c:pt idx="22">
                  <c:v>25120.9</c:v>
                </c:pt>
                <c:pt idx="23">
                  <c:v>22629</c:v>
                </c:pt>
                <c:pt idx="24">
                  <c:v>21028.9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8250624"/>
        <c:axId val="108252160"/>
      </c:barChart>
      <c:catAx>
        <c:axId val="10825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-39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825216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08252160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1"/>
                  <a:t>Metric Tons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8250624"/>
        <c:crossesAt val="1"/>
        <c:crossBetween val="between"/>
      </c:valAx>
      <c:spPr>
        <a:noFill/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b. TEXAS</a:t>
            </a:r>
          </a:p>
        </c:rich>
      </c:tx>
      <c:layout>
        <c:manualLayout>
          <c:xMode val="edge"/>
          <c:yMode val="edge"/>
          <c:x val="0.44930069930069899"/>
          <c:y val="3.35195987904792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88019339458399"/>
          <c:y val="0.19553099294446299"/>
          <c:w val="0.83964445455234604"/>
          <c:h val="0.653632176414347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0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cat>
            <c:numRef>
              <c:f>Sheet2!$I$2:$I$26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Sheet2!$AE$2:$AE$26</c:f>
              <c:numCache>
                <c:formatCode>General</c:formatCode>
                <c:ptCount val="25"/>
                <c:pt idx="0">
                  <c:v>4138.3</c:v>
                </c:pt>
                <c:pt idx="1">
                  <c:v>3900.3</c:v>
                </c:pt>
                <c:pt idx="2">
                  <c:v>2777.5</c:v>
                </c:pt>
                <c:pt idx="3">
                  <c:v>2794.5</c:v>
                </c:pt>
                <c:pt idx="4">
                  <c:v>3758.7</c:v>
                </c:pt>
                <c:pt idx="5">
                  <c:v>2338</c:v>
                </c:pt>
                <c:pt idx="6">
                  <c:v>2625</c:v>
                </c:pt>
                <c:pt idx="7">
                  <c:v>2862.5</c:v>
                </c:pt>
                <c:pt idx="8">
                  <c:v>3213.2</c:v>
                </c:pt>
                <c:pt idx="9">
                  <c:v>3170</c:v>
                </c:pt>
                <c:pt idx="10">
                  <c:v>2935.7</c:v>
                </c:pt>
                <c:pt idx="11">
                  <c:v>2110.6999999999998</c:v>
                </c:pt>
                <c:pt idx="12">
                  <c:v>2342</c:v>
                </c:pt>
                <c:pt idx="13">
                  <c:v>3192</c:v>
                </c:pt>
                <c:pt idx="14">
                  <c:v>2182.4</c:v>
                </c:pt>
                <c:pt idx="15">
                  <c:v>1796.6</c:v>
                </c:pt>
                <c:pt idx="16">
                  <c:v>1414.8</c:v>
                </c:pt>
                <c:pt idx="17">
                  <c:v>891.6</c:v>
                </c:pt>
                <c:pt idx="18">
                  <c:v>1566.6</c:v>
                </c:pt>
                <c:pt idx="19">
                  <c:v>1195.3</c:v>
                </c:pt>
                <c:pt idx="20">
                  <c:v>1290.0999999999999</c:v>
                </c:pt>
                <c:pt idx="21">
                  <c:v>1558.6</c:v>
                </c:pt>
                <c:pt idx="22">
                  <c:v>1312.1</c:v>
                </c:pt>
                <c:pt idx="23">
                  <c:v>1294.3</c:v>
                </c:pt>
                <c:pt idx="24">
                  <c:v>862.7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8964096"/>
        <c:axId val="108965888"/>
      </c:barChart>
      <c:catAx>
        <c:axId val="10896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-39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896588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08965888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1"/>
                  <a:t>Metric Tons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8964096"/>
        <c:crossesAt val="1"/>
        <c:crossBetween val="between"/>
      </c:valAx>
      <c:spPr>
        <a:noFill/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c. LOUISIANA</a:t>
            </a:r>
          </a:p>
        </c:rich>
      </c:tx>
      <c:layout>
        <c:manualLayout>
          <c:xMode val="edge"/>
          <c:yMode val="edge"/>
          <c:x val="0.41958041958042003"/>
          <c:y val="3.35195987904792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344419150156101"/>
          <c:y val="0.19553099294446299"/>
          <c:w val="0.83208027244230198"/>
          <c:h val="0.653632176414347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0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cat>
            <c:numRef>
              <c:f>Sheet2!$I$2:$I$26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Sheet2!$W$2:$W$26</c:f>
              <c:numCache>
                <c:formatCode>General</c:formatCode>
                <c:ptCount val="25"/>
                <c:pt idx="0">
                  <c:v>15145.6</c:v>
                </c:pt>
                <c:pt idx="1">
                  <c:v>17638.8</c:v>
                </c:pt>
                <c:pt idx="2">
                  <c:v>23173.1</c:v>
                </c:pt>
                <c:pt idx="3">
                  <c:v>23470.799999999999</c:v>
                </c:pt>
                <c:pt idx="4">
                  <c:v>20795.900000000001</c:v>
                </c:pt>
                <c:pt idx="5">
                  <c:v>16630.900000000001</c:v>
                </c:pt>
                <c:pt idx="6">
                  <c:v>16744</c:v>
                </c:pt>
                <c:pt idx="7">
                  <c:v>18099.400000000001</c:v>
                </c:pt>
                <c:pt idx="8">
                  <c:v>19704.099999999991</c:v>
                </c:pt>
                <c:pt idx="9">
                  <c:v>19722.400000000001</c:v>
                </c:pt>
                <c:pt idx="10">
                  <c:v>21014.1</c:v>
                </c:pt>
                <c:pt idx="11">
                  <c:v>23335.7</c:v>
                </c:pt>
                <c:pt idx="12">
                  <c:v>18777.8</c:v>
                </c:pt>
                <c:pt idx="13">
                  <c:v>22566.9</c:v>
                </c:pt>
                <c:pt idx="14">
                  <c:v>21638.9</c:v>
                </c:pt>
                <c:pt idx="15">
                  <c:v>19989.3</c:v>
                </c:pt>
                <c:pt idx="16">
                  <c:v>17182.099999999991</c:v>
                </c:pt>
                <c:pt idx="17">
                  <c:v>24155.1</c:v>
                </c:pt>
                <c:pt idx="18">
                  <c:v>20367.5</c:v>
                </c:pt>
                <c:pt idx="19">
                  <c:v>18877.7</c:v>
                </c:pt>
                <c:pt idx="20">
                  <c:v>23970.5</c:v>
                </c:pt>
                <c:pt idx="21">
                  <c:v>13889.6</c:v>
                </c:pt>
                <c:pt idx="22">
                  <c:v>19824.900000000001</c:v>
                </c:pt>
                <c:pt idx="23">
                  <c:v>18507.900000000001</c:v>
                </c:pt>
                <c:pt idx="24">
                  <c:v>17533.400000000001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9071744"/>
        <c:axId val="109073536"/>
      </c:barChart>
      <c:catAx>
        <c:axId val="10907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-39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90735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09073536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1"/>
                  <a:t>Metric Tons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9071744"/>
        <c:crossesAt val="1"/>
        <c:crossBetween val="between"/>
      </c:valAx>
      <c:spPr>
        <a:noFill/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d. ALABAMA</a:t>
            </a:r>
          </a:p>
        </c:rich>
      </c:tx>
      <c:layout>
        <c:manualLayout>
          <c:xMode val="edge"/>
          <c:yMode val="edge"/>
          <c:x val="0.428321678321678"/>
          <c:y val="3.34261838440111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86683508363001"/>
          <c:y val="0.19498607242339799"/>
          <c:w val="0.83965770668556095"/>
          <c:h val="0.6545961002785519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0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cat>
            <c:numRef>
              <c:f>Sheet2!$I$2:$I$26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Sheet2!$O$2:$O$26</c:f>
              <c:numCache>
                <c:formatCode>General</c:formatCode>
                <c:ptCount val="25"/>
                <c:pt idx="0">
                  <c:v>1855.4</c:v>
                </c:pt>
                <c:pt idx="1">
                  <c:v>1498.2</c:v>
                </c:pt>
                <c:pt idx="2">
                  <c:v>1238.8</c:v>
                </c:pt>
                <c:pt idx="3">
                  <c:v>1610.1</c:v>
                </c:pt>
                <c:pt idx="4">
                  <c:v>1158.5999999999999</c:v>
                </c:pt>
                <c:pt idx="5">
                  <c:v>1219.3</c:v>
                </c:pt>
                <c:pt idx="6">
                  <c:v>1143.2</c:v>
                </c:pt>
                <c:pt idx="7">
                  <c:v>1460.1</c:v>
                </c:pt>
                <c:pt idx="8">
                  <c:v>1576.8</c:v>
                </c:pt>
                <c:pt idx="9">
                  <c:v>1577.4</c:v>
                </c:pt>
                <c:pt idx="10">
                  <c:v>1708.9</c:v>
                </c:pt>
                <c:pt idx="11">
                  <c:v>2168.4</c:v>
                </c:pt>
                <c:pt idx="12">
                  <c:v>1114.5999999999999</c:v>
                </c:pt>
                <c:pt idx="13">
                  <c:v>1168</c:v>
                </c:pt>
                <c:pt idx="14">
                  <c:v>1341.4</c:v>
                </c:pt>
                <c:pt idx="15">
                  <c:v>1509.8</c:v>
                </c:pt>
                <c:pt idx="16">
                  <c:v>464.4</c:v>
                </c:pt>
                <c:pt idx="17">
                  <c:v>1081.5</c:v>
                </c:pt>
                <c:pt idx="18">
                  <c:v>1158.5</c:v>
                </c:pt>
                <c:pt idx="19">
                  <c:v>815.9</c:v>
                </c:pt>
                <c:pt idx="20">
                  <c:v>661.6</c:v>
                </c:pt>
                <c:pt idx="21">
                  <c:v>420.4</c:v>
                </c:pt>
                <c:pt idx="22">
                  <c:v>733.6</c:v>
                </c:pt>
                <c:pt idx="23">
                  <c:v>601.1</c:v>
                </c:pt>
                <c:pt idx="24">
                  <c:v>464.8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9175552"/>
        <c:axId val="109177088"/>
      </c:barChart>
      <c:catAx>
        <c:axId val="10917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-39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917708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09177088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1"/>
                  <a:t>Metric Tons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9175552"/>
        <c:crossesAt val="1"/>
        <c:crossBetween val="between"/>
      </c:valAx>
      <c:spPr>
        <a:noFill/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e.</a:t>
            </a:r>
            <a:r>
              <a:rPr lang="en-US" baseline="0"/>
              <a:t> </a:t>
            </a:r>
            <a:r>
              <a:rPr lang="en-US"/>
              <a:t>MISSISSIPPI</a:t>
            </a:r>
          </a:p>
        </c:rich>
      </c:tx>
      <c:layout>
        <c:manualLayout>
          <c:xMode val="edge"/>
          <c:yMode val="edge"/>
          <c:x val="0.40909090909090901"/>
          <c:y val="3.35195987904792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892827208741"/>
          <c:y val="0.19553099294446299"/>
          <c:w val="0.85663175424149696"/>
          <c:h val="0.653632176414347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0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cat>
            <c:numRef>
              <c:f>Sheet2!$I$2:$I$26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Sheet2!$AA$2:$AA$26</c:f>
              <c:numCache>
                <c:formatCode>General</c:formatCode>
                <c:ptCount val="25"/>
                <c:pt idx="0">
                  <c:v>295.10000000000002</c:v>
                </c:pt>
                <c:pt idx="1">
                  <c:v>177</c:v>
                </c:pt>
                <c:pt idx="2">
                  <c:v>205.8</c:v>
                </c:pt>
                <c:pt idx="3">
                  <c:v>201</c:v>
                </c:pt>
                <c:pt idx="4">
                  <c:v>114.7</c:v>
                </c:pt>
                <c:pt idx="5">
                  <c:v>77.5</c:v>
                </c:pt>
                <c:pt idx="6">
                  <c:v>144.5</c:v>
                </c:pt>
                <c:pt idx="7">
                  <c:v>184.6</c:v>
                </c:pt>
                <c:pt idx="8">
                  <c:v>309.8</c:v>
                </c:pt>
                <c:pt idx="9">
                  <c:v>268.5</c:v>
                </c:pt>
                <c:pt idx="10">
                  <c:v>417.4</c:v>
                </c:pt>
                <c:pt idx="11">
                  <c:v>380.5</c:v>
                </c:pt>
                <c:pt idx="12">
                  <c:v>196.1</c:v>
                </c:pt>
                <c:pt idx="13">
                  <c:v>324.7</c:v>
                </c:pt>
                <c:pt idx="14">
                  <c:v>397</c:v>
                </c:pt>
                <c:pt idx="15">
                  <c:v>368.1</c:v>
                </c:pt>
                <c:pt idx="16">
                  <c:v>194.4</c:v>
                </c:pt>
                <c:pt idx="17">
                  <c:v>511.1</c:v>
                </c:pt>
                <c:pt idx="18">
                  <c:v>334.5</c:v>
                </c:pt>
                <c:pt idx="19">
                  <c:v>204.1</c:v>
                </c:pt>
                <c:pt idx="20">
                  <c:v>247.4</c:v>
                </c:pt>
                <c:pt idx="21">
                  <c:v>166.2</c:v>
                </c:pt>
                <c:pt idx="22">
                  <c:v>167.7</c:v>
                </c:pt>
                <c:pt idx="23">
                  <c:v>354.8</c:v>
                </c:pt>
                <c:pt idx="24">
                  <c:v>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624384"/>
        <c:axId val="114625920"/>
      </c:barChart>
      <c:catAx>
        <c:axId val="11462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-39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462592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4625920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1"/>
                  <a:t>Metric Tons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4624384"/>
        <c:crossesAt val="1"/>
        <c:crossBetween val="between"/>
      </c:valAx>
      <c:spPr>
        <a:noFill/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f. FLORIDA WEST COAST</a:t>
            </a:r>
          </a:p>
        </c:rich>
      </c:tx>
      <c:layout>
        <c:manualLayout>
          <c:xMode val="edge"/>
          <c:yMode val="edge"/>
          <c:x val="0.33566433566433601"/>
          <c:y val="3.35195987904792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13510732151101"/>
          <c:y val="0.19553099294446299"/>
          <c:w val="0.85138929052407197"/>
          <c:h val="0.653632176414347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 w="25400">
              <a:noFill/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0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dPt>
            <c:idx val="21"/>
            <c:invertIfNegative val="0"/>
            <c:bubble3D val="0"/>
            <c:spPr>
              <a:solidFill>
                <a:schemeClr val="tx2"/>
              </a:solidFill>
              <a:ln w="25400">
                <a:noFill/>
              </a:ln>
            </c:spPr>
          </c:dPt>
          <c:cat>
            <c:numRef>
              <c:f>Sheet2!$I$2:$I$26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Sheet2!$S$2:$S$26</c:f>
              <c:numCache>
                <c:formatCode>General</c:formatCode>
                <c:ptCount val="25"/>
                <c:pt idx="0">
                  <c:v>3700.7</c:v>
                </c:pt>
                <c:pt idx="1">
                  <c:v>3119.9</c:v>
                </c:pt>
                <c:pt idx="2">
                  <c:v>2364.6</c:v>
                </c:pt>
                <c:pt idx="3">
                  <c:v>3455.9</c:v>
                </c:pt>
                <c:pt idx="4">
                  <c:v>3856.5</c:v>
                </c:pt>
                <c:pt idx="5">
                  <c:v>3813.2</c:v>
                </c:pt>
                <c:pt idx="6">
                  <c:v>3957.6</c:v>
                </c:pt>
                <c:pt idx="7">
                  <c:v>5631.1</c:v>
                </c:pt>
                <c:pt idx="8">
                  <c:v>4197.9000000000005</c:v>
                </c:pt>
                <c:pt idx="9">
                  <c:v>5792.9</c:v>
                </c:pt>
                <c:pt idx="10">
                  <c:v>5010.7</c:v>
                </c:pt>
                <c:pt idx="11">
                  <c:v>2908.8</c:v>
                </c:pt>
                <c:pt idx="12">
                  <c:v>2062.9</c:v>
                </c:pt>
                <c:pt idx="13">
                  <c:v>2490</c:v>
                </c:pt>
                <c:pt idx="14">
                  <c:v>3239</c:v>
                </c:pt>
                <c:pt idx="15">
                  <c:v>3632.3</c:v>
                </c:pt>
                <c:pt idx="16">
                  <c:v>3316.9</c:v>
                </c:pt>
                <c:pt idx="17">
                  <c:v>3884.9</c:v>
                </c:pt>
                <c:pt idx="18">
                  <c:v>2755.3</c:v>
                </c:pt>
                <c:pt idx="19">
                  <c:v>1190.4000000000001</c:v>
                </c:pt>
                <c:pt idx="20">
                  <c:v>1506.1</c:v>
                </c:pt>
                <c:pt idx="21">
                  <c:v>2589.8000000000002</c:v>
                </c:pt>
                <c:pt idx="22">
                  <c:v>3082.6</c:v>
                </c:pt>
                <c:pt idx="23">
                  <c:v>1870.9</c:v>
                </c:pt>
                <c:pt idx="24">
                  <c:v>2005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789376"/>
        <c:axId val="114795264"/>
      </c:barChart>
      <c:catAx>
        <c:axId val="11478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-39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479526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4795264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1"/>
                  <a:t>Metric Tons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4789376"/>
        <c:crossesAt val="1"/>
        <c:crossBetween val="between"/>
      </c:valAx>
      <c:spPr>
        <a:noFill/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0.10795</cdr:x>
      <cdr:y>0.84681</cdr:y>
    </cdr:from>
    <cdr:to>
      <cdr:x>0.10795</cdr:x>
      <cdr:y>0.84681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382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0.10795</cdr:x>
      <cdr:y>0.84681</cdr:y>
    </cdr:from>
    <cdr:to>
      <cdr:x>0.10795</cdr:x>
      <cdr:y>0.84681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382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0.10795</cdr:x>
      <cdr:y>0.84681</cdr:y>
    </cdr:from>
    <cdr:to>
      <cdr:x>0.10795</cdr:x>
      <cdr:y>0.84681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382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0.10795</cdr:x>
      <cdr:y>0.84681</cdr:y>
    </cdr:from>
    <cdr:to>
      <cdr:x>0.10795</cdr:x>
      <cdr:y>0.84681</cdr:y>
    </cdr:to>
    <cdr:sp macro="" textlink="">
      <cdr:nvSpPr>
        <cdr:cNvPr id="3076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382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0.10795</cdr:x>
      <cdr:y>0.84681</cdr:y>
    </cdr:from>
    <cdr:to>
      <cdr:x>0.10795</cdr:x>
      <cdr:y>0.84681</cdr:y>
    </cdr:to>
    <cdr:sp macro="" textlink="">
      <cdr:nvSpPr>
        <cdr:cNvPr id="3077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382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819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81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819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8196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8197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0.10821</cdr:x>
      <cdr:y>0.84681</cdr:y>
    </cdr:from>
    <cdr:to>
      <cdr:x>0.10821</cdr:x>
      <cdr:y>0.84681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761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0.10821</cdr:x>
      <cdr:y>0.84681</cdr:y>
    </cdr:from>
    <cdr:to>
      <cdr:x>0.10821</cdr:x>
      <cdr:y>0.84681</cdr:y>
    </cdr:to>
    <cdr:sp macro="" textlink="">
      <cdr:nvSpPr>
        <cdr:cNvPr id="614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761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0.10821</cdr:x>
      <cdr:y>0.84681</cdr:y>
    </cdr:from>
    <cdr:to>
      <cdr:x>0.10821</cdr:x>
      <cdr:y>0.84681</cdr:y>
    </cdr:to>
    <cdr:sp macro="" textlink="">
      <cdr:nvSpPr>
        <cdr:cNvPr id="614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761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0.10821</cdr:x>
      <cdr:y>0.84681</cdr:y>
    </cdr:from>
    <cdr:to>
      <cdr:x>0.10821</cdr:x>
      <cdr:y>0.84681</cdr:y>
    </cdr:to>
    <cdr:sp macro="" textlink="">
      <cdr:nvSpPr>
        <cdr:cNvPr id="614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761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0.10821</cdr:x>
      <cdr:y>0.84681</cdr:y>
    </cdr:from>
    <cdr:to>
      <cdr:x>0.10821</cdr:x>
      <cdr:y>0.84681</cdr:y>
    </cdr:to>
    <cdr:sp macro="" textlink="">
      <cdr:nvSpPr>
        <cdr:cNvPr id="614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93761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0.09593</cdr:x>
      <cdr:y>0.84733</cdr:y>
    </cdr:from>
    <cdr:to>
      <cdr:x>0.09593</cdr:x>
      <cdr:y>0.84733</cdr:y>
    </cdr:to>
    <cdr:sp macro="" textlink="">
      <cdr:nvSpPr>
        <cdr:cNvPr id="409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90865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0.84733</cdr:y>
    </cdr:from>
    <cdr:to>
      <cdr:x>0.09593</cdr:x>
      <cdr:y>0.84733</cdr:y>
    </cdr:to>
    <cdr:sp macro="" textlink="">
      <cdr:nvSpPr>
        <cdr:cNvPr id="409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90865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0.84733</cdr:y>
    </cdr:from>
    <cdr:to>
      <cdr:x>0.09593</cdr:x>
      <cdr:y>0.84733</cdr:y>
    </cdr:to>
    <cdr:sp macro="" textlink="">
      <cdr:nvSpPr>
        <cdr:cNvPr id="4099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90865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0.84733</cdr:y>
    </cdr:from>
    <cdr:to>
      <cdr:x>0.09593</cdr:x>
      <cdr:y>0.84733</cdr:y>
    </cdr:to>
    <cdr:sp macro="" textlink="">
      <cdr:nvSpPr>
        <cdr:cNvPr id="4100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90865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0.84733</cdr:y>
    </cdr:from>
    <cdr:to>
      <cdr:x>0.09593</cdr:x>
      <cdr:y>0.84733</cdr:y>
    </cdr:to>
    <cdr:sp macro="" textlink="">
      <cdr:nvSpPr>
        <cdr:cNvPr id="4101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90865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0.08389</cdr:x>
      <cdr:y>0.84681</cdr:y>
    </cdr:from>
    <cdr:to>
      <cdr:x>0.08389</cdr:x>
      <cdr:y>0.84681</cdr:y>
    </cdr:to>
    <cdr:sp macro="" textlink="">
      <cdr:nvSpPr>
        <cdr:cNvPr id="716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1037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0.08389</cdr:x>
      <cdr:y>0.84681</cdr:y>
    </cdr:from>
    <cdr:to>
      <cdr:x>0.08389</cdr:x>
      <cdr:y>0.84681</cdr:y>
    </cdr:to>
    <cdr:sp macro="" textlink="">
      <cdr:nvSpPr>
        <cdr:cNvPr id="717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1037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0.08389</cdr:x>
      <cdr:y>0.84681</cdr:y>
    </cdr:from>
    <cdr:to>
      <cdr:x>0.08389</cdr:x>
      <cdr:y>0.84681</cdr:y>
    </cdr:to>
    <cdr:sp macro="" textlink="">
      <cdr:nvSpPr>
        <cdr:cNvPr id="717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1037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0.08389</cdr:x>
      <cdr:y>0.84681</cdr:y>
    </cdr:from>
    <cdr:to>
      <cdr:x>0.08389</cdr:x>
      <cdr:y>0.84681</cdr:y>
    </cdr:to>
    <cdr:sp macro="" textlink="">
      <cdr:nvSpPr>
        <cdr:cNvPr id="717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1037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0.08389</cdr:x>
      <cdr:y>0.84681</cdr:y>
    </cdr:from>
    <cdr:to>
      <cdr:x>0.08389</cdr:x>
      <cdr:y>0.84681</cdr:y>
    </cdr:to>
    <cdr:sp macro="" textlink="">
      <cdr:nvSpPr>
        <cdr:cNvPr id="717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1037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512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512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51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5124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0.09593</cdr:x>
      <cdr:y>0.84681</cdr:y>
    </cdr:from>
    <cdr:to>
      <cdr:x>0.09593</cdr:x>
      <cdr:y>0.84681</cdr:y>
    </cdr:to>
    <cdr:sp macro="" textlink="">
      <cdr:nvSpPr>
        <cdr:cNvPr id="5125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29" y="2898830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77"/>
              </a:solidFill>
              <a:miter lim="800000"/>
              <a:headEnd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Grey</dc:creator>
  <cp:lastModifiedBy>Erin Grey</cp:lastModifiedBy>
  <cp:revision>6</cp:revision>
  <dcterms:created xsi:type="dcterms:W3CDTF">2015-07-10T17:24:00Z</dcterms:created>
  <dcterms:modified xsi:type="dcterms:W3CDTF">2015-07-10T20:19:00Z</dcterms:modified>
</cp:coreProperties>
</file>