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02" w:rsidRPr="009E78AE" w:rsidRDefault="002D4502" w:rsidP="004129C8">
      <w:pPr>
        <w:spacing w:line="360" w:lineRule="auto"/>
        <w:jc w:val="center"/>
        <w:rPr>
          <w:b/>
          <w:u w:val="single"/>
        </w:rPr>
      </w:pPr>
      <w:r w:rsidRPr="009E78AE">
        <w:rPr>
          <w:b/>
          <w:u w:val="single"/>
        </w:rPr>
        <w:t>Comparison with the CDC/</w:t>
      </w:r>
      <w:r w:rsidR="004129C8" w:rsidRPr="009E78AE">
        <w:rPr>
          <w:b/>
          <w:u w:val="single"/>
        </w:rPr>
        <w:t xml:space="preserve"> </w:t>
      </w:r>
      <w:r w:rsidRPr="009E78AE">
        <w:rPr>
          <w:b/>
          <w:u w:val="single"/>
        </w:rPr>
        <w:t>WV</w:t>
      </w:r>
      <w:r w:rsidR="004129C8" w:rsidRPr="009E78AE">
        <w:rPr>
          <w:b/>
          <w:u w:val="single"/>
        </w:rPr>
        <w:t xml:space="preserve"> </w:t>
      </w:r>
      <w:r w:rsidRPr="009E78AE">
        <w:rPr>
          <w:b/>
          <w:u w:val="single"/>
        </w:rPr>
        <w:t>DHHR CASPER survey</w:t>
      </w:r>
    </w:p>
    <w:p w:rsidR="002D4502" w:rsidRPr="009E78AE" w:rsidRDefault="002D4502" w:rsidP="004129C8">
      <w:pPr>
        <w:pStyle w:val="NoSpacing"/>
      </w:pPr>
    </w:p>
    <w:p w:rsidR="00285759" w:rsidRPr="009E78AE" w:rsidRDefault="00E27719" w:rsidP="00206354">
      <w:pPr>
        <w:spacing w:line="360" w:lineRule="auto"/>
        <w:jc w:val="both"/>
      </w:pPr>
      <w:r w:rsidRPr="009E78AE">
        <w:t xml:space="preserve">The </w:t>
      </w:r>
      <w:r w:rsidR="002D4502" w:rsidRPr="009E78AE">
        <w:t xml:space="preserve">CDC’s CASPER survey was a door-to-door interview, </w:t>
      </w:r>
      <w:r w:rsidRPr="009E78AE">
        <w:t xml:space="preserve">unlike the KCHD survey, which was based on </w:t>
      </w:r>
      <w:r w:rsidR="002D4502" w:rsidRPr="009E78AE">
        <w:t>telephone interview</w:t>
      </w:r>
      <w:r w:rsidR="00B75762" w:rsidRPr="009E78AE">
        <w:t xml:space="preserve">s. Though the survey instrument used in the CASPER survey </w:t>
      </w:r>
      <w:r w:rsidR="002D4502" w:rsidRPr="009E78AE">
        <w:t>contains many questions similar or identical to</w:t>
      </w:r>
      <w:r w:rsidR="00B75762" w:rsidRPr="009E78AE">
        <w:t xml:space="preserve"> those used in the KCHD survey, there was</w:t>
      </w:r>
      <w:r w:rsidR="002D4502" w:rsidRPr="009E78AE">
        <w:t xml:space="preserve"> </w:t>
      </w:r>
      <w:r w:rsidR="007F26B6" w:rsidRPr="009E78AE">
        <w:t>no collaboration/ sharing of survey instruments</w:t>
      </w:r>
      <w:r w:rsidR="00B75762" w:rsidRPr="009E78AE">
        <w:t xml:space="preserve">, and these two </w:t>
      </w:r>
      <w:r w:rsidR="007F26B6" w:rsidRPr="009E78AE">
        <w:t>surveys were completely independent of each other.</w:t>
      </w:r>
      <w:r w:rsidR="00501E4A" w:rsidRPr="009E78AE">
        <w:t xml:space="preserve"> </w:t>
      </w:r>
      <w:r w:rsidR="00D50C2B" w:rsidRPr="009E78AE">
        <w:t>The KCHD instrument was designed with the intent of performing limited two-way and possibly multivariate analyses; the CASPER instrument appears to be intended for univariate analysis, albeit weighted to represent the population in the geographic area.</w:t>
      </w:r>
    </w:p>
    <w:p w:rsidR="00B75762" w:rsidRPr="009E78AE" w:rsidRDefault="00B75762" w:rsidP="00206354">
      <w:pPr>
        <w:pStyle w:val="NoSpacing"/>
        <w:jc w:val="both"/>
      </w:pPr>
    </w:p>
    <w:p w:rsidR="00285759" w:rsidRPr="009E78AE" w:rsidRDefault="00285759" w:rsidP="00206354">
      <w:pPr>
        <w:spacing w:line="360" w:lineRule="auto"/>
        <w:jc w:val="both"/>
        <w:rPr>
          <w:u w:val="single"/>
        </w:rPr>
      </w:pPr>
      <w:r w:rsidRPr="009E78AE">
        <w:rPr>
          <w:u w:val="single"/>
        </w:rPr>
        <w:t>Household demographics</w:t>
      </w:r>
    </w:p>
    <w:p w:rsidR="00A47B20" w:rsidRPr="009E78AE" w:rsidRDefault="00A47B20" w:rsidP="00206354">
      <w:pPr>
        <w:spacing w:line="360" w:lineRule="auto"/>
        <w:jc w:val="both"/>
      </w:pPr>
      <w:r w:rsidRPr="009E78AE">
        <w:t xml:space="preserve">The demographic questions in the CASPER instrument, like the KCHD’s, were based on the Behavioral Risk Factor Surveillance System (BRFSS) questions.  Both the KCHD and CASPER used non-BRFSS income questions.  The CASPER tool was compatible with KCHD’s, but had more response levels. The CASPER tool did not record respondent demographics, but did collect household composition information. </w:t>
      </w:r>
    </w:p>
    <w:p w:rsidR="008C6352" w:rsidRPr="009E78AE" w:rsidRDefault="00F12245" w:rsidP="004129C8">
      <w:pPr>
        <w:spacing w:line="360" w:lineRule="auto"/>
        <w:jc w:val="both"/>
      </w:pPr>
      <w:r w:rsidRPr="009E78AE">
        <w:t>Table</w:t>
      </w:r>
      <w:r w:rsidR="00A47B20" w:rsidRPr="009E78AE">
        <w:t>(</w:t>
      </w:r>
      <w:proofErr w:type="spellStart"/>
      <w:r w:rsidR="00A47B20" w:rsidRPr="009E78AE">
        <w:t>i</w:t>
      </w:r>
      <w:proofErr w:type="spellEnd"/>
      <w:r w:rsidR="00A47B20" w:rsidRPr="009E78AE">
        <w:t>)</w:t>
      </w:r>
      <w:r w:rsidR="00FE0FCF" w:rsidRPr="009E78AE">
        <w:t xml:space="preserve"> compares household age and sex composition from the two surveys.  KCHD households </w:t>
      </w:r>
      <w:r w:rsidR="00480E26" w:rsidRPr="009E78AE">
        <w:t>included</w:t>
      </w:r>
      <w:r w:rsidR="00FE0FCF" w:rsidRPr="009E78AE">
        <w:t xml:space="preserve"> more older individuals and fewer working age adults than the CASPER survey.  </w:t>
      </w:r>
      <w:r w:rsidR="00A47B20" w:rsidRPr="009E78AE">
        <w:t xml:space="preserve"> </w:t>
      </w:r>
    </w:p>
    <w:p w:rsidR="00A47B20" w:rsidRPr="009E78AE" w:rsidRDefault="00A47B20" w:rsidP="004129C8">
      <w:pPr>
        <w:spacing w:line="360" w:lineRule="auto"/>
        <w:jc w:val="both"/>
      </w:pPr>
      <w:r w:rsidRPr="009E78AE">
        <w:t>Because CASPER used a “</w:t>
      </w:r>
      <w:r w:rsidRPr="009E78AE">
        <w:rPr>
          <w:i/>
        </w:rPr>
        <w:t>check all that apply</w:t>
      </w:r>
      <w:r w:rsidRPr="009E78AE">
        <w:t xml:space="preserve">” question for race of household members, compared with KCHD’s question on race of the respondent, the two items are not comparable.  However, it appears that the vast majority of respondents and household members were white.  CASPER sought the highest education level of anyone in the household, whereas KCHD asked for respondent education.  This could explain the apparently higher levels of education reported in the former, e.g.,  57% </w:t>
      </w:r>
      <w:proofErr w:type="spellStart"/>
      <w:r w:rsidRPr="009E78AE">
        <w:t>vs</w:t>
      </w:r>
      <w:proofErr w:type="spellEnd"/>
      <w:r w:rsidRPr="009E78AE">
        <w:t xml:space="preserve"> 37% college educated and 14% vs. 7% advanced degree.  The CASPER survey may have reached a higher-income population than the KCHD; the inclusion of Putnam County (relatively affluent compared with Kanawha County) residences could have contributed to the difference.  The two surveys had similar refusal rates (13% CASPER vs. 12% KCHD) and “don’t know” response rates (5% </w:t>
      </w:r>
      <w:proofErr w:type="spellStart"/>
      <w:r w:rsidRPr="009E78AE">
        <w:t>vs</w:t>
      </w:r>
      <w:proofErr w:type="spellEnd"/>
      <w:r w:rsidRPr="009E78AE">
        <w:t xml:space="preserve"> 4%) to the income item. </w:t>
      </w:r>
    </w:p>
    <w:p w:rsidR="00D50C2B" w:rsidRPr="009E78AE" w:rsidRDefault="00D50C2B" w:rsidP="00501E4A">
      <w:pPr>
        <w:pStyle w:val="NoSpacing"/>
      </w:pPr>
    </w:p>
    <w:p w:rsidR="006675A8" w:rsidRPr="009E78AE" w:rsidRDefault="003969EB" w:rsidP="004129C8">
      <w:pPr>
        <w:spacing w:line="360" w:lineRule="auto"/>
        <w:jc w:val="both"/>
        <w:rPr>
          <w:u w:val="single"/>
        </w:rPr>
      </w:pPr>
      <w:r w:rsidRPr="009E78AE">
        <w:rPr>
          <w:u w:val="single"/>
        </w:rPr>
        <w:t>Communication</w:t>
      </w:r>
    </w:p>
    <w:p w:rsidR="00B41CF4" w:rsidRPr="009E78AE" w:rsidRDefault="003969EB" w:rsidP="004129C8">
      <w:pPr>
        <w:spacing w:line="360" w:lineRule="auto"/>
        <w:jc w:val="both"/>
      </w:pPr>
      <w:r w:rsidRPr="009E78AE">
        <w:t>In both surveys, 81% of households learned of the spill the first day.  About half of both groups first learned of it from television (CASPER</w:t>
      </w:r>
      <w:r w:rsidR="00DE7B96" w:rsidRPr="009E78AE">
        <w:t xml:space="preserve">, 54% vs. KCHD, 51%).  Word of mouth was an </w:t>
      </w:r>
      <w:r w:rsidR="00DE7B96" w:rsidRPr="009E78AE">
        <w:lastRenderedPageBreak/>
        <w:t>equally common source in both surveys (14% vs. 16%).  The CASPER survey asked respondents to choose the most reliable source of information by medium; the KCHD asked for assessment of authorities (federal, state, local, and water company) on three dimensions: clarity, helpfulness, and trustworthiness.  CASPER asked the date respondents learned about the “do not use” order; when “don’t know”</w:t>
      </w:r>
      <w:r w:rsidR="004E04E4" w:rsidRPr="009E78AE">
        <w:t xml:space="preserve"> responses </w:t>
      </w:r>
      <w:r w:rsidR="00480E26" w:rsidRPr="009E78AE">
        <w:t>we</w:t>
      </w:r>
      <w:r w:rsidR="004E04E4" w:rsidRPr="009E78AE">
        <w:t>re excluded;</w:t>
      </w:r>
      <w:r w:rsidR="00DE7B96" w:rsidRPr="009E78AE">
        <w:t xml:space="preserve"> frequencies appear similar to the date they learned of the spill.</w:t>
      </w:r>
    </w:p>
    <w:p w:rsidR="00B41CF4" w:rsidRPr="009E78AE" w:rsidRDefault="00B41CF4" w:rsidP="004129C8">
      <w:pPr>
        <w:spacing w:line="360" w:lineRule="auto"/>
        <w:jc w:val="both"/>
      </w:pPr>
      <w:r w:rsidRPr="009E78AE">
        <w:t xml:space="preserve">Thirty-eight percent of CASPER households learned of water distribution centers from television compared with sixty percent of KCHD’s, a significant difference.  Frequencies for other sources of information were similar.  </w:t>
      </w:r>
    </w:p>
    <w:p w:rsidR="00B41CF4" w:rsidRPr="009E78AE" w:rsidRDefault="00B41CF4" w:rsidP="00501E4A">
      <w:pPr>
        <w:pStyle w:val="NoSpacing"/>
      </w:pPr>
    </w:p>
    <w:p w:rsidR="00B41CF4" w:rsidRPr="009E78AE" w:rsidRDefault="00B41CF4" w:rsidP="004129C8">
      <w:pPr>
        <w:spacing w:line="360" w:lineRule="auto"/>
        <w:jc w:val="both"/>
        <w:rPr>
          <w:u w:val="single"/>
        </w:rPr>
      </w:pPr>
      <w:r w:rsidRPr="009E78AE">
        <w:rPr>
          <w:u w:val="single"/>
        </w:rPr>
        <w:t>Preparedness</w:t>
      </w:r>
    </w:p>
    <w:p w:rsidR="00B41CF4" w:rsidRPr="009E78AE" w:rsidRDefault="00B41CF4" w:rsidP="004129C8">
      <w:pPr>
        <w:spacing w:line="360" w:lineRule="auto"/>
        <w:jc w:val="both"/>
      </w:pPr>
      <w:r w:rsidRPr="009E78AE">
        <w:t xml:space="preserve">About half of households in each survey had bottled water on hand at the start of the emergency (CASPER, 53% vs. KCHD, 48%), but only a minority had a significant amount.  CASPER asked about a “three day supply for each person” while KCHD inquired about the quantity on hand.  Given the EPA estimated water consumption per person of 2 liters per day, and a median 3 person household size, </w:t>
      </w:r>
      <w:r w:rsidR="004E04E4" w:rsidRPr="009E78AE">
        <w:t>the KCHD survey suggests about 6% of responding households had the approximately 5 gallons needed.  The CASPER estimate is somewhat higher at 15%, but there are many uncertainties about estimating quantities and requirements that make both rates suspect.</w:t>
      </w:r>
      <w:r w:rsidRPr="009E78AE">
        <w:t xml:space="preserve"> </w:t>
      </w:r>
    </w:p>
    <w:p w:rsidR="004E04E4" w:rsidRPr="009E78AE" w:rsidRDefault="004E04E4" w:rsidP="00501E4A">
      <w:pPr>
        <w:pStyle w:val="NoSpacing"/>
      </w:pPr>
    </w:p>
    <w:p w:rsidR="004E04E4" w:rsidRPr="009E78AE" w:rsidRDefault="004E04E4" w:rsidP="004129C8">
      <w:pPr>
        <w:spacing w:line="360" w:lineRule="auto"/>
        <w:jc w:val="both"/>
        <w:rPr>
          <w:u w:val="single"/>
        </w:rPr>
      </w:pPr>
      <w:r w:rsidRPr="009E78AE">
        <w:rPr>
          <w:u w:val="single"/>
        </w:rPr>
        <w:t>Alternative water sources</w:t>
      </w:r>
    </w:p>
    <w:p w:rsidR="00C174B9" w:rsidRPr="009E78AE" w:rsidRDefault="00ED1CE1" w:rsidP="004129C8">
      <w:pPr>
        <w:spacing w:line="360" w:lineRule="auto"/>
        <w:jc w:val="both"/>
      </w:pPr>
      <w:r w:rsidRPr="009E78AE">
        <w:t xml:space="preserve">The vast majority of respondent households in both surveys tried to get other water sources besides WVAWC.  </w:t>
      </w:r>
      <w:r w:rsidR="00CE4D2C" w:rsidRPr="009E78AE">
        <w:t xml:space="preserve">Similar proportions used water from all sources except for friends and relatives, which households in the CASPER survey used twice as often (CASPER, </w:t>
      </w:r>
      <w:r w:rsidR="00F62D2C" w:rsidRPr="009E78AE">
        <w:t xml:space="preserve">44% vs. KCHD, 23%).  </w:t>
      </w:r>
    </w:p>
    <w:p w:rsidR="00A47B20" w:rsidRPr="009E78AE" w:rsidRDefault="00A47B20" w:rsidP="00A47B20">
      <w:pPr>
        <w:spacing w:line="360" w:lineRule="auto"/>
        <w:jc w:val="both"/>
      </w:pPr>
      <w:r w:rsidRPr="009E78AE">
        <w:t>A greater proportion of CASPER respondents said they’d traveled out of the affected area to get water than KCHD respondents (49% vs. 29%), but the question format differed between the surveys.  If those who traveled but did not actually get water are excluded, the difference would be smaller.  Since the KCHD questions were multiple response, while the CASPER item had exclusive responses, we cannot directly compare the response frequencies for where the respondents obtained water out of their town.</w:t>
      </w:r>
    </w:p>
    <w:p w:rsidR="00A47B20" w:rsidRPr="009E78AE" w:rsidRDefault="00A47B20" w:rsidP="00501E4A">
      <w:pPr>
        <w:pStyle w:val="NoSpacing"/>
      </w:pPr>
    </w:p>
    <w:p w:rsidR="002E245F" w:rsidRPr="009E78AE" w:rsidRDefault="002E245F" w:rsidP="004129C8">
      <w:pPr>
        <w:spacing w:line="360" w:lineRule="auto"/>
        <w:jc w:val="both"/>
        <w:rPr>
          <w:u w:val="single"/>
        </w:rPr>
      </w:pPr>
      <w:r w:rsidRPr="009E78AE">
        <w:rPr>
          <w:u w:val="single"/>
        </w:rPr>
        <w:lastRenderedPageBreak/>
        <w:t>Household impact</w:t>
      </w:r>
    </w:p>
    <w:p w:rsidR="002E245F" w:rsidRPr="009E78AE" w:rsidRDefault="002E245F" w:rsidP="004129C8">
      <w:pPr>
        <w:spacing w:line="360" w:lineRule="auto"/>
        <w:jc w:val="both"/>
      </w:pPr>
      <w:r w:rsidRPr="009E78AE">
        <w:t xml:space="preserve">Eighteen percent of CASPER households stayed overnight out of area to get safe water, compared with twelve  percent of KCHD households.  Roughly twice the proportion of CASPER respondents stayed with family or friends than KCHD respondents (15% vs 7%).  A small minority of each group (3% vs. 5%) paid to stay overnight.  </w:t>
      </w:r>
      <w:r w:rsidR="0074278B" w:rsidRPr="009E78AE">
        <w:t>Proportions of respondents owning businesses and businesses ordered to close in the emergency were too small to compare.</w:t>
      </w:r>
      <w:r w:rsidR="00A55942" w:rsidRPr="009E78AE">
        <w:t xml:space="preserve">  About one fifth of each group had a household member asked to stay home from work during the emergency (CASPER 22%, KCHD 16%), but CASPER household members were more likely to have received pay (13% vs. 6%).  The CASPER survey did not assess </w:t>
      </w:r>
      <w:r w:rsidR="00480E26" w:rsidRPr="009E78AE">
        <w:t>monetary</w:t>
      </w:r>
      <w:r w:rsidR="00A55942" w:rsidRPr="009E78AE">
        <w:t xml:space="preserve"> economic impact.</w:t>
      </w:r>
      <w:r w:rsidRPr="009E78AE">
        <w:t xml:space="preserve"> </w:t>
      </w:r>
    </w:p>
    <w:p w:rsidR="00A55942" w:rsidRPr="009E78AE" w:rsidRDefault="00A55942" w:rsidP="00F12245">
      <w:pPr>
        <w:pStyle w:val="NoSpacing"/>
      </w:pPr>
    </w:p>
    <w:p w:rsidR="00A55942" w:rsidRPr="009E78AE" w:rsidRDefault="00A55942" w:rsidP="004129C8">
      <w:pPr>
        <w:spacing w:line="360" w:lineRule="auto"/>
        <w:jc w:val="both"/>
        <w:rPr>
          <w:u w:val="single"/>
        </w:rPr>
      </w:pPr>
      <w:r w:rsidRPr="009E78AE">
        <w:rPr>
          <w:u w:val="single"/>
        </w:rPr>
        <w:t>Health</w:t>
      </w:r>
    </w:p>
    <w:p w:rsidR="00A47B20" w:rsidRPr="009E78AE" w:rsidRDefault="00593470" w:rsidP="004129C8">
      <w:pPr>
        <w:spacing w:line="360" w:lineRule="auto"/>
        <w:jc w:val="both"/>
      </w:pPr>
      <w:r w:rsidRPr="009E78AE">
        <w:t xml:space="preserve">The CASPER report specifies that the health questions in this survey were not intended to evaluate the chemical spill-related health problems. On </w:t>
      </w:r>
      <w:r w:rsidR="00A47B20" w:rsidRPr="009E78AE">
        <w:t xml:space="preserve">the </w:t>
      </w:r>
      <w:r w:rsidRPr="009E78AE">
        <w:t xml:space="preserve">other hand, the </w:t>
      </w:r>
      <w:r w:rsidR="00A47B20" w:rsidRPr="009E78AE">
        <w:t xml:space="preserve">KCHD instrument was intended to assess psychological distress as well as the quality of communication from different sources.  </w:t>
      </w:r>
    </w:p>
    <w:p w:rsidR="008B58BB" w:rsidRPr="009E78AE" w:rsidRDefault="00A55942" w:rsidP="004129C8">
      <w:pPr>
        <w:spacing w:line="360" w:lineRule="auto"/>
        <w:jc w:val="both"/>
      </w:pPr>
      <w:r w:rsidRPr="009E78AE">
        <w:t>More KCHD than CASPER households reported illness related to the water (32% KCHD vs 23% CASPER).  Because of the small number of households reporting illness in CASPER, it is difficult to compare specific symptom frequencies</w:t>
      </w:r>
      <w:r w:rsidR="00480E26" w:rsidRPr="009E78AE">
        <w:t>.  T</w:t>
      </w:r>
      <w:r w:rsidRPr="009E78AE">
        <w:t xml:space="preserve">he most frequent symptoms in both groups were skin rash </w:t>
      </w:r>
      <w:r w:rsidR="008B58BB" w:rsidRPr="009E78AE">
        <w:t xml:space="preserve">and irritation, which seem to have affected the majority of households reporting any illness.  Gastrointestinal symptoms were less common in both groups.  In each group, symptom onset was more likely during or after the “do not use” order than before it.  Only a minority of persons in households with symptomatic individuals sought medical care or advice (the two questions differed slightly).  One quarter of KCHD respondent households with symptoms sought medical advice, versus almost one half of CASPER households, but the number with symptoms was small in the latter group.  Few CASPER households had persons with signs of serious mental illness; CASPER did not ask about psychological distress.  </w:t>
      </w:r>
    </w:p>
    <w:p w:rsidR="008B58BB" w:rsidRPr="009E78AE" w:rsidRDefault="008B58BB" w:rsidP="00593470">
      <w:pPr>
        <w:pStyle w:val="NoSpacing"/>
      </w:pPr>
    </w:p>
    <w:p w:rsidR="008B58BB" w:rsidRPr="009E78AE" w:rsidRDefault="008B58BB" w:rsidP="004129C8">
      <w:pPr>
        <w:spacing w:line="360" w:lineRule="auto"/>
        <w:jc w:val="both"/>
        <w:rPr>
          <w:u w:val="single"/>
        </w:rPr>
      </w:pPr>
      <w:r w:rsidRPr="009E78AE">
        <w:rPr>
          <w:u w:val="single"/>
        </w:rPr>
        <w:t>Water use</w:t>
      </w:r>
    </w:p>
    <w:p w:rsidR="002861DD" w:rsidRPr="009E78AE" w:rsidRDefault="008B58BB" w:rsidP="004129C8">
      <w:pPr>
        <w:spacing w:line="360" w:lineRule="auto"/>
        <w:jc w:val="both"/>
      </w:pPr>
      <w:r w:rsidRPr="009E78AE">
        <w:t xml:space="preserve">Twenty three percent of KCHD households, and thirty seven percent of CASPER households reported using WVAWC water during the “do not use” order.  </w:t>
      </w:r>
      <w:r w:rsidR="00822B74" w:rsidRPr="009E78AE">
        <w:t xml:space="preserve">Of those using the water, 13% of CASPER respondent households reported someone drinking it, vs. 37% of KCHD households.  </w:t>
      </w:r>
      <w:r w:rsidR="00822B74" w:rsidRPr="009E78AE">
        <w:lastRenderedPageBreak/>
        <w:t xml:space="preserve">The absolute proportion of households reporting that someone drank water during the emergency differed by only 1% (10% CASPER vs. 9% KCHD).  In both groups, only about 1/3 of households said they were drinking the water 3 months after the event (KCHD </w:t>
      </w:r>
      <w:r w:rsidR="002861DD" w:rsidRPr="009E78AE">
        <w:t xml:space="preserve">34%, CASPER 33%).  </w:t>
      </w:r>
    </w:p>
    <w:p w:rsidR="002861DD" w:rsidRPr="009E78AE" w:rsidRDefault="002861DD" w:rsidP="004129C8">
      <w:pPr>
        <w:spacing w:line="360" w:lineRule="auto"/>
        <w:jc w:val="both"/>
      </w:pPr>
      <w:r w:rsidRPr="009E78AE">
        <w:t>In both surveys, the percent of household respondents who thought the water was safe declined precipitously after the event.  In the KCHD survey, the rate declined from 87% to 29%; in CASPER, 85% to 36%.</w:t>
      </w:r>
    </w:p>
    <w:p w:rsidR="002D4502" w:rsidRPr="009E78AE" w:rsidRDefault="002D4502" w:rsidP="00593470">
      <w:pPr>
        <w:pStyle w:val="NoSpacing"/>
      </w:pPr>
    </w:p>
    <w:p w:rsidR="002861DD" w:rsidRPr="009E78AE" w:rsidRDefault="002861DD" w:rsidP="004129C8">
      <w:pPr>
        <w:spacing w:line="360" w:lineRule="auto"/>
        <w:jc w:val="both"/>
        <w:rPr>
          <w:u w:val="single"/>
        </w:rPr>
      </w:pPr>
      <w:r w:rsidRPr="009E78AE">
        <w:rPr>
          <w:u w:val="single"/>
        </w:rPr>
        <w:t>In general</w:t>
      </w:r>
    </w:p>
    <w:p w:rsidR="00B75762" w:rsidRPr="009E78AE" w:rsidRDefault="002861DD" w:rsidP="004129C8">
      <w:pPr>
        <w:spacing w:line="360" w:lineRule="auto"/>
        <w:jc w:val="both"/>
      </w:pPr>
      <w:r w:rsidRPr="009E78AE">
        <w:t>For the most important questions, there is striking agreement between respon</w:t>
      </w:r>
      <w:r w:rsidR="00480E26" w:rsidRPr="009E78AE">
        <w:t>se frequencies</w:t>
      </w:r>
      <w:r w:rsidRPr="009E78AE">
        <w:t xml:space="preserve">, in spite of substantial differences in demographics.  </w:t>
      </w:r>
    </w:p>
    <w:p w:rsidR="00B75762" w:rsidRPr="009E78AE" w:rsidRDefault="00B75762" w:rsidP="00593470">
      <w:pPr>
        <w:pStyle w:val="NoSpacing"/>
      </w:pPr>
    </w:p>
    <w:p w:rsidR="00593470" w:rsidRPr="009E78AE" w:rsidRDefault="00593470" w:rsidP="00501E4A">
      <w:pPr>
        <w:spacing w:line="360" w:lineRule="auto"/>
        <w:jc w:val="both"/>
        <w:rPr>
          <w:b/>
        </w:rPr>
      </w:pPr>
    </w:p>
    <w:p w:rsidR="00593470" w:rsidRPr="009E78AE" w:rsidRDefault="00593470" w:rsidP="00501E4A">
      <w:pPr>
        <w:spacing w:line="360" w:lineRule="auto"/>
        <w:jc w:val="both"/>
        <w:rPr>
          <w:b/>
        </w:rPr>
      </w:pPr>
    </w:p>
    <w:p w:rsidR="00593470" w:rsidRPr="009E78AE" w:rsidRDefault="00593470" w:rsidP="00501E4A">
      <w:pPr>
        <w:spacing w:line="360" w:lineRule="auto"/>
        <w:jc w:val="both"/>
        <w:rPr>
          <w:b/>
        </w:rPr>
      </w:pPr>
    </w:p>
    <w:p w:rsidR="00593470" w:rsidRPr="009E78AE" w:rsidRDefault="00593470" w:rsidP="00501E4A">
      <w:pPr>
        <w:spacing w:line="360" w:lineRule="auto"/>
        <w:jc w:val="both"/>
        <w:rPr>
          <w:b/>
        </w:rPr>
      </w:pPr>
    </w:p>
    <w:p w:rsidR="00593470" w:rsidRPr="009E78AE" w:rsidRDefault="00593470" w:rsidP="00501E4A">
      <w:pPr>
        <w:spacing w:line="360" w:lineRule="auto"/>
        <w:jc w:val="both"/>
        <w:rPr>
          <w:b/>
        </w:rPr>
      </w:pPr>
    </w:p>
    <w:p w:rsidR="00593470" w:rsidRDefault="00593470" w:rsidP="00501E4A">
      <w:pPr>
        <w:spacing w:line="360" w:lineRule="auto"/>
        <w:jc w:val="both"/>
        <w:rPr>
          <w:rFonts w:asciiTheme="minorHAnsi" w:hAnsiTheme="minorHAnsi"/>
          <w:b/>
        </w:rPr>
      </w:pPr>
    </w:p>
    <w:p w:rsidR="00593470" w:rsidRDefault="00593470" w:rsidP="00501E4A">
      <w:pPr>
        <w:spacing w:line="360" w:lineRule="auto"/>
        <w:jc w:val="both"/>
        <w:rPr>
          <w:rFonts w:asciiTheme="minorHAnsi" w:hAnsiTheme="minorHAnsi"/>
          <w:b/>
        </w:rPr>
      </w:pPr>
    </w:p>
    <w:p w:rsidR="00593470" w:rsidRDefault="00593470" w:rsidP="00501E4A">
      <w:pPr>
        <w:spacing w:line="360" w:lineRule="auto"/>
        <w:jc w:val="both"/>
        <w:rPr>
          <w:rFonts w:asciiTheme="minorHAnsi" w:hAnsiTheme="minorHAnsi"/>
          <w:b/>
        </w:rPr>
      </w:pPr>
    </w:p>
    <w:p w:rsidR="00593470" w:rsidRDefault="00593470" w:rsidP="00501E4A">
      <w:pPr>
        <w:spacing w:line="360" w:lineRule="auto"/>
        <w:jc w:val="both"/>
        <w:rPr>
          <w:rFonts w:asciiTheme="minorHAnsi" w:hAnsiTheme="minorHAnsi"/>
          <w:b/>
        </w:rPr>
      </w:pPr>
    </w:p>
    <w:p w:rsidR="00593470" w:rsidRDefault="00593470" w:rsidP="00501E4A">
      <w:pPr>
        <w:spacing w:line="360" w:lineRule="auto"/>
        <w:jc w:val="both"/>
        <w:rPr>
          <w:rFonts w:asciiTheme="minorHAnsi" w:hAnsiTheme="minorHAnsi"/>
          <w:b/>
        </w:rPr>
      </w:pPr>
    </w:p>
    <w:p w:rsidR="009E78AE" w:rsidRDefault="009E78AE" w:rsidP="00501E4A">
      <w:pPr>
        <w:spacing w:line="360" w:lineRule="auto"/>
        <w:jc w:val="both"/>
        <w:rPr>
          <w:rFonts w:asciiTheme="minorHAnsi" w:hAnsiTheme="minorHAnsi"/>
          <w:b/>
        </w:rPr>
      </w:pPr>
    </w:p>
    <w:p w:rsidR="009E78AE" w:rsidRDefault="009E78AE" w:rsidP="00501E4A">
      <w:pPr>
        <w:spacing w:line="360" w:lineRule="auto"/>
        <w:jc w:val="both"/>
        <w:rPr>
          <w:rFonts w:asciiTheme="minorHAnsi" w:hAnsiTheme="minorHAnsi"/>
          <w:b/>
        </w:rPr>
      </w:pPr>
    </w:p>
    <w:p w:rsidR="009E78AE" w:rsidRDefault="009E78AE" w:rsidP="00501E4A">
      <w:pPr>
        <w:spacing w:line="360" w:lineRule="auto"/>
        <w:jc w:val="both"/>
        <w:rPr>
          <w:rFonts w:asciiTheme="minorHAnsi" w:hAnsiTheme="minorHAnsi"/>
          <w:b/>
        </w:rPr>
      </w:pPr>
    </w:p>
    <w:p w:rsidR="009E78AE" w:rsidRDefault="009E78AE" w:rsidP="00501E4A">
      <w:pPr>
        <w:spacing w:line="360" w:lineRule="auto"/>
        <w:jc w:val="both"/>
        <w:rPr>
          <w:rFonts w:asciiTheme="minorHAnsi" w:hAnsiTheme="minorHAnsi"/>
          <w:b/>
        </w:rPr>
      </w:pPr>
    </w:p>
    <w:p w:rsidR="009E78AE" w:rsidRDefault="009E78AE" w:rsidP="00501E4A">
      <w:pPr>
        <w:spacing w:line="360" w:lineRule="auto"/>
        <w:jc w:val="both"/>
        <w:rPr>
          <w:rFonts w:asciiTheme="minorHAnsi" w:hAnsiTheme="minorHAnsi"/>
          <w:b/>
        </w:rPr>
      </w:pPr>
    </w:p>
    <w:p w:rsidR="009E78AE" w:rsidRDefault="009E78AE" w:rsidP="00501E4A">
      <w:pPr>
        <w:spacing w:line="360" w:lineRule="auto"/>
        <w:jc w:val="both"/>
        <w:rPr>
          <w:rFonts w:asciiTheme="minorHAnsi" w:hAnsiTheme="minorHAnsi"/>
          <w:b/>
        </w:rPr>
      </w:pPr>
    </w:p>
    <w:p w:rsidR="009E78AE" w:rsidRDefault="009E78AE" w:rsidP="00501E4A">
      <w:pPr>
        <w:spacing w:line="360" w:lineRule="auto"/>
        <w:jc w:val="both"/>
        <w:rPr>
          <w:rFonts w:asciiTheme="minorHAnsi" w:hAnsiTheme="minorHAnsi"/>
          <w:b/>
        </w:rPr>
      </w:pPr>
    </w:p>
    <w:p w:rsidR="009E78AE" w:rsidRDefault="009E78AE" w:rsidP="00501E4A">
      <w:pPr>
        <w:spacing w:line="360" w:lineRule="auto"/>
        <w:jc w:val="both"/>
        <w:rPr>
          <w:rFonts w:asciiTheme="minorHAnsi" w:hAnsiTheme="minorHAnsi"/>
          <w:b/>
        </w:rPr>
      </w:pPr>
    </w:p>
    <w:p w:rsidR="00593470" w:rsidRDefault="00593470" w:rsidP="00501E4A">
      <w:pPr>
        <w:spacing w:line="360" w:lineRule="auto"/>
        <w:jc w:val="both"/>
        <w:rPr>
          <w:rFonts w:asciiTheme="minorHAnsi" w:hAnsiTheme="minorHAnsi"/>
          <w:b/>
        </w:rPr>
      </w:pPr>
    </w:p>
    <w:p w:rsidR="00501E4A" w:rsidRPr="009E78AE" w:rsidRDefault="00501E4A" w:rsidP="00501E4A">
      <w:pPr>
        <w:spacing w:line="360" w:lineRule="auto"/>
        <w:jc w:val="both"/>
        <w:rPr>
          <w:b/>
        </w:rPr>
      </w:pPr>
      <w:r w:rsidRPr="009E78AE">
        <w:rPr>
          <w:b/>
        </w:rPr>
        <w:lastRenderedPageBreak/>
        <w:t>Table (</w:t>
      </w:r>
      <w:proofErr w:type="spellStart"/>
      <w:r w:rsidRPr="009E78AE">
        <w:rPr>
          <w:b/>
        </w:rPr>
        <w:t>i</w:t>
      </w:r>
      <w:proofErr w:type="spellEnd"/>
      <w:r w:rsidRPr="009E78AE">
        <w:rPr>
          <w:b/>
        </w:rPr>
        <w:t>): Age and Sex Composition of Households</w:t>
      </w:r>
    </w:p>
    <w:p w:rsidR="00501E4A" w:rsidRPr="009E78AE" w:rsidRDefault="00501E4A" w:rsidP="00501E4A">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1"/>
        <w:gridCol w:w="2148"/>
        <w:gridCol w:w="1432"/>
      </w:tblGrid>
      <w:tr w:rsidR="00501E4A" w:rsidRPr="009E78AE" w:rsidTr="00E766FB">
        <w:trPr>
          <w:trHeight w:val="586"/>
          <w:jc w:val="center"/>
        </w:trPr>
        <w:tc>
          <w:tcPr>
            <w:tcW w:w="3221" w:type="dxa"/>
            <w:vAlign w:val="center"/>
          </w:tcPr>
          <w:p w:rsidR="00501E4A" w:rsidRPr="009E78AE" w:rsidRDefault="00501E4A" w:rsidP="00E766FB">
            <w:pPr>
              <w:autoSpaceDE w:val="0"/>
              <w:autoSpaceDN w:val="0"/>
              <w:adjustRightInd w:val="0"/>
              <w:spacing w:line="360" w:lineRule="auto"/>
              <w:rPr>
                <w:b/>
                <w:bCs/>
                <w:color w:val="000000"/>
              </w:rPr>
            </w:pPr>
            <w:r w:rsidRPr="009E78AE">
              <w:rPr>
                <w:b/>
                <w:bCs/>
                <w:color w:val="000000"/>
              </w:rPr>
              <w:t>Percentage of households with one or more…</w:t>
            </w:r>
          </w:p>
        </w:tc>
        <w:tc>
          <w:tcPr>
            <w:tcW w:w="2148" w:type="dxa"/>
            <w:vAlign w:val="center"/>
          </w:tcPr>
          <w:p w:rsidR="00501E4A" w:rsidRPr="009E78AE" w:rsidRDefault="00501E4A" w:rsidP="00E766FB">
            <w:pPr>
              <w:autoSpaceDE w:val="0"/>
              <w:autoSpaceDN w:val="0"/>
              <w:adjustRightInd w:val="0"/>
              <w:spacing w:line="360" w:lineRule="auto"/>
              <w:jc w:val="center"/>
              <w:rPr>
                <w:b/>
                <w:bCs/>
                <w:color w:val="000000"/>
              </w:rPr>
            </w:pPr>
            <w:r w:rsidRPr="009E78AE">
              <w:rPr>
                <w:b/>
                <w:bCs/>
                <w:color w:val="000000"/>
              </w:rPr>
              <w:t>CASPER</w:t>
            </w:r>
          </w:p>
        </w:tc>
        <w:tc>
          <w:tcPr>
            <w:tcW w:w="1432" w:type="dxa"/>
            <w:vAlign w:val="center"/>
          </w:tcPr>
          <w:p w:rsidR="00501E4A" w:rsidRPr="009E78AE" w:rsidRDefault="00501E4A" w:rsidP="00E766FB">
            <w:pPr>
              <w:autoSpaceDE w:val="0"/>
              <w:autoSpaceDN w:val="0"/>
              <w:adjustRightInd w:val="0"/>
              <w:spacing w:line="360" w:lineRule="auto"/>
              <w:jc w:val="center"/>
              <w:rPr>
                <w:b/>
                <w:bCs/>
                <w:color w:val="000000"/>
              </w:rPr>
            </w:pPr>
            <w:r w:rsidRPr="009E78AE">
              <w:rPr>
                <w:b/>
                <w:bCs/>
                <w:color w:val="000000"/>
              </w:rPr>
              <w:t>KCHD</w:t>
            </w:r>
          </w:p>
        </w:tc>
      </w:tr>
      <w:tr w:rsidR="00501E4A" w:rsidRPr="009E78AE" w:rsidTr="00E766FB">
        <w:trPr>
          <w:trHeight w:val="292"/>
          <w:jc w:val="center"/>
        </w:trPr>
        <w:tc>
          <w:tcPr>
            <w:tcW w:w="3221" w:type="dxa"/>
            <w:vAlign w:val="center"/>
          </w:tcPr>
          <w:p w:rsidR="00501E4A" w:rsidRPr="009E78AE" w:rsidRDefault="00501E4A" w:rsidP="00E766FB">
            <w:pPr>
              <w:autoSpaceDE w:val="0"/>
              <w:autoSpaceDN w:val="0"/>
              <w:adjustRightInd w:val="0"/>
              <w:spacing w:line="360" w:lineRule="auto"/>
              <w:rPr>
                <w:color w:val="000000"/>
              </w:rPr>
            </w:pPr>
            <w:r w:rsidRPr="009E78AE">
              <w:rPr>
                <w:color w:val="000000"/>
              </w:rPr>
              <w:t>Male</w:t>
            </w:r>
          </w:p>
        </w:tc>
        <w:tc>
          <w:tcPr>
            <w:tcW w:w="2148" w:type="dxa"/>
            <w:vAlign w:val="center"/>
          </w:tcPr>
          <w:p w:rsidR="00501E4A" w:rsidRPr="009E78AE" w:rsidRDefault="00501E4A" w:rsidP="00E766FB">
            <w:pPr>
              <w:autoSpaceDE w:val="0"/>
              <w:autoSpaceDN w:val="0"/>
              <w:adjustRightInd w:val="0"/>
              <w:spacing w:line="360" w:lineRule="auto"/>
              <w:jc w:val="center"/>
              <w:rPr>
                <w:color w:val="000000"/>
              </w:rPr>
            </w:pPr>
            <w:r w:rsidRPr="009E78AE">
              <w:rPr>
                <w:color w:val="000000"/>
              </w:rPr>
              <w:t>84%</w:t>
            </w:r>
          </w:p>
        </w:tc>
        <w:tc>
          <w:tcPr>
            <w:tcW w:w="1432" w:type="dxa"/>
            <w:vAlign w:val="center"/>
          </w:tcPr>
          <w:p w:rsidR="00501E4A" w:rsidRPr="009E78AE" w:rsidRDefault="00501E4A" w:rsidP="00E766FB">
            <w:pPr>
              <w:autoSpaceDE w:val="0"/>
              <w:autoSpaceDN w:val="0"/>
              <w:adjustRightInd w:val="0"/>
              <w:spacing w:line="360" w:lineRule="auto"/>
              <w:jc w:val="center"/>
              <w:rPr>
                <w:color w:val="000000"/>
              </w:rPr>
            </w:pPr>
            <w:r w:rsidRPr="009E78AE">
              <w:rPr>
                <w:color w:val="000000"/>
              </w:rPr>
              <w:t>79%</w:t>
            </w:r>
          </w:p>
        </w:tc>
      </w:tr>
      <w:tr w:rsidR="00501E4A" w:rsidRPr="009E78AE" w:rsidTr="00E766FB">
        <w:trPr>
          <w:trHeight w:val="292"/>
          <w:jc w:val="center"/>
        </w:trPr>
        <w:tc>
          <w:tcPr>
            <w:tcW w:w="3221" w:type="dxa"/>
            <w:vAlign w:val="center"/>
          </w:tcPr>
          <w:p w:rsidR="00501E4A" w:rsidRPr="009E78AE" w:rsidRDefault="00501E4A" w:rsidP="00E766FB">
            <w:pPr>
              <w:autoSpaceDE w:val="0"/>
              <w:autoSpaceDN w:val="0"/>
              <w:adjustRightInd w:val="0"/>
              <w:spacing w:line="360" w:lineRule="auto"/>
              <w:rPr>
                <w:color w:val="000000"/>
              </w:rPr>
            </w:pPr>
            <w:r w:rsidRPr="009E78AE">
              <w:rPr>
                <w:color w:val="000000"/>
              </w:rPr>
              <w:t>Female</w:t>
            </w:r>
          </w:p>
        </w:tc>
        <w:tc>
          <w:tcPr>
            <w:tcW w:w="2148" w:type="dxa"/>
            <w:vAlign w:val="center"/>
          </w:tcPr>
          <w:p w:rsidR="00501E4A" w:rsidRPr="009E78AE" w:rsidRDefault="00501E4A" w:rsidP="00E766FB">
            <w:pPr>
              <w:autoSpaceDE w:val="0"/>
              <w:autoSpaceDN w:val="0"/>
              <w:adjustRightInd w:val="0"/>
              <w:spacing w:line="360" w:lineRule="auto"/>
              <w:jc w:val="center"/>
              <w:rPr>
                <w:color w:val="000000"/>
              </w:rPr>
            </w:pPr>
            <w:r w:rsidRPr="009E78AE">
              <w:rPr>
                <w:color w:val="000000"/>
              </w:rPr>
              <w:t>89%</w:t>
            </w:r>
          </w:p>
        </w:tc>
        <w:tc>
          <w:tcPr>
            <w:tcW w:w="1432" w:type="dxa"/>
            <w:vAlign w:val="center"/>
          </w:tcPr>
          <w:p w:rsidR="00501E4A" w:rsidRPr="009E78AE" w:rsidRDefault="00501E4A" w:rsidP="00E766FB">
            <w:pPr>
              <w:autoSpaceDE w:val="0"/>
              <w:autoSpaceDN w:val="0"/>
              <w:adjustRightInd w:val="0"/>
              <w:spacing w:line="360" w:lineRule="auto"/>
              <w:jc w:val="center"/>
              <w:rPr>
                <w:color w:val="000000"/>
              </w:rPr>
            </w:pPr>
            <w:r w:rsidRPr="009E78AE">
              <w:rPr>
                <w:color w:val="000000"/>
              </w:rPr>
              <w:t>89%</w:t>
            </w:r>
          </w:p>
        </w:tc>
      </w:tr>
      <w:tr w:rsidR="00501E4A" w:rsidRPr="009E78AE" w:rsidTr="00CB46EF">
        <w:trPr>
          <w:trHeight w:val="292"/>
          <w:jc w:val="center"/>
        </w:trPr>
        <w:tc>
          <w:tcPr>
            <w:tcW w:w="3221" w:type="dxa"/>
            <w:vAlign w:val="center"/>
          </w:tcPr>
          <w:p w:rsidR="00501E4A" w:rsidRPr="009E78AE" w:rsidRDefault="00501E4A" w:rsidP="00E766FB">
            <w:pPr>
              <w:autoSpaceDE w:val="0"/>
              <w:autoSpaceDN w:val="0"/>
              <w:adjustRightInd w:val="0"/>
              <w:spacing w:line="360" w:lineRule="auto"/>
              <w:rPr>
                <w:color w:val="000000"/>
              </w:rPr>
            </w:pPr>
            <w:r w:rsidRPr="009E78AE">
              <w:rPr>
                <w:color w:val="000000"/>
              </w:rPr>
              <w:t>Pregnant female</w:t>
            </w:r>
          </w:p>
        </w:tc>
        <w:tc>
          <w:tcPr>
            <w:tcW w:w="2148" w:type="dxa"/>
            <w:vAlign w:val="center"/>
          </w:tcPr>
          <w:p w:rsidR="00501E4A" w:rsidRPr="009E78AE" w:rsidRDefault="00501E4A" w:rsidP="00E766FB">
            <w:pPr>
              <w:autoSpaceDE w:val="0"/>
              <w:autoSpaceDN w:val="0"/>
              <w:adjustRightInd w:val="0"/>
              <w:spacing w:line="360" w:lineRule="auto"/>
              <w:jc w:val="center"/>
              <w:rPr>
                <w:color w:val="000000"/>
              </w:rPr>
            </w:pPr>
            <w:r w:rsidRPr="009E78AE">
              <w:rPr>
                <w:color w:val="000000"/>
              </w:rPr>
              <w:t>6%</w:t>
            </w:r>
          </w:p>
        </w:tc>
        <w:tc>
          <w:tcPr>
            <w:tcW w:w="1432" w:type="dxa"/>
            <w:shd w:val="clear" w:color="auto" w:fill="auto"/>
            <w:vAlign w:val="center"/>
          </w:tcPr>
          <w:p w:rsidR="00501E4A" w:rsidRPr="009E78AE" w:rsidRDefault="00501E4A" w:rsidP="00E766FB">
            <w:pPr>
              <w:autoSpaceDE w:val="0"/>
              <w:autoSpaceDN w:val="0"/>
              <w:adjustRightInd w:val="0"/>
              <w:spacing w:line="360" w:lineRule="auto"/>
              <w:jc w:val="center"/>
              <w:rPr>
                <w:color w:val="000000"/>
                <w:vertAlign w:val="superscript"/>
              </w:rPr>
            </w:pPr>
            <w:r w:rsidRPr="009E78AE">
              <w:rPr>
                <w:color w:val="000000"/>
              </w:rPr>
              <w:t>2%</w:t>
            </w:r>
            <w:r w:rsidR="00CB46EF" w:rsidRPr="009E78AE">
              <w:rPr>
                <w:color w:val="000000"/>
                <w:vertAlign w:val="superscript"/>
              </w:rPr>
              <w:t>++</w:t>
            </w:r>
          </w:p>
        </w:tc>
      </w:tr>
      <w:tr w:rsidR="00501E4A" w:rsidRPr="009E78AE" w:rsidTr="00CB46EF">
        <w:trPr>
          <w:trHeight w:val="292"/>
          <w:jc w:val="center"/>
        </w:trPr>
        <w:tc>
          <w:tcPr>
            <w:tcW w:w="3221" w:type="dxa"/>
            <w:vAlign w:val="center"/>
          </w:tcPr>
          <w:p w:rsidR="00501E4A" w:rsidRPr="009E78AE" w:rsidRDefault="00501E4A" w:rsidP="00E766FB">
            <w:pPr>
              <w:autoSpaceDE w:val="0"/>
              <w:autoSpaceDN w:val="0"/>
              <w:adjustRightInd w:val="0"/>
              <w:spacing w:line="360" w:lineRule="auto"/>
              <w:rPr>
                <w:color w:val="000000"/>
              </w:rPr>
            </w:pPr>
            <w:r w:rsidRPr="009E78AE">
              <w:rPr>
                <w:color w:val="000000"/>
              </w:rPr>
              <w:t>Persons aged 2-17*</w:t>
            </w:r>
          </w:p>
        </w:tc>
        <w:tc>
          <w:tcPr>
            <w:tcW w:w="2148" w:type="dxa"/>
            <w:vAlign w:val="center"/>
          </w:tcPr>
          <w:p w:rsidR="00501E4A" w:rsidRPr="009E78AE" w:rsidRDefault="00501E4A" w:rsidP="00E766FB">
            <w:pPr>
              <w:autoSpaceDE w:val="0"/>
              <w:autoSpaceDN w:val="0"/>
              <w:adjustRightInd w:val="0"/>
              <w:spacing w:line="360" w:lineRule="auto"/>
              <w:jc w:val="center"/>
              <w:rPr>
                <w:color w:val="000000"/>
              </w:rPr>
            </w:pPr>
            <w:r w:rsidRPr="009E78AE">
              <w:rPr>
                <w:color w:val="000000"/>
              </w:rPr>
              <w:t>25%</w:t>
            </w:r>
          </w:p>
        </w:tc>
        <w:tc>
          <w:tcPr>
            <w:tcW w:w="1432" w:type="dxa"/>
            <w:shd w:val="clear" w:color="auto" w:fill="auto"/>
            <w:vAlign w:val="center"/>
          </w:tcPr>
          <w:p w:rsidR="00501E4A" w:rsidRPr="009E78AE" w:rsidRDefault="00501E4A" w:rsidP="00E766FB">
            <w:pPr>
              <w:autoSpaceDE w:val="0"/>
              <w:autoSpaceDN w:val="0"/>
              <w:adjustRightInd w:val="0"/>
              <w:spacing w:line="360" w:lineRule="auto"/>
              <w:jc w:val="center"/>
              <w:rPr>
                <w:color w:val="000000"/>
              </w:rPr>
            </w:pPr>
            <w:r w:rsidRPr="009E78AE">
              <w:rPr>
                <w:color w:val="000000"/>
              </w:rPr>
              <w:t>23%</w:t>
            </w:r>
          </w:p>
        </w:tc>
      </w:tr>
      <w:tr w:rsidR="00501E4A" w:rsidRPr="009E78AE" w:rsidTr="00CB46EF">
        <w:trPr>
          <w:trHeight w:val="292"/>
          <w:jc w:val="center"/>
        </w:trPr>
        <w:tc>
          <w:tcPr>
            <w:tcW w:w="3221" w:type="dxa"/>
            <w:vAlign w:val="center"/>
          </w:tcPr>
          <w:p w:rsidR="00501E4A" w:rsidRPr="009E78AE" w:rsidRDefault="00501E4A" w:rsidP="00E766FB">
            <w:pPr>
              <w:autoSpaceDE w:val="0"/>
              <w:autoSpaceDN w:val="0"/>
              <w:adjustRightInd w:val="0"/>
              <w:spacing w:line="360" w:lineRule="auto"/>
              <w:rPr>
                <w:color w:val="000000"/>
              </w:rPr>
            </w:pPr>
            <w:r w:rsidRPr="009E78AE">
              <w:rPr>
                <w:color w:val="000000"/>
              </w:rPr>
              <w:t>Persons aged 18-64</w:t>
            </w:r>
          </w:p>
        </w:tc>
        <w:tc>
          <w:tcPr>
            <w:tcW w:w="2148" w:type="dxa"/>
            <w:vAlign w:val="center"/>
          </w:tcPr>
          <w:p w:rsidR="00501E4A" w:rsidRPr="009E78AE" w:rsidRDefault="00501E4A" w:rsidP="00E766FB">
            <w:pPr>
              <w:autoSpaceDE w:val="0"/>
              <w:autoSpaceDN w:val="0"/>
              <w:adjustRightInd w:val="0"/>
              <w:spacing w:line="360" w:lineRule="auto"/>
              <w:jc w:val="center"/>
              <w:rPr>
                <w:color w:val="000000"/>
              </w:rPr>
            </w:pPr>
            <w:r w:rsidRPr="009E78AE">
              <w:rPr>
                <w:color w:val="000000"/>
              </w:rPr>
              <w:t>77%</w:t>
            </w:r>
          </w:p>
        </w:tc>
        <w:tc>
          <w:tcPr>
            <w:tcW w:w="1432" w:type="dxa"/>
            <w:shd w:val="clear" w:color="auto" w:fill="auto"/>
            <w:vAlign w:val="center"/>
          </w:tcPr>
          <w:p w:rsidR="00501E4A" w:rsidRPr="009E78AE" w:rsidRDefault="00501E4A" w:rsidP="00E766FB">
            <w:pPr>
              <w:autoSpaceDE w:val="0"/>
              <w:autoSpaceDN w:val="0"/>
              <w:adjustRightInd w:val="0"/>
              <w:spacing w:line="360" w:lineRule="auto"/>
              <w:jc w:val="center"/>
              <w:rPr>
                <w:color w:val="000000"/>
                <w:vertAlign w:val="superscript"/>
              </w:rPr>
            </w:pPr>
            <w:r w:rsidRPr="009E78AE">
              <w:rPr>
                <w:color w:val="000000"/>
              </w:rPr>
              <w:t>65%</w:t>
            </w:r>
            <w:r w:rsidR="00CB46EF" w:rsidRPr="009E78AE">
              <w:rPr>
                <w:color w:val="000000"/>
                <w:vertAlign w:val="superscript"/>
              </w:rPr>
              <w:t>++</w:t>
            </w:r>
          </w:p>
        </w:tc>
      </w:tr>
      <w:tr w:rsidR="00501E4A" w:rsidRPr="009E78AE" w:rsidTr="00CB46EF">
        <w:trPr>
          <w:trHeight w:val="292"/>
          <w:jc w:val="center"/>
        </w:trPr>
        <w:tc>
          <w:tcPr>
            <w:tcW w:w="3221" w:type="dxa"/>
            <w:vAlign w:val="center"/>
          </w:tcPr>
          <w:p w:rsidR="00501E4A" w:rsidRPr="009E78AE" w:rsidRDefault="00501E4A" w:rsidP="00E766FB">
            <w:pPr>
              <w:autoSpaceDE w:val="0"/>
              <w:autoSpaceDN w:val="0"/>
              <w:adjustRightInd w:val="0"/>
              <w:spacing w:line="360" w:lineRule="auto"/>
              <w:rPr>
                <w:color w:val="000000"/>
              </w:rPr>
            </w:pPr>
            <w:r w:rsidRPr="009E78AE">
              <w:rPr>
                <w:color w:val="000000"/>
              </w:rPr>
              <w:t>Persons aged 65+</w:t>
            </w:r>
          </w:p>
        </w:tc>
        <w:tc>
          <w:tcPr>
            <w:tcW w:w="2148" w:type="dxa"/>
            <w:vAlign w:val="center"/>
          </w:tcPr>
          <w:p w:rsidR="00501E4A" w:rsidRPr="009E78AE" w:rsidRDefault="00501E4A" w:rsidP="00E766FB">
            <w:pPr>
              <w:autoSpaceDE w:val="0"/>
              <w:autoSpaceDN w:val="0"/>
              <w:adjustRightInd w:val="0"/>
              <w:spacing w:line="360" w:lineRule="auto"/>
              <w:jc w:val="center"/>
              <w:rPr>
                <w:color w:val="000000"/>
              </w:rPr>
            </w:pPr>
            <w:r w:rsidRPr="009E78AE">
              <w:rPr>
                <w:color w:val="000000"/>
              </w:rPr>
              <w:t>36%</w:t>
            </w:r>
          </w:p>
        </w:tc>
        <w:tc>
          <w:tcPr>
            <w:tcW w:w="1432" w:type="dxa"/>
            <w:shd w:val="clear" w:color="auto" w:fill="auto"/>
            <w:vAlign w:val="center"/>
          </w:tcPr>
          <w:p w:rsidR="00501E4A" w:rsidRPr="009E78AE" w:rsidRDefault="00501E4A" w:rsidP="00E766FB">
            <w:pPr>
              <w:autoSpaceDE w:val="0"/>
              <w:autoSpaceDN w:val="0"/>
              <w:adjustRightInd w:val="0"/>
              <w:spacing w:line="360" w:lineRule="auto"/>
              <w:jc w:val="center"/>
              <w:rPr>
                <w:color w:val="000000"/>
                <w:vertAlign w:val="superscript"/>
              </w:rPr>
            </w:pPr>
            <w:r w:rsidRPr="009E78AE">
              <w:rPr>
                <w:color w:val="000000"/>
              </w:rPr>
              <w:t>49%</w:t>
            </w:r>
            <w:r w:rsidR="00CB46EF" w:rsidRPr="009E78AE">
              <w:rPr>
                <w:color w:val="000000"/>
                <w:vertAlign w:val="superscript"/>
              </w:rPr>
              <w:t>++</w:t>
            </w:r>
          </w:p>
        </w:tc>
      </w:tr>
    </w:tbl>
    <w:p w:rsidR="00593470" w:rsidRPr="009E78AE" w:rsidRDefault="00593470" w:rsidP="00501E4A">
      <w:pPr>
        <w:spacing w:line="360" w:lineRule="auto"/>
        <w:ind w:left="1170"/>
        <w:jc w:val="both"/>
      </w:pPr>
    </w:p>
    <w:p w:rsidR="00501E4A" w:rsidRPr="009E78AE" w:rsidRDefault="00501E4A" w:rsidP="00501E4A">
      <w:pPr>
        <w:spacing w:line="360" w:lineRule="auto"/>
        <w:ind w:left="1170"/>
        <w:jc w:val="both"/>
      </w:pPr>
      <w:r w:rsidRPr="009E78AE">
        <w:t>*</w:t>
      </w:r>
      <w:r w:rsidR="00CB46EF" w:rsidRPr="009E78AE">
        <w:t xml:space="preserve"> </w:t>
      </w:r>
      <w:r w:rsidRPr="009E78AE">
        <w:t>KCHD estimated from 0-1 and 2-18 year old groups</w:t>
      </w:r>
    </w:p>
    <w:p w:rsidR="00501E4A" w:rsidRPr="009E78AE" w:rsidRDefault="00CB46EF" w:rsidP="00501E4A">
      <w:pPr>
        <w:spacing w:line="360" w:lineRule="auto"/>
        <w:ind w:left="1170"/>
        <w:jc w:val="both"/>
      </w:pPr>
      <w:r w:rsidRPr="009E78AE">
        <w:t xml:space="preserve">++ </w:t>
      </w:r>
      <w:r w:rsidR="00501E4A" w:rsidRPr="009E78AE">
        <w:t xml:space="preserve">KCHD estimate is outside the 95% </w:t>
      </w:r>
      <w:r w:rsidR="00593470" w:rsidRPr="009E78AE">
        <w:t>C.I.</w:t>
      </w:r>
      <w:r w:rsidR="00501E4A" w:rsidRPr="009E78AE">
        <w:t xml:space="preserve"> of CASPER estimate</w:t>
      </w:r>
    </w:p>
    <w:p w:rsidR="00501E4A" w:rsidRPr="009E78AE" w:rsidRDefault="00501E4A" w:rsidP="00501E4A"/>
    <w:p w:rsidR="00501E4A" w:rsidRPr="009E78AE" w:rsidRDefault="00501E4A" w:rsidP="00501E4A"/>
    <w:p w:rsidR="00501E4A" w:rsidRPr="009E78AE" w:rsidRDefault="00501E4A" w:rsidP="00501E4A">
      <w:pPr>
        <w:spacing w:line="360" w:lineRule="auto"/>
        <w:jc w:val="both"/>
        <w:rPr>
          <w:b/>
        </w:rPr>
      </w:pPr>
      <w:r w:rsidRPr="009E78AE">
        <w:rPr>
          <w:b/>
        </w:rPr>
        <w:t>Table (ii): Water Sources During Emergency</w:t>
      </w:r>
    </w:p>
    <w:p w:rsidR="00593470" w:rsidRPr="009E78AE" w:rsidRDefault="00593470" w:rsidP="00593470">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5"/>
        <w:gridCol w:w="1494"/>
        <w:gridCol w:w="1494"/>
      </w:tblGrid>
      <w:tr w:rsidR="00501E4A" w:rsidRPr="009E78AE" w:rsidTr="00593470">
        <w:trPr>
          <w:trHeight w:val="609"/>
          <w:jc w:val="center"/>
        </w:trPr>
        <w:tc>
          <w:tcPr>
            <w:tcW w:w="4805" w:type="dxa"/>
            <w:vAlign w:val="center"/>
          </w:tcPr>
          <w:p w:rsidR="00501E4A" w:rsidRPr="009E78AE" w:rsidRDefault="00501E4A" w:rsidP="00593470">
            <w:pPr>
              <w:autoSpaceDE w:val="0"/>
              <w:autoSpaceDN w:val="0"/>
              <w:adjustRightInd w:val="0"/>
              <w:spacing w:line="360" w:lineRule="auto"/>
              <w:rPr>
                <w:b/>
                <w:bCs/>
                <w:color w:val="000000"/>
              </w:rPr>
            </w:pPr>
            <w:r w:rsidRPr="009E78AE">
              <w:rPr>
                <w:b/>
                <w:bCs/>
                <w:color w:val="000000"/>
              </w:rPr>
              <w:t>Sources of water during emergency</w:t>
            </w:r>
          </w:p>
        </w:tc>
        <w:tc>
          <w:tcPr>
            <w:tcW w:w="1494" w:type="dxa"/>
            <w:vAlign w:val="center"/>
          </w:tcPr>
          <w:p w:rsidR="00501E4A" w:rsidRPr="009E78AE" w:rsidRDefault="00501E4A" w:rsidP="00593470">
            <w:pPr>
              <w:autoSpaceDE w:val="0"/>
              <w:autoSpaceDN w:val="0"/>
              <w:adjustRightInd w:val="0"/>
              <w:spacing w:line="360" w:lineRule="auto"/>
              <w:jc w:val="center"/>
              <w:rPr>
                <w:b/>
                <w:bCs/>
                <w:color w:val="000000"/>
              </w:rPr>
            </w:pPr>
            <w:r w:rsidRPr="009E78AE">
              <w:rPr>
                <w:b/>
                <w:bCs/>
                <w:color w:val="000000"/>
              </w:rPr>
              <w:t>CASPER</w:t>
            </w:r>
          </w:p>
        </w:tc>
        <w:tc>
          <w:tcPr>
            <w:tcW w:w="1494" w:type="dxa"/>
            <w:vAlign w:val="center"/>
          </w:tcPr>
          <w:p w:rsidR="00501E4A" w:rsidRPr="009E78AE" w:rsidRDefault="00501E4A" w:rsidP="00593470">
            <w:pPr>
              <w:autoSpaceDE w:val="0"/>
              <w:autoSpaceDN w:val="0"/>
              <w:adjustRightInd w:val="0"/>
              <w:spacing w:line="360" w:lineRule="auto"/>
              <w:jc w:val="center"/>
              <w:rPr>
                <w:b/>
                <w:bCs/>
                <w:color w:val="000000"/>
              </w:rPr>
            </w:pPr>
            <w:r w:rsidRPr="009E78AE">
              <w:rPr>
                <w:b/>
                <w:bCs/>
                <w:color w:val="000000"/>
              </w:rPr>
              <w:t>KCHD</w:t>
            </w:r>
          </w:p>
        </w:tc>
      </w:tr>
      <w:tr w:rsidR="00501E4A" w:rsidRPr="009E78AE" w:rsidTr="00593470">
        <w:trPr>
          <w:trHeight w:val="304"/>
          <w:jc w:val="center"/>
        </w:trPr>
        <w:tc>
          <w:tcPr>
            <w:tcW w:w="4805" w:type="dxa"/>
            <w:vAlign w:val="center"/>
          </w:tcPr>
          <w:p w:rsidR="00501E4A" w:rsidRPr="009E78AE" w:rsidRDefault="00501E4A" w:rsidP="00593470">
            <w:pPr>
              <w:autoSpaceDE w:val="0"/>
              <w:autoSpaceDN w:val="0"/>
              <w:adjustRightInd w:val="0"/>
              <w:spacing w:line="360" w:lineRule="auto"/>
              <w:rPr>
                <w:color w:val="000000"/>
              </w:rPr>
            </w:pPr>
            <w:r w:rsidRPr="009E78AE">
              <w:rPr>
                <w:color w:val="000000"/>
              </w:rPr>
              <w:t>Large store</w:t>
            </w:r>
          </w:p>
        </w:tc>
        <w:tc>
          <w:tcPr>
            <w:tcW w:w="1494" w:type="dxa"/>
            <w:vAlign w:val="center"/>
          </w:tcPr>
          <w:p w:rsidR="00501E4A" w:rsidRPr="009E78AE" w:rsidRDefault="00501E4A" w:rsidP="00593470">
            <w:pPr>
              <w:autoSpaceDE w:val="0"/>
              <w:autoSpaceDN w:val="0"/>
              <w:adjustRightInd w:val="0"/>
              <w:spacing w:line="360" w:lineRule="auto"/>
              <w:jc w:val="center"/>
              <w:rPr>
                <w:color w:val="000000"/>
              </w:rPr>
            </w:pPr>
            <w:r w:rsidRPr="009E78AE">
              <w:rPr>
                <w:color w:val="000000"/>
              </w:rPr>
              <w:t>73%</w:t>
            </w:r>
          </w:p>
        </w:tc>
        <w:tc>
          <w:tcPr>
            <w:tcW w:w="1494" w:type="dxa"/>
            <w:vAlign w:val="center"/>
          </w:tcPr>
          <w:p w:rsidR="00501E4A" w:rsidRPr="009E78AE" w:rsidRDefault="00501E4A" w:rsidP="00593470">
            <w:pPr>
              <w:autoSpaceDE w:val="0"/>
              <w:autoSpaceDN w:val="0"/>
              <w:adjustRightInd w:val="0"/>
              <w:spacing w:line="360" w:lineRule="auto"/>
              <w:jc w:val="center"/>
              <w:rPr>
                <w:color w:val="000000"/>
              </w:rPr>
            </w:pPr>
            <w:r w:rsidRPr="009E78AE">
              <w:rPr>
                <w:color w:val="000000"/>
              </w:rPr>
              <w:t>77%</w:t>
            </w:r>
          </w:p>
        </w:tc>
      </w:tr>
      <w:tr w:rsidR="00501E4A" w:rsidRPr="009E78AE" w:rsidTr="00593470">
        <w:trPr>
          <w:trHeight w:val="304"/>
          <w:jc w:val="center"/>
        </w:trPr>
        <w:tc>
          <w:tcPr>
            <w:tcW w:w="4805" w:type="dxa"/>
            <w:vAlign w:val="center"/>
          </w:tcPr>
          <w:p w:rsidR="00501E4A" w:rsidRPr="009E78AE" w:rsidRDefault="00501E4A" w:rsidP="00593470">
            <w:pPr>
              <w:autoSpaceDE w:val="0"/>
              <w:autoSpaceDN w:val="0"/>
              <w:adjustRightInd w:val="0"/>
              <w:spacing w:line="360" w:lineRule="auto"/>
              <w:rPr>
                <w:color w:val="000000"/>
              </w:rPr>
            </w:pPr>
            <w:r w:rsidRPr="009E78AE">
              <w:rPr>
                <w:color w:val="000000"/>
              </w:rPr>
              <w:t>Convenience store/gas station</w:t>
            </w:r>
          </w:p>
        </w:tc>
        <w:tc>
          <w:tcPr>
            <w:tcW w:w="1494" w:type="dxa"/>
            <w:vAlign w:val="center"/>
          </w:tcPr>
          <w:p w:rsidR="00501E4A" w:rsidRPr="009E78AE" w:rsidRDefault="00501E4A" w:rsidP="00593470">
            <w:pPr>
              <w:autoSpaceDE w:val="0"/>
              <w:autoSpaceDN w:val="0"/>
              <w:adjustRightInd w:val="0"/>
              <w:spacing w:line="360" w:lineRule="auto"/>
              <w:jc w:val="center"/>
              <w:rPr>
                <w:color w:val="000000"/>
              </w:rPr>
            </w:pPr>
            <w:r w:rsidRPr="009E78AE">
              <w:rPr>
                <w:color w:val="000000"/>
              </w:rPr>
              <w:t>18%</w:t>
            </w:r>
          </w:p>
        </w:tc>
        <w:tc>
          <w:tcPr>
            <w:tcW w:w="1494" w:type="dxa"/>
            <w:vAlign w:val="center"/>
          </w:tcPr>
          <w:p w:rsidR="00501E4A" w:rsidRPr="009E78AE" w:rsidRDefault="00501E4A" w:rsidP="00593470">
            <w:pPr>
              <w:autoSpaceDE w:val="0"/>
              <w:autoSpaceDN w:val="0"/>
              <w:adjustRightInd w:val="0"/>
              <w:spacing w:line="360" w:lineRule="auto"/>
              <w:jc w:val="center"/>
              <w:rPr>
                <w:color w:val="000000"/>
              </w:rPr>
            </w:pPr>
            <w:r w:rsidRPr="009E78AE">
              <w:rPr>
                <w:color w:val="000000"/>
              </w:rPr>
              <w:t>16%</w:t>
            </w:r>
          </w:p>
        </w:tc>
      </w:tr>
      <w:tr w:rsidR="00501E4A" w:rsidRPr="009E78AE" w:rsidTr="00593470">
        <w:trPr>
          <w:trHeight w:val="609"/>
          <w:jc w:val="center"/>
        </w:trPr>
        <w:tc>
          <w:tcPr>
            <w:tcW w:w="4805" w:type="dxa"/>
            <w:vAlign w:val="center"/>
          </w:tcPr>
          <w:p w:rsidR="00501E4A" w:rsidRPr="009E78AE" w:rsidRDefault="00501E4A" w:rsidP="00593470">
            <w:pPr>
              <w:autoSpaceDE w:val="0"/>
              <w:autoSpaceDN w:val="0"/>
              <w:adjustRightInd w:val="0"/>
              <w:spacing w:line="360" w:lineRule="auto"/>
              <w:rPr>
                <w:color w:val="000000"/>
              </w:rPr>
            </w:pPr>
            <w:r w:rsidRPr="009E78AE">
              <w:rPr>
                <w:color w:val="000000"/>
              </w:rPr>
              <w:t>Distribution center, town of residence</w:t>
            </w:r>
          </w:p>
        </w:tc>
        <w:tc>
          <w:tcPr>
            <w:tcW w:w="1494" w:type="dxa"/>
            <w:vAlign w:val="center"/>
          </w:tcPr>
          <w:p w:rsidR="00501E4A" w:rsidRPr="009E78AE" w:rsidRDefault="00501E4A" w:rsidP="00593470">
            <w:pPr>
              <w:autoSpaceDE w:val="0"/>
              <w:autoSpaceDN w:val="0"/>
              <w:adjustRightInd w:val="0"/>
              <w:spacing w:line="360" w:lineRule="auto"/>
              <w:jc w:val="center"/>
              <w:rPr>
                <w:color w:val="000000"/>
              </w:rPr>
            </w:pPr>
            <w:r w:rsidRPr="009E78AE">
              <w:rPr>
                <w:color w:val="000000"/>
              </w:rPr>
              <w:t>48%</w:t>
            </w:r>
          </w:p>
        </w:tc>
        <w:tc>
          <w:tcPr>
            <w:tcW w:w="1494" w:type="dxa"/>
            <w:vAlign w:val="center"/>
          </w:tcPr>
          <w:p w:rsidR="00501E4A" w:rsidRPr="009E78AE" w:rsidRDefault="00501E4A" w:rsidP="00593470">
            <w:pPr>
              <w:autoSpaceDE w:val="0"/>
              <w:autoSpaceDN w:val="0"/>
              <w:adjustRightInd w:val="0"/>
              <w:spacing w:line="360" w:lineRule="auto"/>
              <w:jc w:val="center"/>
              <w:rPr>
                <w:color w:val="000000"/>
              </w:rPr>
            </w:pPr>
            <w:r w:rsidRPr="009E78AE">
              <w:rPr>
                <w:color w:val="000000"/>
              </w:rPr>
              <w:t>55%</w:t>
            </w:r>
          </w:p>
        </w:tc>
      </w:tr>
      <w:tr w:rsidR="00501E4A" w:rsidRPr="009E78AE" w:rsidTr="00593470">
        <w:trPr>
          <w:trHeight w:val="330"/>
          <w:jc w:val="center"/>
        </w:trPr>
        <w:tc>
          <w:tcPr>
            <w:tcW w:w="4805" w:type="dxa"/>
            <w:vAlign w:val="center"/>
          </w:tcPr>
          <w:p w:rsidR="00501E4A" w:rsidRPr="009E78AE" w:rsidRDefault="00501E4A" w:rsidP="00593470">
            <w:pPr>
              <w:autoSpaceDE w:val="0"/>
              <w:autoSpaceDN w:val="0"/>
              <w:adjustRightInd w:val="0"/>
              <w:spacing w:line="360" w:lineRule="auto"/>
              <w:rPr>
                <w:color w:val="000000"/>
              </w:rPr>
            </w:pPr>
            <w:r w:rsidRPr="009E78AE">
              <w:rPr>
                <w:color w:val="000000"/>
              </w:rPr>
              <w:t>Distribution center, another town</w:t>
            </w:r>
          </w:p>
        </w:tc>
        <w:tc>
          <w:tcPr>
            <w:tcW w:w="1494" w:type="dxa"/>
            <w:vAlign w:val="center"/>
          </w:tcPr>
          <w:p w:rsidR="00501E4A" w:rsidRPr="009E78AE" w:rsidRDefault="00501E4A" w:rsidP="00593470">
            <w:pPr>
              <w:autoSpaceDE w:val="0"/>
              <w:autoSpaceDN w:val="0"/>
              <w:adjustRightInd w:val="0"/>
              <w:spacing w:line="360" w:lineRule="auto"/>
              <w:jc w:val="center"/>
              <w:rPr>
                <w:color w:val="000000"/>
              </w:rPr>
            </w:pPr>
            <w:r w:rsidRPr="009E78AE">
              <w:rPr>
                <w:color w:val="000000"/>
              </w:rPr>
              <w:t>26%</w:t>
            </w:r>
          </w:p>
        </w:tc>
        <w:tc>
          <w:tcPr>
            <w:tcW w:w="1494" w:type="dxa"/>
            <w:vAlign w:val="center"/>
          </w:tcPr>
          <w:p w:rsidR="00501E4A" w:rsidRPr="009E78AE" w:rsidRDefault="00501E4A" w:rsidP="00593470">
            <w:pPr>
              <w:autoSpaceDE w:val="0"/>
              <w:autoSpaceDN w:val="0"/>
              <w:adjustRightInd w:val="0"/>
              <w:spacing w:line="360" w:lineRule="auto"/>
              <w:jc w:val="center"/>
              <w:rPr>
                <w:color w:val="000000"/>
              </w:rPr>
            </w:pPr>
            <w:r w:rsidRPr="009E78AE">
              <w:rPr>
                <w:color w:val="000000"/>
              </w:rPr>
              <w:t>21%</w:t>
            </w:r>
          </w:p>
        </w:tc>
      </w:tr>
      <w:tr w:rsidR="00501E4A" w:rsidRPr="009E78AE" w:rsidTr="00593470">
        <w:trPr>
          <w:trHeight w:val="304"/>
          <w:jc w:val="center"/>
        </w:trPr>
        <w:tc>
          <w:tcPr>
            <w:tcW w:w="4805" w:type="dxa"/>
            <w:vAlign w:val="center"/>
          </w:tcPr>
          <w:p w:rsidR="00501E4A" w:rsidRPr="009E78AE" w:rsidRDefault="00501E4A" w:rsidP="00593470">
            <w:pPr>
              <w:autoSpaceDE w:val="0"/>
              <w:autoSpaceDN w:val="0"/>
              <w:adjustRightInd w:val="0"/>
              <w:spacing w:line="360" w:lineRule="auto"/>
              <w:rPr>
                <w:color w:val="000000"/>
              </w:rPr>
            </w:pPr>
            <w:r w:rsidRPr="009E78AE">
              <w:rPr>
                <w:color w:val="000000"/>
              </w:rPr>
              <w:t>Friend/relative</w:t>
            </w:r>
          </w:p>
        </w:tc>
        <w:tc>
          <w:tcPr>
            <w:tcW w:w="1494" w:type="dxa"/>
            <w:vAlign w:val="center"/>
          </w:tcPr>
          <w:p w:rsidR="00501E4A" w:rsidRPr="009E78AE" w:rsidRDefault="00501E4A" w:rsidP="00593470">
            <w:pPr>
              <w:autoSpaceDE w:val="0"/>
              <w:autoSpaceDN w:val="0"/>
              <w:adjustRightInd w:val="0"/>
              <w:spacing w:line="360" w:lineRule="auto"/>
              <w:jc w:val="center"/>
              <w:rPr>
                <w:color w:val="000000"/>
              </w:rPr>
            </w:pPr>
            <w:r w:rsidRPr="009E78AE">
              <w:rPr>
                <w:color w:val="000000"/>
              </w:rPr>
              <w:t>44%</w:t>
            </w:r>
          </w:p>
        </w:tc>
        <w:tc>
          <w:tcPr>
            <w:tcW w:w="1494" w:type="dxa"/>
            <w:vAlign w:val="center"/>
          </w:tcPr>
          <w:p w:rsidR="00501E4A" w:rsidRPr="009E78AE" w:rsidRDefault="00501E4A" w:rsidP="00593470">
            <w:pPr>
              <w:autoSpaceDE w:val="0"/>
              <w:autoSpaceDN w:val="0"/>
              <w:adjustRightInd w:val="0"/>
              <w:spacing w:line="360" w:lineRule="auto"/>
              <w:jc w:val="center"/>
              <w:rPr>
                <w:color w:val="000000"/>
              </w:rPr>
            </w:pPr>
            <w:r w:rsidRPr="009E78AE">
              <w:rPr>
                <w:color w:val="000000"/>
              </w:rPr>
              <w:t>23%</w:t>
            </w:r>
          </w:p>
        </w:tc>
      </w:tr>
      <w:tr w:rsidR="00501E4A" w:rsidRPr="009E78AE" w:rsidTr="00593470">
        <w:trPr>
          <w:trHeight w:val="304"/>
          <w:jc w:val="center"/>
        </w:trPr>
        <w:tc>
          <w:tcPr>
            <w:tcW w:w="4805" w:type="dxa"/>
            <w:vAlign w:val="center"/>
          </w:tcPr>
          <w:p w:rsidR="00501E4A" w:rsidRPr="009E78AE" w:rsidRDefault="00501E4A" w:rsidP="00593470">
            <w:pPr>
              <w:autoSpaceDE w:val="0"/>
              <w:autoSpaceDN w:val="0"/>
              <w:adjustRightInd w:val="0"/>
              <w:spacing w:line="360" w:lineRule="auto"/>
              <w:rPr>
                <w:color w:val="000000"/>
              </w:rPr>
            </w:pPr>
            <w:r w:rsidRPr="009E78AE">
              <w:rPr>
                <w:color w:val="000000"/>
              </w:rPr>
              <w:t>Well water</w:t>
            </w:r>
          </w:p>
        </w:tc>
        <w:tc>
          <w:tcPr>
            <w:tcW w:w="1494" w:type="dxa"/>
            <w:vAlign w:val="center"/>
          </w:tcPr>
          <w:p w:rsidR="00501E4A" w:rsidRPr="009E78AE" w:rsidRDefault="00501E4A" w:rsidP="00593470">
            <w:pPr>
              <w:autoSpaceDE w:val="0"/>
              <w:autoSpaceDN w:val="0"/>
              <w:adjustRightInd w:val="0"/>
              <w:spacing w:line="360" w:lineRule="auto"/>
              <w:jc w:val="center"/>
              <w:rPr>
                <w:color w:val="000000"/>
              </w:rPr>
            </w:pPr>
            <w:r w:rsidRPr="009E78AE">
              <w:rPr>
                <w:color w:val="000000"/>
              </w:rPr>
              <w:t>3%</w:t>
            </w:r>
          </w:p>
        </w:tc>
        <w:tc>
          <w:tcPr>
            <w:tcW w:w="1494" w:type="dxa"/>
            <w:vAlign w:val="center"/>
          </w:tcPr>
          <w:p w:rsidR="00501E4A" w:rsidRPr="009E78AE" w:rsidRDefault="00501E4A" w:rsidP="00593470">
            <w:pPr>
              <w:autoSpaceDE w:val="0"/>
              <w:autoSpaceDN w:val="0"/>
              <w:adjustRightInd w:val="0"/>
              <w:spacing w:line="360" w:lineRule="auto"/>
              <w:jc w:val="center"/>
              <w:rPr>
                <w:color w:val="000000"/>
              </w:rPr>
            </w:pPr>
            <w:r w:rsidRPr="009E78AE">
              <w:rPr>
                <w:color w:val="000000"/>
              </w:rPr>
              <w:t>3%</w:t>
            </w:r>
          </w:p>
        </w:tc>
      </w:tr>
      <w:tr w:rsidR="00501E4A" w:rsidRPr="009E78AE" w:rsidTr="00593470">
        <w:trPr>
          <w:trHeight w:val="304"/>
          <w:jc w:val="center"/>
        </w:trPr>
        <w:tc>
          <w:tcPr>
            <w:tcW w:w="4805" w:type="dxa"/>
            <w:vAlign w:val="center"/>
          </w:tcPr>
          <w:p w:rsidR="00501E4A" w:rsidRPr="009E78AE" w:rsidRDefault="00501E4A" w:rsidP="00593470">
            <w:pPr>
              <w:autoSpaceDE w:val="0"/>
              <w:autoSpaceDN w:val="0"/>
              <w:adjustRightInd w:val="0"/>
              <w:spacing w:line="360" w:lineRule="auto"/>
              <w:rPr>
                <w:color w:val="000000"/>
              </w:rPr>
            </w:pPr>
            <w:r w:rsidRPr="009E78AE">
              <w:rPr>
                <w:color w:val="000000"/>
              </w:rPr>
              <w:t>Rainwater</w:t>
            </w:r>
          </w:p>
        </w:tc>
        <w:tc>
          <w:tcPr>
            <w:tcW w:w="1494" w:type="dxa"/>
            <w:vAlign w:val="center"/>
          </w:tcPr>
          <w:p w:rsidR="00501E4A" w:rsidRPr="009E78AE" w:rsidRDefault="00501E4A" w:rsidP="00593470">
            <w:pPr>
              <w:autoSpaceDE w:val="0"/>
              <w:autoSpaceDN w:val="0"/>
              <w:adjustRightInd w:val="0"/>
              <w:spacing w:line="360" w:lineRule="auto"/>
              <w:jc w:val="center"/>
              <w:rPr>
                <w:color w:val="000000"/>
              </w:rPr>
            </w:pPr>
            <w:r w:rsidRPr="009E78AE">
              <w:rPr>
                <w:color w:val="000000"/>
              </w:rPr>
              <w:t>14%</w:t>
            </w:r>
          </w:p>
        </w:tc>
        <w:tc>
          <w:tcPr>
            <w:tcW w:w="1494" w:type="dxa"/>
            <w:vAlign w:val="center"/>
          </w:tcPr>
          <w:p w:rsidR="00501E4A" w:rsidRPr="009E78AE" w:rsidRDefault="00501E4A" w:rsidP="00593470">
            <w:pPr>
              <w:autoSpaceDE w:val="0"/>
              <w:autoSpaceDN w:val="0"/>
              <w:adjustRightInd w:val="0"/>
              <w:spacing w:line="360" w:lineRule="auto"/>
              <w:jc w:val="center"/>
              <w:rPr>
                <w:color w:val="000000"/>
              </w:rPr>
            </w:pPr>
            <w:r w:rsidRPr="009E78AE">
              <w:rPr>
                <w:color w:val="000000"/>
              </w:rPr>
              <w:t>10%</w:t>
            </w:r>
          </w:p>
        </w:tc>
      </w:tr>
    </w:tbl>
    <w:p w:rsidR="00501E4A" w:rsidRPr="009E78AE" w:rsidRDefault="00501E4A" w:rsidP="00501E4A">
      <w:pPr>
        <w:spacing w:line="360" w:lineRule="auto"/>
        <w:jc w:val="both"/>
      </w:pPr>
    </w:p>
    <w:p w:rsidR="002861DD" w:rsidRPr="009E78AE" w:rsidRDefault="00391EBF" w:rsidP="00501E4A">
      <w:r w:rsidRPr="009E78AE">
        <w:fldChar w:fldCharType="begin"/>
      </w:r>
      <w:r w:rsidR="00B75762" w:rsidRPr="009E78AE">
        <w:instrText xml:space="preserve"> ADDIN EN.REFLIST </w:instrText>
      </w:r>
      <w:r w:rsidRPr="009E78AE">
        <w:fldChar w:fldCharType="end"/>
      </w:r>
    </w:p>
    <w:sectPr w:rsidR="002861DD" w:rsidRPr="009E78AE" w:rsidSect="009855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5FD" w:rsidRDefault="007335FD" w:rsidP="004129C8">
      <w:r>
        <w:separator/>
      </w:r>
    </w:p>
  </w:endnote>
  <w:endnote w:type="continuationSeparator" w:id="0">
    <w:p w:rsidR="007335FD" w:rsidRDefault="007335FD" w:rsidP="00412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32266"/>
      <w:docPartObj>
        <w:docPartGallery w:val="Page Numbers (Bottom of Page)"/>
        <w:docPartUnique/>
      </w:docPartObj>
    </w:sdtPr>
    <w:sdtContent>
      <w:p w:rsidR="004129C8" w:rsidRDefault="00391EBF">
        <w:pPr>
          <w:pStyle w:val="Footer"/>
          <w:jc w:val="center"/>
        </w:pPr>
        <w:fldSimple w:instr=" PAGE   \* MERGEFORMAT ">
          <w:r w:rsidR="00D819CF">
            <w:rPr>
              <w:noProof/>
            </w:rPr>
            <w:t>5</w:t>
          </w:r>
        </w:fldSimple>
      </w:p>
    </w:sdtContent>
  </w:sdt>
  <w:p w:rsidR="004129C8" w:rsidRDefault="00412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5FD" w:rsidRDefault="007335FD" w:rsidP="004129C8">
      <w:r>
        <w:separator/>
      </w:r>
    </w:p>
  </w:footnote>
  <w:footnote w:type="continuationSeparator" w:id="0">
    <w:p w:rsidR="007335FD" w:rsidRDefault="007335FD" w:rsidP="00412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C8" w:rsidRPr="004129C8" w:rsidRDefault="004129C8" w:rsidP="004129C8">
    <w:pPr>
      <w:jc w:val="both"/>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LoS-cps CBE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wvfs99x7r5a53eetsppaxsee905a9e2fps2&quot;&gt;ChemicalSpills-Water&lt;record-ids&gt;&lt;item&gt;64&lt;/item&gt;&lt;/record-ids&gt;&lt;/item&gt;&lt;/Libraries&gt;"/>
  </w:docVars>
  <w:rsids>
    <w:rsidRoot w:val="00EC47A8"/>
    <w:rsid w:val="00014D63"/>
    <w:rsid w:val="000A51C6"/>
    <w:rsid w:val="000A57DB"/>
    <w:rsid w:val="000D5A70"/>
    <w:rsid w:val="00206354"/>
    <w:rsid w:val="002320CB"/>
    <w:rsid w:val="00232C13"/>
    <w:rsid w:val="00285759"/>
    <w:rsid w:val="002861DD"/>
    <w:rsid w:val="002D4502"/>
    <w:rsid w:val="002E245F"/>
    <w:rsid w:val="00314918"/>
    <w:rsid w:val="00321787"/>
    <w:rsid w:val="00391EBF"/>
    <w:rsid w:val="003969EB"/>
    <w:rsid w:val="004129C8"/>
    <w:rsid w:val="004671F0"/>
    <w:rsid w:val="00480E26"/>
    <w:rsid w:val="004E04E4"/>
    <w:rsid w:val="00501E4A"/>
    <w:rsid w:val="00503F7B"/>
    <w:rsid w:val="00593470"/>
    <w:rsid w:val="00614862"/>
    <w:rsid w:val="0063391C"/>
    <w:rsid w:val="006675A8"/>
    <w:rsid w:val="00693E98"/>
    <w:rsid w:val="007335FD"/>
    <w:rsid w:val="0074278B"/>
    <w:rsid w:val="007600DB"/>
    <w:rsid w:val="00772D73"/>
    <w:rsid w:val="007A6D1D"/>
    <w:rsid w:val="007F26B6"/>
    <w:rsid w:val="00822B74"/>
    <w:rsid w:val="00881D2C"/>
    <w:rsid w:val="00885FE9"/>
    <w:rsid w:val="008B186C"/>
    <w:rsid w:val="008B58BB"/>
    <w:rsid w:val="008C2099"/>
    <w:rsid w:val="008C6352"/>
    <w:rsid w:val="0090003C"/>
    <w:rsid w:val="00985550"/>
    <w:rsid w:val="009A7B3C"/>
    <w:rsid w:val="009E78AE"/>
    <w:rsid w:val="00A47B20"/>
    <w:rsid w:val="00A55942"/>
    <w:rsid w:val="00B41CF4"/>
    <w:rsid w:val="00B75762"/>
    <w:rsid w:val="00C174B9"/>
    <w:rsid w:val="00C2215D"/>
    <w:rsid w:val="00CB46EF"/>
    <w:rsid w:val="00CE4D2C"/>
    <w:rsid w:val="00D50C2B"/>
    <w:rsid w:val="00D819CF"/>
    <w:rsid w:val="00DE7B96"/>
    <w:rsid w:val="00DE7E22"/>
    <w:rsid w:val="00E27719"/>
    <w:rsid w:val="00E752C2"/>
    <w:rsid w:val="00EC47A8"/>
    <w:rsid w:val="00ED1CE1"/>
    <w:rsid w:val="00F12245"/>
    <w:rsid w:val="00F36FEF"/>
    <w:rsid w:val="00F62D2C"/>
    <w:rsid w:val="00FA752A"/>
    <w:rsid w:val="00FE0FCF"/>
    <w:rsid w:val="00FE1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C47A8"/>
    <w:rPr>
      <w:sz w:val="16"/>
      <w:szCs w:val="16"/>
    </w:rPr>
  </w:style>
  <w:style w:type="paragraph" w:styleId="CommentText">
    <w:name w:val="annotation text"/>
    <w:basedOn w:val="Normal"/>
    <w:link w:val="CommentTextChar"/>
    <w:uiPriority w:val="99"/>
    <w:semiHidden/>
    <w:unhideWhenUsed/>
    <w:rsid w:val="00EC47A8"/>
    <w:rPr>
      <w:sz w:val="20"/>
      <w:szCs w:val="20"/>
    </w:rPr>
  </w:style>
  <w:style w:type="character" w:customStyle="1" w:styleId="CommentTextChar">
    <w:name w:val="Comment Text Char"/>
    <w:basedOn w:val="DefaultParagraphFont"/>
    <w:link w:val="CommentText"/>
    <w:uiPriority w:val="99"/>
    <w:semiHidden/>
    <w:rsid w:val="00EC47A8"/>
  </w:style>
  <w:style w:type="paragraph" w:styleId="CommentSubject">
    <w:name w:val="annotation subject"/>
    <w:basedOn w:val="CommentText"/>
    <w:next w:val="CommentText"/>
    <w:link w:val="CommentSubjectChar"/>
    <w:uiPriority w:val="99"/>
    <w:semiHidden/>
    <w:unhideWhenUsed/>
    <w:rsid w:val="00EC47A8"/>
    <w:rPr>
      <w:b/>
      <w:bCs/>
    </w:rPr>
  </w:style>
  <w:style w:type="character" w:customStyle="1" w:styleId="CommentSubjectChar">
    <w:name w:val="Comment Subject Char"/>
    <w:link w:val="CommentSubject"/>
    <w:uiPriority w:val="99"/>
    <w:semiHidden/>
    <w:rsid w:val="00EC47A8"/>
    <w:rPr>
      <w:b/>
      <w:bCs/>
    </w:rPr>
  </w:style>
  <w:style w:type="paragraph" w:styleId="BalloonText">
    <w:name w:val="Balloon Text"/>
    <w:basedOn w:val="Normal"/>
    <w:link w:val="BalloonTextChar"/>
    <w:uiPriority w:val="99"/>
    <w:semiHidden/>
    <w:unhideWhenUsed/>
    <w:rsid w:val="00EC47A8"/>
    <w:rPr>
      <w:rFonts w:ascii="Tahoma" w:hAnsi="Tahoma" w:cs="Tahoma"/>
      <w:sz w:val="16"/>
      <w:szCs w:val="16"/>
    </w:rPr>
  </w:style>
  <w:style w:type="character" w:customStyle="1" w:styleId="BalloonTextChar">
    <w:name w:val="Balloon Text Char"/>
    <w:link w:val="BalloonText"/>
    <w:uiPriority w:val="99"/>
    <w:semiHidden/>
    <w:rsid w:val="00EC47A8"/>
    <w:rPr>
      <w:rFonts w:ascii="Tahoma" w:hAnsi="Tahoma" w:cs="Tahoma"/>
      <w:sz w:val="16"/>
      <w:szCs w:val="16"/>
    </w:rPr>
  </w:style>
  <w:style w:type="paragraph" w:styleId="Header">
    <w:name w:val="header"/>
    <w:basedOn w:val="Normal"/>
    <w:link w:val="HeaderChar"/>
    <w:uiPriority w:val="99"/>
    <w:semiHidden/>
    <w:unhideWhenUsed/>
    <w:rsid w:val="004129C8"/>
    <w:pPr>
      <w:tabs>
        <w:tab w:val="center" w:pos="4680"/>
        <w:tab w:val="right" w:pos="9360"/>
      </w:tabs>
    </w:pPr>
  </w:style>
  <w:style w:type="character" w:customStyle="1" w:styleId="HeaderChar">
    <w:name w:val="Header Char"/>
    <w:basedOn w:val="DefaultParagraphFont"/>
    <w:link w:val="Header"/>
    <w:uiPriority w:val="99"/>
    <w:semiHidden/>
    <w:rsid w:val="004129C8"/>
    <w:rPr>
      <w:sz w:val="24"/>
      <w:szCs w:val="24"/>
    </w:rPr>
  </w:style>
  <w:style w:type="paragraph" w:styleId="Footer">
    <w:name w:val="footer"/>
    <w:basedOn w:val="Normal"/>
    <w:link w:val="FooterChar"/>
    <w:uiPriority w:val="99"/>
    <w:unhideWhenUsed/>
    <w:rsid w:val="004129C8"/>
    <w:pPr>
      <w:tabs>
        <w:tab w:val="center" w:pos="4680"/>
        <w:tab w:val="right" w:pos="9360"/>
      </w:tabs>
    </w:pPr>
  </w:style>
  <w:style w:type="character" w:customStyle="1" w:styleId="FooterChar">
    <w:name w:val="Footer Char"/>
    <w:basedOn w:val="DefaultParagraphFont"/>
    <w:link w:val="Footer"/>
    <w:uiPriority w:val="99"/>
    <w:rsid w:val="004129C8"/>
    <w:rPr>
      <w:sz w:val="24"/>
      <w:szCs w:val="24"/>
    </w:rPr>
  </w:style>
  <w:style w:type="paragraph" w:styleId="NoSpacing">
    <w:name w:val="No Spacing"/>
    <w:uiPriority w:val="1"/>
    <w:qFormat/>
    <w:rsid w:val="004129C8"/>
    <w:rPr>
      <w:sz w:val="24"/>
      <w:szCs w:val="24"/>
    </w:rPr>
  </w:style>
  <w:style w:type="character" w:styleId="Hyperlink">
    <w:name w:val="Hyperlink"/>
    <w:basedOn w:val="DefaultParagraphFont"/>
    <w:uiPriority w:val="99"/>
    <w:unhideWhenUsed/>
    <w:rsid w:val="00B757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41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4F4B-8DF4-4E18-88F7-39D4BE9E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WVMI</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Schade, Charles</dc:creator>
  <cp:lastModifiedBy>Ayan Jha</cp:lastModifiedBy>
  <cp:revision>13</cp:revision>
  <dcterms:created xsi:type="dcterms:W3CDTF">2014-12-15T20:03:00Z</dcterms:created>
  <dcterms:modified xsi:type="dcterms:W3CDTF">2015-04-11T04:42:00Z</dcterms:modified>
</cp:coreProperties>
</file>