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C46" w:rsidRPr="00151CD3" w:rsidRDefault="00A25C46" w:rsidP="00A25C46">
      <w:pPr>
        <w:pStyle w:val="Heading1"/>
        <w:rPr>
          <w:sz w:val="36"/>
          <w:szCs w:val="36"/>
        </w:rPr>
      </w:pPr>
      <w:bookmarkStart w:id="0" w:name="_GoBack"/>
      <w:r w:rsidRPr="00151CD3">
        <w:rPr>
          <w:sz w:val="36"/>
          <w:szCs w:val="36"/>
        </w:rPr>
        <w:t>Modifications to eligibility criteria and changes based on recruitment</w:t>
      </w:r>
    </w:p>
    <w:bookmarkEnd w:id="0"/>
    <w:p w:rsidR="00A25C46" w:rsidRDefault="00A25C46" w:rsidP="00A25C46">
      <w:pPr>
        <w:spacing w:line="240" w:lineRule="auto"/>
        <w:contextualSpacing/>
      </w:pPr>
      <w:r>
        <w:t>When the study protocol was initially developed, we specified that index case-patients were eligible if the index case-patient met the case definition (specified above), and if the index case-</w:t>
      </w:r>
      <w:proofErr w:type="spellStart"/>
      <w:r>
        <w:t>patient’shousehold</w:t>
      </w:r>
      <w:proofErr w:type="spellEnd"/>
      <w:r>
        <w:t xml:space="preserve"> compound was located within 30 minutes travel time one-way from the health facility </w:t>
      </w:r>
      <w:r>
        <w:rPr>
          <w:i/>
        </w:rPr>
        <w:t xml:space="preserve">and </w:t>
      </w:r>
      <w:r>
        <w:t>none of the index case-patient’s fellow compound members were reported to have fever within the 3 days before the index case-patient’s enrollment (</w:t>
      </w:r>
      <w:r w:rsidR="00AE1F8A">
        <w:t xml:space="preserve">Supplemental </w:t>
      </w:r>
      <w:r w:rsidRPr="008B6F6C">
        <w:t>Table 1</w:t>
      </w:r>
      <w:r>
        <w:t>).</w:t>
      </w:r>
    </w:p>
    <w:p w:rsidR="00A25C46" w:rsidRPr="00F57AA2" w:rsidRDefault="00A25C46" w:rsidP="00A25C46">
      <w:pPr>
        <w:spacing w:line="240" w:lineRule="auto"/>
        <w:contextualSpacing/>
      </w:pPr>
    </w:p>
    <w:p w:rsidR="00A25C46" w:rsidRDefault="00A25C46" w:rsidP="00A25C46">
      <w:pPr>
        <w:spacing w:line="240" w:lineRule="auto"/>
        <w:contextualSpacing/>
      </w:pPr>
      <w:r>
        <w:t>Within the first month following the study launch in July 2009 (Phase 1), we realized that we were at substantial risk of not meeting the desired sample size based on the pace of identification of eligible index case-patients.  In an effort to salvage the investments made in study personnel and logistics and to increase recruitment, we requested and were granted approval from the research review committee at icddr,b to loosen the eligibility criteria for the remainder of the study (Phase 2): specifically, we allowed all index case-patients meeting the case definition irrespective of illness among household contacts, and allowed for the household compound to be located within 2 hours travel time one-way from the health facility.</w:t>
      </w:r>
    </w:p>
    <w:p w:rsidR="00A25C46" w:rsidRDefault="00A25C46" w:rsidP="00A25C46">
      <w:pPr>
        <w:spacing w:line="240" w:lineRule="auto"/>
        <w:contextualSpacing/>
      </w:pPr>
    </w:p>
    <w:p w:rsidR="00A25C46" w:rsidRDefault="00A25C46" w:rsidP="00A25C46">
      <w:pPr>
        <w:spacing w:line="240" w:lineRule="auto"/>
        <w:contextualSpacing/>
      </w:pPr>
      <w:r>
        <w:t xml:space="preserve">By the end of the 2009 Influenza season (November 2009), we had randomized only 174 index case-patients (of a desired 400 index case patients).  Additional funds became available from the US Centers for Disease Control and Prevention, allowing us to resume and continue the study during the 2010 Influenza season (Phase 3).  In the intervening period between the 2009 and 2010 influenza seasons, we became aware of the data from Cowling and </w:t>
      </w:r>
      <w:proofErr w:type="gramStart"/>
      <w:r>
        <w:t>colleagues</w:t>
      </w:r>
      <w:proofErr w:type="gramEnd"/>
      <w:r w:rsidR="007A654F">
        <w:fldChar w:fldCharType="begin"/>
      </w:r>
      <w:r w:rsidR="007A654F">
        <w:instrText xml:space="preserve"> HYPERLINK \l "_ENREF_8" \o "Cowling, 2009 #555" </w:instrText>
      </w:r>
      <w:r w:rsidR="007A654F">
        <w:fldChar w:fldCharType="separate"/>
      </w:r>
      <w:r>
        <w:fldChar w:fldCharType="begin">
          <w:fldData xml:space="preserve">PEVuZE5vdGU+PENpdGU+PEF1dGhvcj5Db3dsaW5nPC9BdXRob3I+PFllYXI+MjAwOTwvWWVhcj48
UmVjTnVtPjU1NTwvUmVjTnVtPjxEaXNwbGF5VGV4dD48c3R5bGUgZmFjZT0ic3VwZXJzY3JpcHQi
Pjg8L3N0eWxlPjwvRGlzcGxheVRleHQ+PHJlY29yZD48cmVjLW51bWJlcj41NTU8L3JlYy1udW1i
ZXI+PGZvcmVpZ24ta2V5cz48a2V5IGFwcD0iRU4iIGRiLWlkPSI5eGVwdHg5ZWtlenJwOWVwc2V4
eHR6d2pkZHdwZnR3d2V0eGYiPjU1NTwva2V5PjwvZm9yZWlnbi1rZXlzPjxyZWYtdHlwZSBuYW1l
PSJKb3VybmFsIEFydGljbGUiPjE3PC9yZWYtdHlwZT48Y29udHJpYnV0b3JzPjxhdXRob3JzPjxh
dXRob3I+Q293bGluZywgQi4gSi48L2F1dGhvcj48YXV0aG9yPkNoYW4sIEsuIEguPC9hdXRob3I+
PGF1dGhvcj5GYW5nLCBWLiBKLjwvYXV0aG9yPjxhdXRob3I+Q2hlbmcsIEMuIEsuPC9hdXRob3I+
PGF1dGhvcj5GdW5nLCBSLiBPLjwvYXV0aG9yPjxhdXRob3I+V2FpLCBXLjwvYXV0aG9yPjxhdXRo
b3I+U2luLCBKLjwvYXV0aG9yPjxhdXRob3I+U2V0bywgVy4gSC48L2F1dGhvcj48YXV0aG9yPll1
bmcsIFIuPC9hdXRob3I+PGF1dGhvcj5DaHUsIEQuIFcuPC9hdXRob3I+PGF1dGhvcj5DaGl1LCBC
LiBDLjwvYXV0aG9yPjxhdXRob3I+TGVlLCBQLiBXLjwvYXV0aG9yPjxhdXRob3I+Q2hpdSwgTS4g
Qy48L2F1dGhvcj48YXV0aG9yPkxlZSwgSC4gQy48L2F1dGhvcj48YXV0aG9yPlV5ZWtpLCBULiBN
LjwvYXV0aG9yPjxhdXRob3I+SG91Y2ssIFAuIE0uPC9hdXRob3I+PGF1dGhvcj5QZWlyaXMsIEou
IFMuPC9hdXRob3I+PGF1dGhvcj5MZXVuZywgRy4gTS48L2F1dGhvcj48L2F1dGhvcnM+PC9jb250
cmlidXRvcnM+PGF1dGgtYWRkcmVzcz5TY2hvb2wgb2YgUHVibGljIEhlYWx0aCBhbmQgVW5pdmVy
c2l0eSBvZiBIb25nIEtvbmcsIEN5YmVycG9ydCAzLCBQb2tmdWxhbSwgSG9uZyBLb25nIFNBUi4g
YmNvd2xpbmdAaGt1LmhrPC9hdXRoLWFkZHJlc3M+PHRpdGxlcz48dGl0bGU+RmFjZW1hc2tzIGFu
ZCBoYW5kIGh5Z2llbmUgdG8gcHJldmVudCBpbmZsdWVuemEgdHJhbnNtaXNzaW9uIGluIGhvdXNl
aG9sZHM6IGEgY2x1c3RlciByYW5kb21pemVkIHRyaWFsPC90aXRsZT48c2Vjb25kYXJ5LXRpdGxl
PkFubiBJbnRlcm4gTWVkPC9zZWNvbmRhcnktdGl0bGU+PGFsdC10aXRsZT5Bbm5hbHMgb2YgaW50
ZXJuYWwgbWVkaWNpbmU8L2FsdC10aXRsZT48L3RpdGxlcz48cGVyaW9kaWNhbD48ZnVsbC10aXRs
ZT5Bbm4gSW50ZXJuIE1lZDwvZnVsbC10aXRsZT48YWJici0xPkFubmFscyBvZiBpbnRlcm5hbCBt
ZWRpY2luZTwvYWJici0xPjwvcGVyaW9kaWNhbD48YWx0LXBlcmlvZGljYWw+PGZ1bGwtdGl0bGU+
QW5uIEludGVybiBNZWQ8L2Z1bGwtdGl0bGU+PGFiYnItMT5Bbm5hbHMgb2YgaW50ZXJuYWwgbWVk
aWNpbmU8L2FiYnItMT48L2FsdC1wZXJpb2RpY2FsPjxwYWdlcz40MzctNDY8L3BhZ2VzPjx2b2x1
bWU+MTUxPC92b2x1bWU+PG51bWJlcj43PC9udW1iZXI+PGtleXdvcmRzPjxrZXl3b3JkPkFkb2xl
c2NlbnQ8L2tleXdvcmQ+PGtleXdvcmQ+QWR1bHQ8L2tleXdvcmQ+PGtleXdvcmQ+Q2hpbGQ8L2tl
eXdvcmQ+PGtleXdvcmQ+Q2hpbGQsIFByZXNjaG9vbDwva2V5d29yZD48a2V5d29yZD5GYW1pbHkg
Q2hhcmFjdGVyaXN0aWNzPC9rZXl3b3JkPjxrZXl3b3JkPipIYW5kIERpc2luZmVjdGlvbjwva2V5
d29yZD48a2V5d29yZD5Ib25nIEtvbmcvZXBpZGVtaW9sb2d5PC9rZXl3b3JkPjxrZXl3b3JkPkh1
bWFuczwva2V5d29yZD48a2V5d29yZD5JbmZsdWVuemEgQSB2aXJ1cy9pc29sYXRpb24gJmFtcDsg
cHVyaWZpY2F0aW9uPC9rZXl3b3JkPjxrZXl3b3JkPkluZmx1ZW56YSBCIHZpcnVzL2lzb2xhdGlv
biAmYW1wOyBwdXJpZmljYXRpb248L2tleXdvcmQ+PGtleXdvcmQ+SW5mbHVlbnphLCBIdW1hbi9k
aWFnbm9zaXMvKnByZXZlbnRpb24gJmFtcDsgY29udHJvbC90cmFuc21pc3Npb248L2tleXdvcmQ+
PGtleXdvcmQ+TWFsZTwva2V5d29yZD48a2V5d29yZD4qTWFza3M8L2tleXdvcmQ+PGtleXdvcmQ+
TWlkZGxlIEFnZWQ8L2tleXdvcmQ+PGtleXdvcmQ+UGF0aWVudCBDb21wbGlhbmNlPC9rZXl3b3Jk
PjxrZXl3b3JkPlBhdGllbnQgRWR1Y2F0aW9uIGFzIFRvcGljPC9rZXl3b3JkPjxrZXl3b3JkPlBy
b3NwZWN0aXZlIFN0dWRpZXM8L2tleXdvcmQ+PGtleXdvcmQ+UmV2ZXJzZSBUcmFuc2NyaXB0YXNl
IFBvbHltZXJhc2UgQ2hhaW4gUmVhY3Rpb248L2tleXdvcmQ+PGtleXdvcmQ+UmlzayBGYWN0b3Jz
PC9rZXl3b3JkPjxrZXl3b3JkPlRpbWUgRmFjdG9yczwva2V5d29yZD48a2V5d29yZD5Zb3VuZyBB
ZHVsdDwva2V5d29yZD48L2tleXdvcmRzPjxkYXRlcz48eWVhcj4yMDA5PC95ZWFyPjxwdWItZGF0
ZXM+PGRhdGU+T2N0IDY8L2RhdGU+PC9wdWItZGF0ZXM+PC9kYXRlcz48aXNibj4xNTM5LTM3MDQg
KEVsZWN0cm9uaWMpJiN4RDswMDAzLTQ4MTkgKExpbmtpbmcpPC9pc2JuPjxhY2Nlc3Npb24tbnVt
PjE5NjUyMTcyPC9hY2Nlc3Npb24tbnVtPjx1cmxzPjxyZWxhdGVkLXVybHM+PHVybD5odHRwOi8v
d3d3Lm5jYmkubmxtLm5paC5nb3YvcHVibWVkLzE5NjUyMTcyPC91cmw+PC9yZWxhdGVkLXVybHM+
PC91cmxzPjwvcmVjb3JkPjwvQ2l0ZT48L0VuZE5vdGU+AG==
</w:fldData>
        </w:fldChar>
      </w:r>
      <w:r>
        <w:instrText xml:space="preserve"> ADDIN EN.CITE </w:instrText>
      </w:r>
      <w:r>
        <w:fldChar w:fldCharType="begin">
          <w:fldData xml:space="preserve">PEVuZE5vdGU+PENpdGU+PEF1dGhvcj5Db3dsaW5nPC9BdXRob3I+PFllYXI+MjAwOTwvWWVhcj48
UmVjTnVtPjU1NTwvUmVjTnVtPjxEaXNwbGF5VGV4dD48c3R5bGUgZmFjZT0ic3VwZXJzY3JpcHQi
Pjg8L3N0eWxlPjwvRGlzcGxheVRleHQ+PHJlY29yZD48cmVjLW51bWJlcj41NTU8L3JlYy1udW1i
ZXI+PGZvcmVpZ24ta2V5cz48a2V5IGFwcD0iRU4iIGRiLWlkPSI5eGVwdHg5ZWtlenJwOWVwc2V4
eHR6d2pkZHdwZnR3d2V0eGYiPjU1NTwva2V5PjwvZm9yZWlnbi1rZXlzPjxyZWYtdHlwZSBuYW1l
PSJKb3VybmFsIEFydGljbGUiPjE3PC9yZWYtdHlwZT48Y29udHJpYnV0b3JzPjxhdXRob3JzPjxh
dXRob3I+Q293bGluZywgQi4gSi48L2F1dGhvcj48YXV0aG9yPkNoYW4sIEsuIEguPC9hdXRob3I+
PGF1dGhvcj5GYW5nLCBWLiBKLjwvYXV0aG9yPjxhdXRob3I+Q2hlbmcsIEMuIEsuPC9hdXRob3I+
PGF1dGhvcj5GdW5nLCBSLiBPLjwvYXV0aG9yPjxhdXRob3I+V2FpLCBXLjwvYXV0aG9yPjxhdXRo
b3I+U2luLCBKLjwvYXV0aG9yPjxhdXRob3I+U2V0bywgVy4gSC48L2F1dGhvcj48YXV0aG9yPll1
bmcsIFIuPC9hdXRob3I+PGF1dGhvcj5DaHUsIEQuIFcuPC9hdXRob3I+PGF1dGhvcj5DaGl1LCBC
LiBDLjwvYXV0aG9yPjxhdXRob3I+TGVlLCBQLiBXLjwvYXV0aG9yPjxhdXRob3I+Q2hpdSwgTS4g
Qy48L2F1dGhvcj48YXV0aG9yPkxlZSwgSC4gQy48L2F1dGhvcj48YXV0aG9yPlV5ZWtpLCBULiBN
LjwvYXV0aG9yPjxhdXRob3I+SG91Y2ssIFAuIE0uPC9hdXRob3I+PGF1dGhvcj5QZWlyaXMsIEou
IFMuPC9hdXRob3I+PGF1dGhvcj5MZXVuZywgRy4gTS48L2F1dGhvcj48L2F1dGhvcnM+PC9jb250
cmlidXRvcnM+PGF1dGgtYWRkcmVzcz5TY2hvb2wgb2YgUHVibGljIEhlYWx0aCBhbmQgVW5pdmVy
c2l0eSBvZiBIb25nIEtvbmcsIEN5YmVycG9ydCAzLCBQb2tmdWxhbSwgSG9uZyBLb25nIFNBUi4g
YmNvd2xpbmdAaGt1LmhrPC9hdXRoLWFkZHJlc3M+PHRpdGxlcz48dGl0bGU+RmFjZW1hc2tzIGFu
ZCBoYW5kIGh5Z2llbmUgdG8gcHJldmVudCBpbmZsdWVuemEgdHJhbnNtaXNzaW9uIGluIGhvdXNl
aG9sZHM6IGEgY2x1c3RlciByYW5kb21pemVkIHRyaWFsPC90aXRsZT48c2Vjb25kYXJ5LXRpdGxl
PkFubiBJbnRlcm4gTWVkPC9zZWNvbmRhcnktdGl0bGU+PGFsdC10aXRsZT5Bbm5hbHMgb2YgaW50
ZXJuYWwgbWVkaWNpbmU8L2FsdC10aXRsZT48L3RpdGxlcz48cGVyaW9kaWNhbD48ZnVsbC10aXRs
ZT5Bbm4gSW50ZXJuIE1lZDwvZnVsbC10aXRsZT48YWJici0xPkFubmFscyBvZiBpbnRlcm5hbCBt
ZWRpY2luZTwvYWJici0xPjwvcGVyaW9kaWNhbD48YWx0LXBlcmlvZGljYWw+PGZ1bGwtdGl0bGU+
QW5uIEludGVybiBNZWQ8L2Z1bGwtdGl0bGU+PGFiYnItMT5Bbm5hbHMgb2YgaW50ZXJuYWwgbWVk
aWNpbmU8L2FiYnItMT48L2FsdC1wZXJpb2RpY2FsPjxwYWdlcz40MzctNDY8L3BhZ2VzPjx2b2x1
bWU+MTUxPC92b2x1bWU+PG51bWJlcj43PC9udW1iZXI+PGtleXdvcmRzPjxrZXl3b3JkPkFkb2xl
c2NlbnQ8L2tleXdvcmQ+PGtleXdvcmQ+QWR1bHQ8L2tleXdvcmQ+PGtleXdvcmQ+Q2hpbGQ8L2tl
eXdvcmQ+PGtleXdvcmQ+Q2hpbGQsIFByZXNjaG9vbDwva2V5d29yZD48a2V5d29yZD5GYW1pbHkg
Q2hhcmFjdGVyaXN0aWNzPC9rZXl3b3JkPjxrZXl3b3JkPipIYW5kIERpc2luZmVjdGlvbjwva2V5
d29yZD48a2V5d29yZD5Ib25nIEtvbmcvZXBpZGVtaW9sb2d5PC9rZXl3b3JkPjxrZXl3b3JkPkh1
bWFuczwva2V5d29yZD48a2V5d29yZD5JbmZsdWVuemEgQSB2aXJ1cy9pc29sYXRpb24gJmFtcDsg
cHVyaWZpY2F0aW9uPC9rZXl3b3JkPjxrZXl3b3JkPkluZmx1ZW56YSBCIHZpcnVzL2lzb2xhdGlv
biAmYW1wOyBwdXJpZmljYXRpb248L2tleXdvcmQ+PGtleXdvcmQ+SW5mbHVlbnphLCBIdW1hbi9k
aWFnbm9zaXMvKnByZXZlbnRpb24gJmFtcDsgY29udHJvbC90cmFuc21pc3Npb248L2tleXdvcmQ+
PGtleXdvcmQ+TWFsZTwva2V5d29yZD48a2V5d29yZD4qTWFza3M8L2tleXdvcmQ+PGtleXdvcmQ+
TWlkZGxlIEFnZWQ8L2tleXdvcmQ+PGtleXdvcmQ+UGF0aWVudCBDb21wbGlhbmNlPC9rZXl3b3Jk
PjxrZXl3b3JkPlBhdGllbnQgRWR1Y2F0aW9uIGFzIFRvcGljPC9rZXl3b3JkPjxrZXl3b3JkPlBy
b3NwZWN0aXZlIFN0dWRpZXM8L2tleXdvcmQ+PGtleXdvcmQ+UmV2ZXJzZSBUcmFuc2NyaXB0YXNl
IFBvbHltZXJhc2UgQ2hhaW4gUmVhY3Rpb248L2tleXdvcmQ+PGtleXdvcmQ+UmlzayBGYWN0b3Jz
PC9rZXl3b3JkPjxrZXl3b3JkPlRpbWUgRmFjdG9yczwva2V5d29yZD48a2V5d29yZD5Zb3VuZyBB
ZHVsdDwva2V5d29yZD48L2tleXdvcmRzPjxkYXRlcz48eWVhcj4yMDA5PC95ZWFyPjxwdWItZGF0
ZXM+PGRhdGU+T2N0IDY8L2RhdGU+PC9wdWItZGF0ZXM+PC9kYXRlcz48aXNibj4xNTM5LTM3MDQg
KEVsZWN0cm9uaWMpJiN4RDswMDAzLTQ4MTkgKExpbmtpbmcpPC9pc2JuPjxhY2Nlc3Npb24tbnVt
PjE5NjUyMTcyPC9hY2Nlc3Npb24tbnVtPjx1cmxzPjxyZWxhdGVkLXVybHM+PHVybD5odHRwOi8v
d3d3Lm5jYmkubmxtLm5paC5nb3YvcHVibWVkLzE5NjUyMTcyPC91cmw+PC9yZWxhdGVkLXVybHM+
PC91cmxzPjwvcmVjb3JkPjwvQ2l0ZT48L0VuZE5vdGU+AG==
</w:fldData>
        </w:fldChar>
      </w:r>
      <w:r>
        <w:instrText xml:space="preserve"> ADDIN EN.CITE.DATA </w:instrText>
      </w:r>
      <w:r>
        <w:fldChar w:fldCharType="end"/>
      </w:r>
      <w:r>
        <w:fldChar w:fldCharType="separate"/>
      </w:r>
      <w:r w:rsidRPr="00166468">
        <w:rPr>
          <w:noProof/>
          <w:vertAlign w:val="superscript"/>
        </w:rPr>
        <w:t>8</w:t>
      </w:r>
      <w:r>
        <w:fldChar w:fldCharType="end"/>
      </w:r>
      <w:r w:rsidR="007A654F">
        <w:fldChar w:fldCharType="end"/>
      </w:r>
      <w:r>
        <w:t>, demonstrating that handwashing promotion prevented secondary transmission of influenza  if applied early in the course of the index case-patient’s illness (</w:t>
      </w:r>
      <w:r w:rsidRPr="00A14B29">
        <w:t xml:space="preserve">within </w:t>
      </w:r>
      <w:r>
        <w:t>36</w:t>
      </w:r>
      <w:r w:rsidRPr="00A14B29">
        <w:t xml:space="preserve"> hours</w:t>
      </w:r>
      <w:r>
        <w:t>).  Therefore, we altered the eligibility criteria for index case-patients for Phase 3: symptoms in the index case-patient consistent with influenza like-illness with symptom onset during the 48 hours prior to enrollment.  We also allowed for fever to have been reported among secondary household compound members (i.e. members of the index case-patient’s household should not have experienced fever during the 7 days prior to enrollment but members of secondary households could have had fever during this period).  A summary of the phase-specific eligibility criteria are provided in Supplemental Table 1.</w:t>
      </w:r>
    </w:p>
    <w:p w:rsidR="00A25C46" w:rsidRDefault="00A25C46" w:rsidP="00A25C46"/>
    <w:p w:rsidR="00A25C46" w:rsidRDefault="00A25C46" w:rsidP="00A25C46">
      <w:pPr>
        <w:sectPr w:rsidR="00A25C46" w:rsidSect="000337AA">
          <w:headerReference w:type="default" r:id="rId9"/>
          <w:footerReference w:type="default" r:id="rId10"/>
          <w:pgSz w:w="12240" w:h="15840"/>
          <w:pgMar w:top="810" w:right="540" w:bottom="1440" w:left="1440" w:header="720" w:footer="720" w:gutter="0"/>
          <w:cols w:space="720"/>
          <w:docGrid w:linePitch="360"/>
        </w:sectPr>
      </w:pPr>
    </w:p>
    <w:p w:rsidR="00A25C46" w:rsidRDefault="00A25C46" w:rsidP="00A25C46">
      <w:pPr>
        <w:pStyle w:val="Heading1"/>
      </w:pPr>
      <w:bookmarkStart w:id="1" w:name="_Toc365268076"/>
      <w:r>
        <w:lastRenderedPageBreak/>
        <w:t xml:space="preserve">Table S1. Phases of enrollment of index case-patients and susceptible contacts, Bangladesh Interruption of Secondary Transmission of Influenza Study (BISTIS), </w:t>
      </w:r>
      <w:proofErr w:type="spellStart"/>
      <w:r>
        <w:t>Kishoregonj</w:t>
      </w:r>
      <w:proofErr w:type="spellEnd"/>
      <w:r>
        <w:t>, Bangladesh, 2009-2010</w:t>
      </w:r>
      <w:bookmarkEnd w:id="1"/>
    </w:p>
    <w:tbl>
      <w:tblPr>
        <w:tblStyle w:val="TableGrid"/>
        <w:tblW w:w="14400" w:type="dxa"/>
        <w:tblInd w:w="-252" w:type="dxa"/>
        <w:tblLook w:val="04A0" w:firstRow="1" w:lastRow="0" w:firstColumn="1" w:lastColumn="0" w:noHBand="0" w:noVBand="1"/>
      </w:tblPr>
      <w:tblGrid>
        <w:gridCol w:w="3240"/>
        <w:gridCol w:w="2610"/>
        <w:gridCol w:w="2875"/>
        <w:gridCol w:w="2705"/>
        <w:gridCol w:w="2970"/>
      </w:tblGrid>
      <w:tr w:rsidR="00A25C46" w:rsidTr="00CF5547">
        <w:trPr>
          <w:trHeight w:val="806"/>
        </w:trPr>
        <w:tc>
          <w:tcPr>
            <w:tcW w:w="3240" w:type="dxa"/>
          </w:tcPr>
          <w:p w:rsidR="00A25C46" w:rsidRPr="00574E4A" w:rsidRDefault="00A25C46" w:rsidP="00CF5547">
            <w:pPr>
              <w:rPr>
                <w:b/>
              </w:rPr>
            </w:pPr>
            <w:r w:rsidRPr="00574E4A">
              <w:rPr>
                <w:b/>
              </w:rPr>
              <w:t>Phase</w:t>
            </w:r>
          </w:p>
        </w:tc>
        <w:tc>
          <w:tcPr>
            <w:tcW w:w="2610" w:type="dxa"/>
          </w:tcPr>
          <w:p w:rsidR="00A25C46" w:rsidRDefault="00A25C46" w:rsidP="00CF5547">
            <w:pPr>
              <w:jc w:val="center"/>
            </w:pPr>
            <w:r>
              <w:t>Total</w:t>
            </w:r>
          </w:p>
        </w:tc>
        <w:tc>
          <w:tcPr>
            <w:tcW w:w="2875" w:type="dxa"/>
          </w:tcPr>
          <w:p w:rsidR="00A25C46" w:rsidRDefault="00A25C46" w:rsidP="00CF5547">
            <w:pPr>
              <w:jc w:val="center"/>
            </w:pPr>
            <w:r>
              <w:t>I</w:t>
            </w:r>
          </w:p>
        </w:tc>
        <w:tc>
          <w:tcPr>
            <w:tcW w:w="2705" w:type="dxa"/>
          </w:tcPr>
          <w:p w:rsidR="00A25C46" w:rsidRDefault="00A25C46" w:rsidP="00CF5547">
            <w:pPr>
              <w:jc w:val="center"/>
            </w:pPr>
            <w:r>
              <w:t>II</w:t>
            </w:r>
          </w:p>
        </w:tc>
        <w:tc>
          <w:tcPr>
            <w:tcW w:w="2970" w:type="dxa"/>
          </w:tcPr>
          <w:p w:rsidR="00A25C46" w:rsidRDefault="00A25C46" w:rsidP="00CF5547">
            <w:pPr>
              <w:jc w:val="center"/>
            </w:pPr>
            <w:r>
              <w:t>III</w:t>
            </w:r>
          </w:p>
        </w:tc>
      </w:tr>
      <w:tr w:rsidR="00A25C46" w:rsidTr="00CF5547">
        <w:trPr>
          <w:trHeight w:val="593"/>
        </w:trPr>
        <w:tc>
          <w:tcPr>
            <w:tcW w:w="3240" w:type="dxa"/>
          </w:tcPr>
          <w:p w:rsidR="00A25C46" w:rsidRPr="00574E4A" w:rsidRDefault="00A25C46" w:rsidP="00CF5547">
            <w:pPr>
              <w:rPr>
                <w:b/>
              </w:rPr>
            </w:pPr>
            <w:r w:rsidRPr="00574E4A">
              <w:rPr>
                <w:b/>
              </w:rPr>
              <w:t>Dates</w:t>
            </w:r>
          </w:p>
        </w:tc>
        <w:tc>
          <w:tcPr>
            <w:tcW w:w="2610" w:type="dxa"/>
          </w:tcPr>
          <w:p w:rsidR="00A25C46" w:rsidRDefault="00A25C46" w:rsidP="00CF5547">
            <w:pPr>
              <w:jc w:val="center"/>
            </w:pPr>
            <w:r>
              <w:t>July 19 2009 – October 30, 2010</w:t>
            </w:r>
          </w:p>
        </w:tc>
        <w:tc>
          <w:tcPr>
            <w:tcW w:w="2875" w:type="dxa"/>
          </w:tcPr>
          <w:p w:rsidR="00A25C46" w:rsidRDefault="00A25C46" w:rsidP="00CF5547">
            <w:pPr>
              <w:jc w:val="center"/>
            </w:pPr>
            <w:r>
              <w:t>July 19 – Sep 3, 2009</w:t>
            </w:r>
          </w:p>
        </w:tc>
        <w:tc>
          <w:tcPr>
            <w:tcW w:w="2705" w:type="dxa"/>
          </w:tcPr>
          <w:p w:rsidR="00A25C46" w:rsidRDefault="00A25C46" w:rsidP="00CF5547">
            <w:pPr>
              <w:jc w:val="center"/>
            </w:pPr>
            <w:r>
              <w:t>Sep 4 – Nov 9, 2009</w:t>
            </w:r>
          </w:p>
        </w:tc>
        <w:tc>
          <w:tcPr>
            <w:tcW w:w="2970" w:type="dxa"/>
          </w:tcPr>
          <w:p w:rsidR="00A25C46" w:rsidRDefault="00A25C46" w:rsidP="00CF5547">
            <w:pPr>
              <w:jc w:val="center"/>
            </w:pPr>
            <w:r>
              <w:t>May 6 – October 30, 2010</w:t>
            </w:r>
          </w:p>
        </w:tc>
      </w:tr>
      <w:tr w:rsidR="00A25C46" w:rsidTr="00CF5547">
        <w:trPr>
          <w:trHeight w:val="641"/>
        </w:trPr>
        <w:tc>
          <w:tcPr>
            <w:tcW w:w="3240" w:type="dxa"/>
          </w:tcPr>
          <w:p w:rsidR="00A25C46" w:rsidRDefault="00A25C46" w:rsidP="00CF5547">
            <w:pPr>
              <w:rPr>
                <w:b/>
              </w:rPr>
            </w:pPr>
            <w:r>
              <w:rPr>
                <w:b/>
              </w:rPr>
              <w:t>Case definition of index case-patient</w:t>
            </w:r>
          </w:p>
        </w:tc>
        <w:tc>
          <w:tcPr>
            <w:tcW w:w="2610" w:type="dxa"/>
          </w:tcPr>
          <w:p w:rsidR="00A25C46" w:rsidRDefault="00A25C46" w:rsidP="00CF5547">
            <w:pPr>
              <w:rPr>
                <w:i/>
              </w:rPr>
            </w:pPr>
          </w:p>
        </w:tc>
        <w:tc>
          <w:tcPr>
            <w:tcW w:w="2875" w:type="dxa"/>
          </w:tcPr>
          <w:p w:rsidR="00A25C46" w:rsidRDefault="00A25C46" w:rsidP="00CF5547">
            <w:r>
              <w:t>Age-specific definition for influenza-like illness*</w:t>
            </w:r>
          </w:p>
        </w:tc>
        <w:tc>
          <w:tcPr>
            <w:tcW w:w="2705" w:type="dxa"/>
          </w:tcPr>
          <w:p w:rsidR="00A25C46" w:rsidRDefault="00A25C46" w:rsidP="00CF5547">
            <w:r>
              <w:t>Age-specific definition for influenza-like illness</w:t>
            </w:r>
          </w:p>
        </w:tc>
        <w:tc>
          <w:tcPr>
            <w:tcW w:w="2970" w:type="dxa"/>
          </w:tcPr>
          <w:p w:rsidR="00A25C46" w:rsidRDefault="00A25C46" w:rsidP="00CF5547">
            <w:r>
              <w:t>Age-specific definition for influenza-like illness, with symptom onset during 48 hours preceding enrollment</w:t>
            </w:r>
          </w:p>
        </w:tc>
      </w:tr>
      <w:tr w:rsidR="00A25C46" w:rsidTr="00CF5547">
        <w:trPr>
          <w:trHeight w:val="641"/>
        </w:trPr>
        <w:tc>
          <w:tcPr>
            <w:tcW w:w="3240" w:type="dxa"/>
          </w:tcPr>
          <w:p w:rsidR="00A25C46" w:rsidRPr="00574E4A" w:rsidRDefault="00A25C46" w:rsidP="00CF5547">
            <w:pPr>
              <w:rPr>
                <w:b/>
              </w:rPr>
            </w:pPr>
            <w:r>
              <w:rPr>
                <w:b/>
              </w:rPr>
              <w:t>Exclusion criteria for illness in household compound members</w:t>
            </w:r>
          </w:p>
        </w:tc>
        <w:tc>
          <w:tcPr>
            <w:tcW w:w="2610" w:type="dxa"/>
          </w:tcPr>
          <w:p w:rsidR="00A25C46" w:rsidRDefault="00A25C46" w:rsidP="00CF5547">
            <w:r>
              <w:rPr>
                <w:i/>
              </w:rPr>
              <w:t>--</w:t>
            </w:r>
          </w:p>
        </w:tc>
        <w:tc>
          <w:tcPr>
            <w:tcW w:w="2875" w:type="dxa"/>
          </w:tcPr>
          <w:p w:rsidR="00A25C46" w:rsidRDefault="00A25C46" w:rsidP="00CF5547">
            <w:r>
              <w:t>Compounds</w:t>
            </w:r>
            <w:r w:rsidRPr="00574E4A">
              <w:t xml:space="preserve"> excluded if any </w:t>
            </w:r>
            <w:r>
              <w:t>compound</w:t>
            </w:r>
            <w:r w:rsidRPr="00574E4A">
              <w:t xml:space="preserve"> member</w:t>
            </w:r>
            <w:r>
              <w:t>(s)</w:t>
            </w:r>
            <w:r w:rsidRPr="00574E4A">
              <w:t xml:space="preserve"> reported to have fever with</w:t>
            </w:r>
            <w:r>
              <w:t xml:space="preserve">in 3 days before index case-patient enrollment </w:t>
            </w:r>
          </w:p>
        </w:tc>
        <w:tc>
          <w:tcPr>
            <w:tcW w:w="2705" w:type="dxa"/>
          </w:tcPr>
          <w:p w:rsidR="00A25C46" w:rsidRDefault="00A25C46" w:rsidP="00CF5547">
            <w:r>
              <w:t>Compounds</w:t>
            </w:r>
            <w:r w:rsidRPr="00574E4A">
              <w:t xml:space="preserve"> included irrespective </w:t>
            </w:r>
            <w:r>
              <w:t>of illness in primary and secondary household members; (</w:t>
            </w:r>
            <w:r w:rsidRPr="00574E4A">
              <w:t>illness occurring within 7 days prior to enrollment</w:t>
            </w:r>
            <w:r>
              <w:t xml:space="preserve"> recorded)</w:t>
            </w:r>
          </w:p>
        </w:tc>
        <w:tc>
          <w:tcPr>
            <w:tcW w:w="2970" w:type="dxa"/>
          </w:tcPr>
          <w:p w:rsidR="00A25C46" w:rsidRDefault="00A25C46" w:rsidP="00CF5547">
            <w:r>
              <w:t>Compounds</w:t>
            </w:r>
            <w:r w:rsidRPr="00574E4A">
              <w:t xml:space="preserve"> excluded if any primary household member reported to have </w:t>
            </w:r>
            <w:r>
              <w:t>fever</w:t>
            </w:r>
            <w:r w:rsidRPr="00574E4A">
              <w:t xml:space="preserve"> </w:t>
            </w:r>
          </w:p>
          <w:p w:rsidR="00A25C46" w:rsidRDefault="00A25C46" w:rsidP="00CF5547">
            <w:r>
              <w:t>(fever</w:t>
            </w:r>
            <w:r w:rsidRPr="00574E4A">
              <w:t xml:space="preserve"> occurring within </w:t>
            </w:r>
            <w:r>
              <w:t>48 hours</w:t>
            </w:r>
            <w:r w:rsidRPr="00574E4A">
              <w:t xml:space="preserve"> prior to enrollment</w:t>
            </w:r>
            <w:r>
              <w:t xml:space="preserve"> recorded)</w:t>
            </w:r>
          </w:p>
        </w:tc>
      </w:tr>
      <w:tr w:rsidR="00A25C46" w:rsidTr="00CF5547">
        <w:trPr>
          <w:trHeight w:val="641"/>
        </w:trPr>
        <w:tc>
          <w:tcPr>
            <w:tcW w:w="3240" w:type="dxa"/>
          </w:tcPr>
          <w:p w:rsidR="00A25C46" w:rsidRPr="00574E4A" w:rsidRDefault="00A25C46" w:rsidP="00CF5547">
            <w:pPr>
              <w:rPr>
                <w:b/>
              </w:rPr>
            </w:pPr>
            <w:r>
              <w:rPr>
                <w:b/>
              </w:rPr>
              <w:t>Distance from health facility</w:t>
            </w:r>
          </w:p>
        </w:tc>
        <w:tc>
          <w:tcPr>
            <w:tcW w:w="2610" w:type="dxa"/>
          </w:tcPr>
          <w:p w:rsidR="00A25C46" w:rsidRDefault="00A25C46" w:rsidP="00CF5547">
            <w:r>
              <w:rPr>
                <w:i/>
              </w:rPr>
              <w:t>--</w:t>
            </w:r>
          </w:p>
        </w:tc>
        <w:tc>
          <w:tcPr>
            <w:tcW w:w="2875" w:type="dxa"/>
          </w:tcPr>
          <w:p w:rsidR="00A25C46" w:rsidRDefault="00A25C46" w:rsidP="00CF5547">
            <w:r>
              <w:t>Compounds</w:t>
            </w:r>
            <w:r w:rsidRPr="00574E4A">
              <w:t xml:space="preserve">  located within 30 minutes travel time one-way from health facility</w:t>
            </w:r>
          </w:p>
        </w:tc>
        <w:tc>
          <w:tcPr>
            <w:tcW w:w="2705" w:type="dxa"/>
          </w:tcPr>
          <w:p w:rsidR="00A25C46" w:rsidRDefault="00A25C46" w:rsidP="00CF5547">
            <w:r>
              <w:t>Compounds</w:t>
            </w:r>
            <w:r w:rsidRPr="00574E4A">
              <w:t xml:space="preserve"> located within 2 hours travel time one-way from health facility</w:t>
            </w:r>
          </w:p>
        </w:tc>
        <w:tc>
          <w:tcPr>
            <w:tcW w:w="2970" w:type="dxa"/>
          </w:tcPr>
          <w:p w:rsidR="00A25C46" w:rsidRDefault="00A25C46" w:rsidP="00CF5547">
            <w:r>
              <w:t>Compounds</w:t>
            </w:r>
            <w:r w:rsidRPr="00574E4A">
              <w:t xml:space="preserve"> located within 2 hours travel time one-way from health facility</w:t>
            </w:r>
          </w:p>
        </w:tc>
      </w:tr>
      <w:tr w:rsidR="00A25C46" w:rsidTr="00CF5547">
        <w:trPr>
          <w:trHeight w:val="557"/>
        </w:trPr>
        <w:tc>
          <w:tcPr>
            <w:tcW w:w="3240" w:type="dxa"/>
          </w:tcPr>
          <w:p w:rsidR="00A25C46" w:rsidRPr="00574E4A" w:rsidRDefault="00A25C46" w:rsidP="00CF5547">
            <w:pPr>
              <w:rPr>
                <w:b/>
              </w:rPr>
            </w:pPr>
            <w:r w:rsidRPr="00574E4A">
              <w:rPr>
                <w:b/>
              </w:rPr>
              <w:t>Inclusion in model 1 (intent to treat)</w:t>
            </w:r>
          </w:p>
        </w:tc>
        <w:tc>
          <w:tcPr>
            <w:tcW w:w="2610" w:type="dxa"/>
          </w:tcPr>
          <w:p w:rsidR="00A25C46" w:rsidRDefault="00A25C46" w:rsidP="00CF5547">
            <w:r>
              <w:t>All</w:t>
            </w:r>
          </w:p>
        </w:tc>
        <w:tc>
          <w:tcPr>
            <w:tcW w:w="2875" w:type="dxa"/>
          </w:tcPr>
          <w:p w:rsidR="00A25C46" w:rsidRDefault="00A25C46" w:rsidP="00CF5547">
            <w:r w:rsidRPr="00D94DF4">
              <w:t>All</w:t>
            </w:r>
          </w:p>
        </w:tc>
        <w:tc>
          <w:tcPr>
            <w:tcW w:w="2705" w:type="dxa"/>
          </w:tcPr>
          <w:p w:rsidR="00A25C46" w:rsidRDefault="00A25C46" w:rsidP="00CF5547">
            <w:r w:rsidRPr="00D94DF4">
              <w:t>All</w:t>
            </w:r>
          </w:p>
        </w:tc>
        <w:tc>
          <w:tcPr>
            <w:tcW w:w="2970" w:type="dxa"/>
          </w:tcPr>
          <w:p w:rsidR="00A25C46" w:rsidRDefault="00A25C46" w:rsidP="00CF5547">
            <w:r w:rsidRPr="00D94DF4">
              <w:t>All</w:t>
            </w:r>
          </w:p>
        </w:tc>
      </w:tr>
      <w:tr w:rsidR="00A25C46" w:rsidTr="00CF5547">
        <w:trPr>
          <w:trHeight w:val="853"/>
        </w:trPr>
        <w:tc>
          <w:tcPr>
            <w:tcW w:w="3240" w:type="dxa"/>
          </w:tcPr>
          <w:p w:rsidR="00A25C46" w:rsidRPr="00574E4A" w:rsidRDefault="00A25C46" w:rsidP="00CF5547">
            <w:pPr>
              <w:rPr>
                <w:b/>
              </w:rPr>
            </w:pPr>
            <w:r>
              <w:rPr>
                <w:b/>
              </w:rPr>
              <w:t>Inclusion in model 2</w:t>
            </w:r>
            <w:r w:rsidRPr="00574E4A">
              <w:rPr>
                <w:b/>
              </w:rPr>
              <w:t xml:space="preserve"> </w:t>
            </w:r>
            <w:r>
              <w:rPr>
                <w:b/>
              </w:rPr>
              <w:t>(restricted to those meeting 2010 criteria)</w:t>
            </w:r>
          </w:p>
        </w:tc>
        <w:tc>
          <w:tcPr>
            <w:tcW w:w="2610" w:type="dxa"/>
          </w:tcPr>
          <w:p w:rsidR="00A25C46" w:rsidRPr="00574E4A" w:rsidRDefault="00A25C46" w:rsidP="00CF5547">
            <w:r w:rsidRPr="00574E4A">
              <w:t>Only those compounds meeting 2010 criteria for illness in household compound members</w:t>
            </w:r>
          </w:p>
        </w:tc>
        <w:tc>
          <w:tcPr>
            <w:tcW w:w="2875" w:type="dxa"/>
          </w:tcPr>
          <w:p w:rsidR="00A25C46" w:rsidRDefault="00A25C46" w:rsidP="00CF5547">
            <w:r w:rsidRPr="00574E4A">
              <w:t xml:space="preserve">Only those compounds meeting 2010 criteria for </w:t>
            </w:r>
            <w:r>
              <w:t xml:space="preserve">fever occurring within 48 hours of enrollment (In 2009, we did not collect information about illness in individual compound members, since the exclusion criteria were evaluated at the </w:t>
            </w:r>
            <w:r>
              <w:lastRenderedPageBreak/>
              <w:t>time of index case-patient recruitment)</w:t>
            </w:r>
          </w:p>
        </w:tc>
        <w:tc>
          <w:tcPr>
            <w:tcW w:w="2705" w:type="dxa"/>
          </w:tcPr>
          <w:p w:rsidR="00A25C46" w:rsidRDefault="00A25C46" w:rsidP="00CF5547">
            <w:r w:rsidRPr="00574E4A">
              <w:lastRenderedPageBreak/>
              <w:t>Only those compounds meeting 2010 criteria for illness in household compound members</w:t>
            </w:r>
            <w:r>
              <w:t xml:space="preserve"> and fever occurring within 48 hours of enrollment</w:t>
            </w:r>
          </w:p>
        </w:tc>
        <w:tc>
          <w:tcPr>
            <w:tcW w:w="2970" w:type="dxa"/>
          </w:tcPr>
          <w:p w:rsidR="00A25C46" w:rsidRDefault="00A25C46" w:rsidP="00CF5547">
            <w:r>
              <w:t>All</w:t>
            </w:r>
          </w:p>
        </w:tc>
      </w:tr>
    </w:tbl>
    <w:p w:rsidR="00A25C46" w:rsidRDefault="00A25C46" w:rsidP="00A25C46">
      <w:r>
        <w:lastRenderedPageBreak/>
        <w:t xml:space="preserve">*Age-specific case definition for influenza-like illness:  1) fever for children &lt; 5 years old; 2) fever with cough </w:t>
      </w:r>
      <w:r>
        <w:rPr>
          <w:i/>
        </w:rPr>
        <w:t>or</w:t>
      </w:r>
      <w:r>
        <w:t xml:space="preserve"> sore throat for persons </w:t>
      </w:r>
      <w:r>
        <w:rPr>
          <w:u w:val="single"/>
        </w:rPr>
        <w:t>&gt;</w:t>
      </w:r>
      <w:r>
        <w:t xml:space="preserve"> 5 years old </w:t>
      </w:r>
    </w:p>
    <w:p w:rsidR="00A25C46" w:rsidRDefault="00A25C46" w:rsidP="00A25C46">
      <w:pPr>
        <w:rPr>
          <w:rFonts w:asciiTheme="majorHAnsi" w:eastAsiaTheme="majorEastAsia" w:hAnsiTheme="majorHAnsi" w:cstheme="majorBidi"/>
          <w:b/>
          <w:bCs/>
          <w:color w:val="365F91" w:themeColor="accent1" w:themeShade="BF"/>
          <w:sz w:val="28"/>
          <w:szCs w:val="28"/>
        </w:rPr>
      </w:pPr>
      <w:r>
        <w:br w:type="page"/>
      </w:r>
    </w:p>
    <w:p w:rsidR="00A25C46" w:rsidRDefault="00A25C46" w:rsidP="00A25C46">
      <w:pPr>
        <w:pStyle w:val="Heading1"/>
      </w:pPr>
      <w:bookmarkStart w:id="2" w:name="_Toc365268077"/>
      <w:r>
        <w:lastRenderedPageBreak/>
        <w:t>Table S2. Randomization of household compounds, and exclusion of compounds and household members</w:t>
      </w:r>
      <w:bookmarkEnd w:id="2"/>
    </w:p>
    <w:tbl>
      <w:tblPr>
        <w:tblStyle w:val="TableGrid"/>
        <w:tblW w:w="15355" w:type="dxa"/>
        <w:tblInd w:w="-252" w:type="dxa"/>
        <w:tblLook w:val="04A0" w:firstRow="1" w:lastRow="0" w:firstColumn="1" w:lastColumn="0" w:noHBand="0" w:noVBand="1"/>
      </w:tblPr>
      <w:tblGrid>
        <w:gridCol w:w="4633"/>
        <w:gridCol w:w="1328"/>
        <w:gridCol w:w="1436"/>
        <w:gridCol w:w="1527"/>
        <w:gridCol w:w="1286"/>
        <w:gridCol w:w="1328"/>
        <w:gridCol w:w="1338"/>
        <w:gridCol w:w="1350"/>
        <w:gridCol w:w="1129"/>
      </w:tblGrid>
      <w:tr w:rsidR="00A25C46" w:rsidTr="00CF5547">
        <w:trPr>
          <w:trHeight w:val="247"/>
        </w:trPr>
        <w:tc>
          <w:tcPr>
            <w:tcW w:w="4680" w:type="dxa"/>
          </w:tcPr>
          <w:p w:rsidR="00A25C46" w:rsidRDefault="00A25C46" w:rsidP="00CF5547"/>
        </w:tc>
        <w:tc>
          <w:tcPr>
            <w:tcW w:w="2700" w:type="dxa"/>
            <w:gridSpan w:val="2"/>
            <w:tcBorders>
              <w:right w:val="single" w:sz="12" w:space="0" w:color="auto"/>
            </w:tcBorders>
          </w:tcPr>
          <w:p w:rsidR="00A25C46" w:rsidRPr="006A66EF" w:rsidRDefault="00A25C46" w:rsidP="00CF5547">
            <w:pPr>
              <w:jc w:val="center"/>
              <w:rPr>
                <w:b/>
              </w:rPr>
            </w:pPr>
            <w:r w:rsidRPr="006A66EF">
              <w:rPr>
                <w:b/>
              </w:rPr>
              <w:t>Total</w:t>
            </w:r>
          </w:p>
        </w:tc>
        <w:tc>
          <w:tcPr>
            <w:tcW w:w="2821" w:type="dxa"/>
            <w:gridSpan w:val="2"/>
            <w:tcBorders>
              <w:left w:val="single" w:sz="12" w:space="0" w:color="auto"/>
              <w:right w:val="single" w:sz="12" w:space="0" w:color="auto"/>
            </w:tcBorders>
          </w:tcPr>
          <w:p w:rsidR="00A25C46" w:rsidRPr="006A66EF" w:rsidRDefault="00A25C46" w:rsidP="00CF5547">
            <w:pPr>
              <w:jc w:val="center"/>
              <w:rPr>
                <w:b/>
              </w:rPr>
            </w:pPr>
            <w:r w:rsidRPr="006A66EF">
              <w:rPr>
                <w:b/>
              </w:rPr>
              <w:t>Phase 1</w:t>
            </w:r>
          </w:p>
        </w:tc>
        <w:tc>
          <w:tcPr>
            <w:tcW w:w="2672" w:type="dxa"/>
            <w:gridSpan w:val="2"/>
            <w:tcBorders>
              <w:left w:val="single" w:sz="12" w:space="0" w:color="auto"/>
              <w:right w:val="single" w:sz="12" w:space="0" w:color="auto"/>
            </w:tcBorders>
          </w:tcPr>
          <w:p w:rsidR="00A25C46" w:rsidRPr="006A66EF" w:rsidRDefault="00A25C46" w:rsidP="00CF5547">
            <w:pPr>
              <w:jc w:val="center"/>
              <w:rPr>
                <w:b/>
              </w:rPr>
            </w:pPr>
            <w:r w:rsidRPr="006A66EF">
              <w:rPr>
                <w:b/>
              </w:rPr>
              <w:t>Phase 2</w:t>
            </w:r>
          </w:p>
        </w:tc>
        <w:tc>
          <w:tcPr>
            <w:tcW w:w="2482" w:type="dxa"/>
            <w:gridSpan w:val="2"/>
            <w:tcBorders>
              <w:left w:val="single" w:sz="12" w:space="0" w:color="auto"/>
            </w:tcBorders>
          </w:tcPr>
          <w:p w:rsidR="00A25C46" w:rsidRPr="006A66EF" w:rsidRDefault="00A25C46" w:rsidP="00CF5547">
            <w:pPr>
              <w:jc w:val="center"/>
              <w:rPr>
                <w:b/>
              </w:rPr>
            </w:pPr>
            <w:r w:rsidRPr="006A66EF">
              <w:rPr>
                <w:b/>
              </w:rPr>
              <w:t>Phase 3</w:t>
            </w:r>
          </w:p>
        </w:tc>
      </w:tr>
      <w:tr w:rsidR="00A25C46" w:rsidTr="00CF5547">
        <w:trPr>
          <w:trHeight w:val="247"/>
        </w:trPr>
        <w:tc>
          <w:tcPr>
            <w:tcW w:w="4680" w:type="dxa"/>
          </w:tcPr>
          <w:p w:rsidR="00A25C46" w:rsidRDefault="00A25C46" w:rsidP="00CF5547">
            <w:pPr>
              <w:rPr>
                <w:b/>
              </w:rPr>
            </w:pPr>
          </w:p>
        </w:tc>
        <w:tc>
          <w:tcPr>
            <w:tcW w:w="1260" w:type="dxa"/>
          </w:tcPr>
          <w:p w:rsidR="00A25C46" w:rsidRDefault="00A25C46" w:rsidP="00CF5547">
            <w:pPr>
              <w:jc w:val="center"/>
            </w:pPr>
            <w:r>
              <w:t>Intervention</w:t>
            </w:r>
          </w:p>
        </w:tc>
        <w:tc>
          <w:tcPr>
            <w:tcW w:w="1440" w:type="dxa"/>
            <w:tcBorders>
              <w:right w:val="single" w:sz="12" w:space="0" w:color="auto"/>
            </w:tcBorders>
          </w:tcPr>
          <w:p w:rsidR="00A25C46" w:rsidRDefault="00A25C46" w:rsidP="00CF5547">
            <w:pPr>
              <w:jc w:val="center"/>
            </w:pPr>
            <w:r>
              <w:t>Control</w:t>
            </w:r>
          </w:p>
        </w:tc>
        <w:tc>
          <w:tcPr>
            <w:tcW w:w="1530" w:type="dxa"/>
            <w:tcBorders>
              <w:left w:val="single" w:sz="12" w:space="0" w:color="auto"/>
            </w:tcBorders>
          </w:tcPr>
          <w:p w:rsidR="00A25C46" w:rsidRDefault="00A25C46" w:rsidP="00CF5547">
            <w:pPr>
              <w:jc w:val="center"/>
            </w:pPr>
            <w:r>
              <w:t>Intervention</w:t>
            </w:r>
          </w:p>
        </w:tc>
        <w:tc>
          <w:tcPr>
            <w:tcW w:w="1291" w:type="dxa"/>
            <w:tcBorders>
              <w:right w:val="single" w:sz="12" w:space="0" w:color="auto"/>
            </w:tcBorders>
          </w:tcPr>
          <w:p w:rsidR="00A25C46" w:rsidRDefault="00A25C46" w:rsidP="00CF5547">
            <w:pPr>
              <w:jc w:val="center"/>
            </w:pPr>
            <w:r>
              <w:t>Control</w:t>
            </w:r>
          </w:p>
        </w:tc>
        <w:tc>
          <w:tcPr>
            <w:tcW w:w="1328" w:type="dxa"/>
            <w:tcBorders>
              <w:left w:val="single" w:sz="12" w:space="0" w:color="auto"/>
            </w:tcBorders>
          </w:tcPr>
          <w:p w:rsidR="00A25C46" w:rsidRDefault="00A25C46" w:rsidP="00CF5547">
            <w:pPr>
              <w:jc w:val="center"/>
            </w:pPr>
            <w:r>
              <w:t>Intervention</w:t>
            </w:r>
          </w:p>
        </w:tc>
        <w:tc>
          <w:tcPr>
            <w:tcW w:w="1344" w:type="dxa"/>
            <w:tcBorders>
              <w:right w:val="single" w:sz="12" w:space="0" w:color="auto"/>
            </w:tcBorders>
          </w:tcPr>
          <w:p w:rsidR="00A25C46" w:rsidRDefault="00A25C46" w:rsidP="00CF5547">
            <w:pPr>
              <w:jc w:val="center"/>
            </w:pPr>
            <w:r>
              <w:t>Control</w:t>
            </w:r>
          </w:p>
        </w:tc>
        <w:tc>
          <w:tcPr>
            <w:tcW w:w="1350" w:type="dxa"/>
            <w:tcBorders>
              <w:left w:val="single" w:sz="12" w:space="0" w:color="auto"/>
            </w:tcBorders>
          </w:tcPr>
          <w:p w:rsidR="00A25C46" w:rsidRDefault="00A25C46" w:rsidP="00CF5547">
            <w:pPr>
              <w:jc w:val="center"/>
            </w:pPr>
            <w:r>
              <w:t>Intervention</w:t>
            </w:r>
          </w:p>
        </w:tc>
        <w:tc>
          <w:tcPr>
            <w:tcW w:w="1132" w:type="dxa"/>
          </w:tcPr>
          <w:p w:rsidR="00A25C46" w:rsidRDefault="00A25C46" w:rsidP="00CF5547">
            <w:pPr>
              <w:jc w:val="center"/>
            </w:pPr>
            <w:r>
              <w:t>Control</w:t>
            </w:r>
          </w:p>
        </w:tc>
      </w:tr>
      <w:tr w:rsidR="00A25C46" w:rsidTr="00CF5547">
        <w:trPr>
          <w:trHeight w:val="526"/>
        </w:trPr>
        <w:tc>
          <w:tcPr>
            <w:tcW w:w="4680" w:type="dxa"/>
          </w:tcPr>
          <w:p w:rsidR="00A25C46" w:rsidRDefault="00A25C46" w:rsidP="00CF5547">
            <w:pPr>
              <w:rPr>
                <w:b/>
              </w:rPr>
            </w:pPr>
            <w:r>
              <w:rPr>
                <w:b/>
              </w:rPr>
              <w:t>Number of household compounds randomized</w:t>
            </w:r>
          </w:p>
        </w:tc>
        <w:tc>
          <w:tcPr>
            <w:tcW w:w="1260" w:type="dxa"/>
          </w:tcPr>
          <w:p w:rsidR="00A25C46" w:rsidDel="00ED5E2B" w:rsidRDefault="00A25C46" w:rsidP="00CF5547">
            <w:pPr>
              <w:jc w:val="center"/>
            </w:pPr>
            <w:r>
              <w:t>195</w:t>
            </w:r>
          </w:p>
        </w:tc>
        <w:tc>
          <w:tcPr>
            <w:tcW w:w="1440" w:type="dxa"/>
            <w:tcBorders>
              <w:right w:val="single" w:sz="12" w:space="0" w:color="auto"/>
            </w:tcBorders>
          </w:tcPr>
          <w:p w:rsidR="00A25C46" w:rsidRDefault="00A25C46" w:rsidP="00CF5547">
            <w:pPr>
              <w:jc w:val="center"/>
            </w:pPr>
            <w:r>
              <w:t>186</w:t>
            </w:r>
          </w:p>
        </w:tc>
        <w:tc>
          <w:tcPr>
            <w:tcW w:w="1530" w:type="dxa"/>
            <w:tcBorders>
              <w:left w:val="single" w:sz="12" w:space="0" w:color="auto"/>
            </w:tcBorders>
          </w:tcPr>
          <w:p w:rsidR="00A25C46" w:rsidRDefault="00A25C46" w:rsidP="00CF5547">
            <w:pPr>
              <w:jc w:val="center"/>
            </w:pPr>
            <w:r>
              <w:t>22</w:t>
            </w:r>
          </w:p>
        </w:tc>
        <w:tc>
          <w:tcPr>
            <w:tcW w:w="1291" w:type="dxa"/>
            <w:tcBorders>
              <w:right w:val="single" w:sz="12" w:space="0" w:color="auto"/>
            </w:tcBorders>
          </w:tcPr>
          <w:p w:rsidR="00A25C46" w:rsidRDefault="00A25C46" w:rsidP="00CF5547">
            <w:pPr>
              <w:jc w:val="center"/>
            </w:pPr>
            <w:r>
              <w:t>18</w:t>
            </w:r>
          </w:p>
        </w:tc>
        <w:tc>
          <w:tcPr>
            <w:tcW w:w="1328" w:type="dxa"/>
            <w:tcBorders>
              <w:left w:val="single" w:sz="12" w:space="0" w:color="auto"/>
            </w:tcBorders>
          </w:tcPr>
          <w:p w:rsidR="00A25C46" w:rsidRDefault="00A25C46" w:rsidP="00CF5547">
            <w:pPr>
              <w:jc w:val="center"/>
            </w:pPr>
            <w:r>
              <w:t>69</w:t>
            </w:r>
          </w:p>
        </w:tc>
        <w:tc>
          <w:tcPr>
            <w:tcW w:w="1344" w:type="dxa"/>
            <w:tcBorders>
              <w:right w:val="single" w:sz="12" w:space="0" w:color="auto"/>
            </w:tcBorders>
          </w:tcPr>
          <w:p w:rsidR="00A25C46" w:rsidRDefault="00A25C46" w:rsidP="00CF5547">
            <w:pPr>
              <w:jc w:val="center"/>
            </w:pPr>
            <w:r>
              <w:t>65</w:t>
            </w:r>
          </w:p>
        </w:tc>
        <w:tc>
          <w:tcPr>
            <w:tcW w:w="1350" w:type="dxa"/>
            <w:tcBorders>
              <w:left w:val="single" w:sz="12" w:space="0" w:color="auto"/>
            </w:tcBorders>
          </w:tcPr>
          <w:p w:rsidR="00A25C46" w:rsidRDefault="00A25C46" w:rsidP="00CF5547">
            <w:pPr>
              <w:jc w:val="center"/>
            </w:pPr>
            <w:r>
              <w:t>104</w:t>
            </w:r>
          </w:p>
        </w:tc>
        <w:tc>
          <w:tcPr>
            <w:tcW w:w="1132" w:type="dxa"/>
          </w:tcPr>
          <w:p w:rsidR="00A25C46" w:rsidRDefault="00A25C46" w:rsidP="00CF5547">
            <w:pPr>
              <w:jc w:val="center"/>
            </w:pPr>
            <w:r>
              <w:t>103</w:t>
            </w:r>
          </w:p>
        </w:tc>
      </w:tr>
      <w:tr w:rsidR="00A25C46" w:rsidTr="00CF5547">
        <w:trPr>
          <w:trHeight w:val="791"/>
        </w:trPr>
        <w:tc>
          <w:tcPr>
            <w:tcW w:w="4680" w:type="dxa"/>
          </w:tcPr>
          <w:p w:rsidR="00A25C46" w:rsidRDefault="00A25C46" w:rsidP="00CF5547">
            <w:r>
              <w:rPr>
                <w:b/>
              </w:rPr>
              <w:t>Number of household compounds remaining after withdrawals / exclusions after randomization* (explanation in footnote)</w:t>
            </w:r>
          </w:p>
        </w:tc>
        <w:tc>
          <w:tcPr>
            <w:tcW w:w="1260" w:type="dxa"/>
          </w:tcPr>
          <w:p w:rsidR="00A25C46" w:rsidRDefault="00A25C46" w:rsidP="00CF5547">
            <w:pPr>
              <w:jc w:val="center"/>
            </w:pPr>
            <w:r>
              <w:t>193 / 195</w:t>
            </w:r>
          </w:p>
          <w:p w:rsidR="00A25C46" w:rsidRDefault="00A25C46" w:rsidP="00CF5547">
            <w:pPr>
              <w:jc w:val="center"/>
            </w:pPr>
            <w:r>
              <w:t>(99%)</w:t>
            </w:r>
          </w:p>
        </w:tc>
        <w:tc>
          <w:tcPr>
            <w:tcW w:w="1440" w:type="dxa"/>
            <w:tcBorders>
              <w:right w:val="single" w:sz="12" w:space="0" w:color="auto"/>
            </w:tcBorders>
          </w:tcPr>
          <w:p w:rsidR="00A25C46" w:rsidRDefault="00A25C46" w:rsidP="00CF5547">
            <w:pPr>
              <w:jc w:val="center"/>
            </w:pPr>
            <w:r>
              <w:t>184/186</w:t>
            </w:r>
          </w:p>
          <w:p w:rsidR="00A25C46" w:rsidRDefault="00A25C46" w:rsidP="00CF5547">
            <w:pPr>
              <w:jc w:val="center"/>
            </w:pPr>
            <w:r>
              <w:t>(99%)</w:t>
            </w:r>
          </w:p>
        </w:tc>
        <w:tc>
          <w:tcPr>
            <w:tcW w:w="1530" w:type="dxa"/>
            <w:tcBorders>
              <w:left w:val="single" w:sz="12" w:space="0" w:color="auto"/>
            </w:tcBorders>
          </w:tcPr>
          <w:p w:rsidR="00A25C46" w:rsidRDefault="00A25C46" w:rsidP="00CF5547">
            <w:pPr>
              <w:jc w:val="center"/>
            </w:pPr>
            <w:r>
              <w:t>22/22</w:t>
            </w:r>
          </w:p>
          <w:p w:rsidR="00A25C46" w:rsidRDefault="00A25C46" w:rsidP="00CF5547">
            <w:pPr>
              <w:jc w:val="center"/>
            </w:pPr>
            <w:r>
              <w:t>(100%)</w:t>
            </w:r>
          </w:p>
        </w:tc>
        <w:tc>
          <w:tcPr>
            <w:tcW w:w="1291" w:type="dxa"/>
            <w:tcBorders>
              <w:right w:val="single" w:sz="12" w:space="0" w:color="auto"/>
            </w:tcBorders>
          </w:tcPr>
          <w:p w:rsidR="00A25C46" w:rsidRDefault="00A25C46" w:rsidP="00CF5547">
            <w:pPr>
              <w:jc w:val="center"/>
            </w:pPr>
            <w:r>
              <w:t>18/18</w:t>
            </w:r>
          </w:p>
          <w:p w:rsidR="00A25C46" w:rsidRDefault="00A25C46" w:rsidP="00CF5547">
            <w:pPr>
              <w:jc w:val="center"/>
            </w:pPr>
            <w:r>
              <w:t>(100%)</w:t>
            </w:r>
          </w:p>
        </w:tc>
        <w:tc>
          <w:tcPr>
            <w:tcW w:w="1328" w:type="dxa"/>
            <w:tcBorders>
              <w:left w:val="single" w:sz="12" w:space="0" w:color="auto"/>
            </w:tcBorders>
          </w:tcPr>
          <w:p w:rsidR="00A25C46" w:rsidRDefault="00A25C46" w:rsidP="00CF5547">
            <w:pPr>
              <w:jc w:val="center"/>
            </w:pPr>
            <w:r>
              <w:t>69/69</w:t>
            </w:r>
          </w:p>
          <w:p w:rsidR="00A25C46" w:rsidRDefault="00A25C46" w:rsidP="00CF5547">
            <w:pPr>
              <w:jc w:val="center"/>
            </w:pPr>
            <w:r>
              <w:t>(100%)</w:t>
            </w:r>
          </w:p>
        </w:tc>
        <w:tc>
          <w:tcPr>
            <w:tcW w:w="1344" w:type="dxa"/>
            <w:tcBorders>
              <w:right w:val="single" w:sz="12" w:space="0" w:color="auto"/>
            </w:tcBorders>
          </w:tcPr>
          <w:p w:rsidR="00A25C46" w:rsidRDefault="00A25C46" w:rsidP="00CF5547">
            <w:pPr>
              <w:jc w:val="center"/>
            </w:pPr>
            <w:r>
              <w:t>63/65</w:t>
            </w:r>
          </w:p>
          <w:p w:rsidR="00A25C46" w:rsidRDefault="00A25C46" w:rsidP="00CF5547">
            <w:pPr>
              <w:jc w:val="center"/>
            </w:pPr>
            <w:r>
              <w:t>(97%)</w:t>
            </w:r>
          </w:p>
        </w:tc>
        <w:tc>
          <w:tcPr>
            <w:tcW w:w="1350" w:type="dxa"/>
            <w:tcBorders>
              <w:left w:val="single" w:sz="12" w:space="0" w:color="auto"/>
            </w:tcBorders>
          </w:tcPr>
          <w:p w:rsidR="00A25C46" w:rsidRDefault="00A25C46" w:rsidP="00CF5547">
            <w:pPr>
              <w:jc w:val="center"/>
            </w:pPr>
            <w:r>
              <w:t>102/104</w:t>
            </w:r>
            <w:r>
              <w:br/>
              <w:t>(98%)</w:t>
            </w:r>
          </w:p>
        </w:tc>
        <w:tc>
          <w:tcPr>
            <w:tcW w:w="1132" w:type="dxa"/>
          </w:tcPr>
          <w:p w:rsidR="00A25C46" w:rsidRDefault="00A25C46" w:rsidP="00CF5547">
            <w:pPr>
              <w:jc w:val="center"/>
            </w:pPr>
            <w:r>
              <w:t>103/103</w:t>
            </w:r>
          </w:p>
          <w:p w:rsidR="00A25C46" w:rsidRDefault="00A25C46" w:rsidP="00CF5547">
            <w:pPr>
              <w:jc w:val="center"/>
            </w:pPr>
            <w:r>
              <w:t>(100%)</w:t>
            </w:r>
          </w:p>
        </w:tc>
      </w:tr>
      <w:tr w:rsidR="00A25C46" w:rsidTr="00CF5547">
        <w:trPr>
          <w:trHeight w:val="1061"/>
        </w:trPr>
        <w:tc>
          <w:tcPr>
            <w:tcW w:w="4680" w:type="dxa"/>
          </w:tcPr>
          <w:p w:rsidR="00A25C46" w:rsidRDefault="00A25C46" w:rsidP="00CF5547">
            <w:pPr>
              <w:rPr>
                <w:b/>
              </w:rPr>
            </w:pPr>
            <w:r>
              <w:rPr>
                <w:b/>
              </w:rPr>
              <w:t>Number of household compound members enumerated in compounds after removal of withdrawn / excluded compounds (not including index case-patient)</w:t>
            </w:r>
          </w:p>
        </w:tc>
        <w:tc>
          <w:tcPr>
            <w:tcW w:w="1260" w:type="dxa"/>
          </w:tcPr>
          <w:p w:rsidR="00A25C46" w:rsidDel="00ED5E2B" w:rsidRDefault="00A25C46" w:rsidP="00CF5547">
            <w:pPr>
              <w:jc w:val="center"/>
            </w:pPr>
            <w:r>
              <w:t>1814</w:t>
            </w:r>
          </w:p>
        </w:tc>
        <w:tc>
          <w:tcPr>
            <w:tcW w:w="1440" w:type="dxa"/>
            <w:tcBorders>
              <w:right w:val="single" w:sz="12" w:space="0" w:color="auto"/>
            </w:tcBorders>
          </w:tcPr>
          <w:p w:rsidR="00A25C46" w:rsidRDefault="00A25C46" w:rsidP="00CF5547">
            <w:pPr>
              <w:jc w:val="center"/>
            </w:pPr>
            <w:r>
              <w:t>1607</w:t>
            </w:r>
          </w:p>
        </w:tc>
        <w:tc>
          <w:tcPr>
            <w:tcW w:w="1530" w:type="dxa"/>
            <w:tcBorders>
              <w:left w:val="single" w:sz="12" w:space="0" w:color="auto"/>
            </w:tcBorders>
          </w:tcPr>
          <w:p w:rsidR="00A25C46" w:rsidRDefault="00A25C46" w:rsidP="00CF5547">
            <w:pPr>
              <w:jc w:val="center"/>
            </w:pPr>
            <w:r>
              <w:t>184</w:t>
            </w:r>
          </w:p>
        </w:tc>
        <w:tc>
          <w:tcPr>
            <w:tcW w:w="1291" w:type="dxa"/>
            <w:tcBorders>
              <w:right w:val="single" w:sz="12" w:space="0" w:color="auto"/>
            </w:tcBorders>
          </w:tcPr>
          <w:p w:rsidR="00A25C46" w:rsidRDefault="00A25C46" w:rsidP="00CF5547">
            <w:pPr>
              <w:jc w:val="center"/>
            </w:pPr>
            <w:r>
              <w:t>178</w:t>
            </w:r>
          </w:p>
        </w:tc>
        <w:tc>
          <w:tcPr>
            <w:tcW w:w="1328" w:type="dxa"/>
            <w:tcBorders>
              <w:left w:val="single" w:sz="12" w:space="0" w:color="auto"/>
            </w:tcBorders>
          </w:tcPr>
          <w:p w:rsidR="00A25C46" w:rsidRDefault="00A25C46" w:rsidP="00CF5547">
            <w:pPr>
              <w:jc w:val="center"/>
            </w:pPr>
            <w:r>
              <w:t>617</w:t>
            </w:r>
          </w:p>
        </w:tc>
        <w:tc>
          <w:tcPr>
            <w:tcW w:w="1344" w:type="dxa"/>
            <w:tcBorders>
              <w:right w:val="single" w:sz="12" w:space="0" w:color="auto"/>
            </w:tcBorders>
          </w:tcPr>
          <w:p w:rsidR="00A25C46" w:rsidRDefault="00A25C46" w:rsidP="00CF5547">
            <w:pPr>
              <w:jc w:val="center"/>
            </w:pPr>
            <w:r>
              <w:t>479</w:t>
            </w:r>
          </w:p>
        </w:tc>
        <w:tc>
          <w:tcPr>
            <w:tcW w:w="1350" w:type="dxa"/>
            <w:tcBorders>
              <w:left w:val="single" w:sz="12" w:space="0" w:color="auto"/>
            </w:tcBorders>
          </w:tcPr>
          <w:p w:rsidR="00A25C46" w:rsidRDefault="00A25C46" w:rsidP="00CF5547">
            <w:pPr>
              <w:jc w:val="center"/>
            </w:pPr>
            <w:r>
              <w:t>1013</w:t>
            </w:r>
          </w:p>
        </w:tc>
        <w:tc>
          <w:tcPr>
            <w:tcW w:w="1132" w:type="dxa"/>
          </w:tcPr>
          <w:p w:rsidR="00A25C46" w:rsidRDefault="00A25C46" w:rsidP="00CF5547">
            <w:pPr>
              <w:jc w:val="center"/>
            </w:pPr>
            <w:r>
              <w:t>950</w:t>
            </w:r>
          </w:p>
        </w:tc>
      </w:tr>
      <w:tr w:rsidR="00A25C46" w:rsidTr="00CF5547">
        <w:trPr>
          <w:trHeight w:val="510"/>
        </w:trPr>
        <w:tc>
          <w:tcPr>
            <w:tcW w:w="4680" w:type="dxa"/>
          </w:tcPr>
          <w:p w:rsidR="00A25C46" w:rsidDel="00B21B63" w:rsidRDefault="00A25C46" w:rsidP="00CF5547">
            <w:pPr>
              <w:rPr>
                <w:b/>
              </w:rPr>
            </w:pPr>
            <w:r>
              <w:rPr>
                <w:b/>
              </w:rPr>
              <w:t>Number of compound members with fever at enrollment</w:t>
            </w:r>
          </w:p>
        </w:tc>
        <w:tc>
          <w:tcPr>
            <w:tcW w:w="1260" w:type="dxa"/>
          </w:tcPr>
          <w:p w:rsidR="00A25C46" w:rsidRDefault="00A25C46" w:rsidP="00CF5547">
            <w:pPr>
              <w:jc w:val="center"/>
            </w:pPr>
            <w:r>
              <w:t>78 / 1814</w:t>
            </w:r>
          </w:p>
          <w:p w:rsidR="00A25C46" w:rsidDel="00ED5E2B" w:rsidRDefault="00A25C46" w:rsidP="00CF5547">
            <w:pPr>
              <w:jc w:val="center"/>
            </w:pPr>
            <w:r>
              <w:t>(4%)</w:t>
            </w:r>
          </w:p>
        </w:tc>
        <w:tc>
          <w:tcPr>
            <w:tcW w:w="1440" w:type="dxa"/>
            <w:tcBorders>
              <w:right w:val="single" w:sz="12" w:space="0" w:color="auto"/>
            </w:tcBorders>
          </w:tcPr>
          <w:p w:rsidR="00A25C46" w:rsidRDefault="00A25C46" w:rsidP="00CF5547">
            <w:pPr>
              <w:jc w:val="center"/>
            </w:pPr>
            <w:r>
              <w:t>53/1607</w:t>
            </w:r>
          </w:p>
          <w:p w:rsidR="00A25C46" w:rsidRDefault="00A25C46" w:rsidP="00CF5547">
            <w:pPr>
              <w:jc w:val="center"/>
            </w:pPr>
            <w:r>
              <w:t>(3%)</w:t>
            </w:r>
          </w:p>
        </w:tc>
        <w:tc>
          <w:tcPr>
            <w:tcW w:w="1530" w:type="dxa"/>
            <w:tcBorders>
              <w:left w:val="single" w:sz="12" w:space="0" w:color="auto"/>
            </w:tcBorders>
          </w:tcPr>
          <w:p w:rsidR="00A25C46" w:rsidRDefault="00A25C46" w:rsidP="00CF5547">
            <w:pPr>
              <w:jc w:val="center"/>
            </w:pPr>
            <w:r>
              <w:t>0/184</w:t>
            </w:r>
          </w:p>
          <w:p w:rsidR="00A25C46" w:rsidRDefault="00A25C46" w:rsidP="00CF5547">
            <w:pPr>
              <w:jc w:val="center"/>
            </w:pPr>
            <w:r>
              <w:t>(0%)</w:t>
            </w:r>
          </w:p>
        </w:tc>
        <w:tc>
          <w:tcPr>
            <w:tcW w:w="1291" w:type="dxa"/>
            <w:tcBorders>
              <w:right w:val="single" w:sz="12" w:space="0" w:color="auto"/>
            </w:tcBorders>
            <w:shd w:val="clear" w:color="auto" w:fill="auto"/>
          </w:tcPr>
          <w:p w:rsidR="00A25C46" w:rsidRDefault="00A25C46" w:rsidP="00CF5547">
            <w:pPr>
              <w:jc w:val="center"/>
            </w:pPr>
            <w:r>
              <w:t>0/178</w:t>
            </w:r>
          </w:p>
          <w:p w:rsidR="00A25C46" w:rsidRDefault="00A25C46" w:rsidP="00CF5547">
            <w:pPr>
              <w:jc w:val="center"/>
            </w:pPr>
            <w:r>
              <w:t>(0%)</w:t>
            </w:r>
          </w:p>
        </w:tc>
        <w:tc>
          <w:tcPr>
            <w:tcW w:w="1328" w:type="dxa"/>
            <w:tcBorders>
              <w:left w:val="single" w:sz="12" w:space="0" w:color="auto"/>
            </w:tcBorders>
          </w:tcPr>
          <w:p w:rsidR="00A25C46" w:rsidRDefault="00A25C46" w:rsidP="00CF5547">
            <w:pPr>
              <w:jc w:val="center"/>
            </w:pPr>
            <w:r>
              <w:t>66/617</w:t>
            </w:r>
          </w:p>
          <w:p w:rsidR="00A25C46" w:rsidRDefault="00A25C46" w:rsidP="00CF5547">
            <w:pPr>
              <w:jc w:val="center"/>
            </w:pPr>
            <w:r>
              <w:t>(11%)</w:t>
            </w:r>
          </w:p>
        </w:tc>
        <w:tc>
          <w:tcPr>
            <w:tcW w:w="1344" w:type="dxa"/>
            <w:tcBorders>
              <w:right w:val="single" w:sz="12" w:space="0" w:color="auto"/>
            </w:tcBorders>
          </w:tcPr>
          <w:p w:rsidR="00A25C46" w:rsidRDefault="00A25C46" w:rsidP="00CF5547">
            <w:pPr>
              <w:jc w:val="center"/>
            </w:pPr>
            <w:r>
              <w:t>46/479</w:t>
            </w:r>
          </w:p>
          <w:p w:rsidR="00A25C46" w:rsidRDefault="00A25C46" w:rsidP="00CF5547">
            <w:pPr>
              <w:jc w:val="center"/>
            </w:pPr>
            <w:r>
              <w:t>(10%)</w:t>
            </w:r>
          </w:p>
        </w:tc>
        <w:tc>
          <w:tcPr>
            <w:tcW w:w="1350" w:type="dxa"/>
            <w:tcBorders>
              <w:left w:val="single" w:sz="12" w:space="0" w:color="auto"/>
            </w:tcBorders>
          </w:tcPr>
          <w:p w:rsidR="00A25C46" w:rsidRDefault="00A25C46" w:rsidP="00CF5547">
            <w:pPr>
              <w:jc w:val="center"/>
            </w:pPr>
            <w:r>
              <w:t>12/1013</w:t>
            </w:r>
          </w:p>
          <w:p w:rsidR="00A25C46" w:rsidRDefault="00A25C46" w:rsidP="00CF5547">
            <w:pPr>
              <w:jc w:val="center"/>
            </w:pPr>
            <w:r>
              <w:t>(1%)</w:t>
            </w:r>
          </w:p>
        </w:tc>
        <w:tc>
          <w:tcPr>
            <w:tcW w:w="1132" w:type="dxa"/>
          </w:tcPr>
          <w:p w:rsidR="00A25C46" w:rsidRDefault="00A25C46" w:rsidP="00CF5547">
            <w:pPr>
              <w:jc w:val="center"/>
            </w:pPr>
            <w:r>
              <w:t>7/950</w:t>
            </w:r>
          </w:p>
          <w:p w:rsidR="00A25C46" w:rsidRDefault="00A25C46" w:rsidP="00CF5547">
            <w:pPr>
              <w:jc w:val="center"/>
            </w:pPr>
            <w:r>
              <w:t>(1%)</w:t>
            </w:r>
          </w:p>
        </w:tc>
      </w:tr>
      <w:tr w:rsidR="00A25C46" w:rsidTr="00CF5547">
        <w:trPr>
          <w:trHeight w:val="323"/>
        </w:trPr>
        <w:tc>
          <w:tcPr>
            <w:tcW w:w="4680" w:type="dxa"/>
          </w:tcPr>
          <w:p w:rsidR="00A25C46" w:rsidDel="00B21B63" w:rsidRDefault="00A25C46" w:rsidP="00CF5547">
            <w:pPr>
              <w:rPr>
                <w:b/>
              </w:rPr>
            </w:pPr>
            <w:r>
              <w:rPr>
                <w:b/>
              </w:rPr>
              <w:t>Number of susceptible c</w:t>
            </w:r>
            <w:r w:rsidRPr="00B479F6">
              <w:rPr>
                <w:b/>
              </w:rPr>
              <w:t xml:space="preserve">ompound </w:t>
            </w:r>
            <w:r>
              <w:rPr>
                <w:b/>
              </w:rPr>
              <w:t>members</w:t>
            </w:r>
          </w:p>
        </w:tc>
        <w:tc>
          <w:tcPr>
            <w:tcW w:w="1260" w:type="dxa"/>
          </w:tcPr>
          <w:p w:rsidR="00A25C46" w:rsidDel="00ED5E2B" w:rsidRDefault="00A25C46" w:rsidP="00CF5547">
            <w:pPr>
              <w:jc w:val="center"/>
            </w:pPr>
            <w:r>
              <w:t>1736 / 1814 (96%)</w:t>
            </w:r>
          </w:p>
        </w:tc>
        <w:tc>
          <w:tcPr>
            <w:tcW w:w="1440" w:type="dxa"/>
            <w:tcBorders>
              <w:right w:val="single" w:sz="12" w:space="0" w:color="auto"/>
            </w:tcBorders>
          </w:tcPr>
          <w:p w:rsidR="00A25C46" w:rsidRDefault="00A25C46" w:rsidP="00CF5547">
            <w:pPr>
              <w:jc w:val="center"/>
            </w:pPr>
            <w:r>
              <w:t>1554/1607</w:t>
            </w:r>
          </w:p>
          <w:p w:rsidR="00A25C46" w:rsidRDefault="00A25C46" w:rsidP="00CF5547">
            <w:pPr>
              <w:jc w:val="center"/>
            </w:pPr>
            <w:r>
              <w:t>(97%)</w:t>
            </w:r>
          </w:p>
        </w:tc>
        <w:tc>
          <w:tcPr>
            <w:tcW w:w="1530" w:type="dxa"/>
            <w:tcBorders>
              <w:left w:val="single" w:sz="12" w:space="0" w:color="auto"/>
            </w:tcBorders>
          </w:tcPr>
          <w:p w:rsidR="00A25C46" w:rsidRDefault="00A25C46" w:rsidP="00CF5547">
            <w:pPr>
              <w:jc w:val="center"/>
            </w:pPr>
            <w:r>
              <w:t>184/184</w:t>
            </w:r>
          </w:p>
          <w:p w:rsidR="00A25C46" w:rsidRDefault="00A25C46" w:rsidP="00CF5547">
            <w:pPr>
              <w:jc w:val="center"/>
            </w:pPr>
            <w:r>
              <w:t>(100%)</w:t>
            </w:r>
          </w:p>
        </w:tc>
        <w:tc>
          <w:tcPr>
            <w:tcW w:w="1291" w:type="dxa"/>
            <w:tcBorders>
              <w:right w:val="single" w:sz="12" w:space="0" w:color="auto"/>
            </w:tcBorders>
          </w:tcPr>
          <w:p w:rsidR="00A25C46" w:rsidRDefault="00A25C46" w:rsidP="00CF5547">
            <w:pPr>
              <w:jc w:val="center"/>
            </w:pPr>
            <w:r>
              <w:t>178/178</w:t>
            </w:r>
          </w:p>
          <w:p w:rsidR="00A25C46" w:rsidRDefault="00A25C46" w:rsidP="00CF5547">
            <w:pPr>
              <w:jc w:val="center"/>
            </w:pPr>
            <w:r>
              <w:t>(100%)</w:t>
            </w:r>
          </w:p>
        </w:tc>
        <w:tc>
          <w:tcPr>
            <w:tcW w:w="1328" w:type="dxa"/>
            <w:tcBorders>
              <w:left w:val="single" w:sz="12" w:space="0" w:color="auto"/>
            </w:tcBorders>
          </w:tcPr>
          <w:p w:rsidR="00A25C46" w:rsidRDefault="00A25C46" w:rsidP="00CF5547">
            <w:pPr>
              <w:tabs>
                <w:tab w:val="left" w:pos="388"/>
                <w:tab w:val="center" w:pos="603"/>
              </w:tabs>
              <w:jc w:val="center"/>
            </w:pPr>
            <w:r>
              <w:t>551/617</w:t>
            </w:r>
          </w:p>
          <w:p w:rsidR="00A25C46" w:rsidRDefault="00A25C46" w:rsidP="00CF5547">
            <w:pPr>
              <w:tabs>
                <w:tab w:val="left" w:pos="388"/>
                <w:tab w:val="center" w:pos="603"/>
              </w:tabs>
              <w:jc w:val="center"/>
            </w:pPr>
            <w:r>
              <w:t>(89%)</w:t>
            </w:r>
          </w:p>
        </w:tc>
        <w:tc>
          <w:tcPr>
            <w:tcW w:w="1344" w:type="dxa"/>
            <w:tcBorders>
              <w:right w:val="single" w:sz="12" w:space="0" w:color="auto"/>
            </w:tcBorders>
          </w:tcPr>
          <w:p w:rsidR="00A25C46" w:rsidRDefault="00A25C46" w:rsidP="00CF5547">
            <w:pPr>
              <w:jc w:val="center"/>
            </w:pPr>
            <w:r>
              <w:t>433/479</w:t>
            </w:r>
          </w:p>
          <w:p w:rsidR="00A25C46" w:rsidRDefault="00A25C46" w:rsidP="00CF5547">
            <w:pPr>
              <w:jc w:val="center"/>
            </w:pPr>
            <w:r>
              <w:t>(90%)</w:t>
            </w:r>
          </w:p>
        </w:tc>
        <w:tc>
          <w:tcPr>
            <w:tcW w:w="1350" w:type="dxa"/>
            <w:tcBorders>
              <w:left w:val="single" w:sz="12" w:space="0" w:color="auto"/>
            </w:tcBorders>
          </w:tcPr>
          <w:p w:rsidR="00A25C46" w:rsidRDefault="00A25C46" w:rsidP="00CF5547">
            <w:pPr>
              <w:jc w:val="center"/>
            </w:pPr>
            <w:r>
              <w:t>1001/1013</w:t>
            </w:r>
          </w:p>
          <w:p w:rsidR="00A25C46" w:rsidRDefault="00A25C46" w:rsidP="00CF5547">
            <w:pPr>
              <w:jc w:val="center"/>
            </w:pPr>
            <w:r>
              <w:t>(99%)</w:t>
            </w:r>
          </w:p>
        </w:tc>
        <w:tc>
          <w:tcPr>
            <w:tcW w:w="1132" w:type="dxa"/>
          </w:tcPr>
          <w:p w:rsidR="00A25C46" w:rsidRDefault="00A25C46" w:rsidP="00CF5547">
            <w:pPr>
              <w:jc w:val="center"/>
            </w:pPr>
            <w:r>
              <w:t>943/950</w:t>
            </w:r>
          </w:p>
          <w:p w:rsidR="00A25C46" w:rsidRDefault="00A25C46" w:rsidP="00CF5547">
            <w:pPr>
              <w:jc w:val="center"/>
            </w:pPr>
            <w:r>
              <w:t>(99%)</w:t>
            </w:r>
          </w:p>
        </w:tc>
      </w:tr>
      <w:tr w:rsidR="00A25C46" w:rsidTr="00CF5547">
        <w:trPr>
          <w:trHeight w:val="620"/>
        </w:trPr>
        <w:tc>
          <w:tcPr>
            <w:tcW w:w="4680" w:type="dxa"/>
          </w:tcPr>
          <w:p w:rsidR="00A25C46" w:rsidDel="00B21B63" w:rsidRDefault="00A25C46" w:rsidP="00CF5547">
            <w:pPr>
              <w:rPr>
                <w:b/>
              </w:rPr>
            </w:pPr>
            <w:r>
              <w:rPr>
                <w:b/>
              </w:rPr>
              <w:t>Number of susceptible compound members without syndromic surveillance data</w:t>
            </w:r>
          </w:p>
        </w:tc>
        <w:tc>
          <w:tcPr>
            <w:tcW w:w="1260" w:type="dxa"/>
          </w:tcPr>
          <w:p w:rsidR="00A25C46" w:rsidRDefault="00A25C46" w:rsidP="00CF5547">
            <w:pPr>
              <w:jc w:val="center"/>
            </w:pPr>
            <w:r>
              <w:t>75/1736</w:t>
            </w:r>
          </w:p>
          <w:p w:rsidR="00A25C46" w:rsidRDefault="00A25C46" w:rsidP="00CF5547">
            <w:pPr>
              <w:jc w:val="center"/>
            </w:pPr>
            <w:r>
              <w:t>(4%)</w:t>
            </w:r>
          </w:p>
        </w:tc>
        <w:tc>
          <w:tcPr>
            <w:tcW w:w="1440" w:type="dxa"/>
            <w:tcBorders>
              <w:right w:val="single" w:sz="12" w:space="0" w:color="auto"/>
            </w:tcBorders>
          </w:tcPr>
          <w:p w:rsidR="00A25C46" w:rsidRDefault="00A25C46" w:rsidP="00CF5547">
            <w:pPr>
              <w:jc w:val="center"/>
            </w:pPr>
            <w:r>
              <w:t>56/1554</w:t>
            </w:r>
          </w:p>
          <w:p w:rsidR="00A25C46" w:rsidRDefault="00A25C46" w:rsidP="00CF5547">
            <w:pPr>
              <w:jc w:val="center"/>
            </w:pPr>
            <w:r>
              <w:t>(4%)</w:t>
            </w:r>
          </w:p>
        </w:tc>
        <w:tc>
          <w:tcPr>
            <w:tcW w:w="1530" w:type="dxa"/>
            <w:tcBorders>
              <w:left w:val="single" w:sz="12" w:space="0" w:color="auto"/>
            </w:tcBorders>
          </w:tcPr>
          <w:p w:rsidR="00A25C46" w:rsidRDefault="00A25C46" w:rsidP="00CF5547">
            <w:pPr>
              <w:jc w:val="center"/>
            </w:pPr>
            <w:r>
              <w:t>5/184</w:t>
            </w:r>
          </w:p>
          <w:p w:rsidR="00A25C46" w:rsidDel="00143625" w:rsidRDefault="00A25C46" w:rsidP="00CF5547">
            <w:pPr>
              <w:jc w:val="center"/>
            </w:pPr>
            <w:r>
              <w:t>(3%)</w:t>
            </w:r>
          </w:p>
        </w:tc>
        <w:tc>
          <w:tcPr>
            <w:tcW w:w="1291" w:type="dxa"/>
            <w:tcBorders>
              <w:right w:val="single" w:sz="12" w:space="0" w:color="auto"/>
            </w:tcBorders>
          </w:tcPr>
          <w:p w:rsidR="00A25C46" w:rsidRDefault="00A25C46" w:rsidP="00CF5547">
            <w:pPr>
              <w:jc w:val="center"/>
            </w:pPr>
            <w:r>
              <w:t>2/178</w:t>
            </w:r>
          </w:p>
          <w:p w:rsidR="00A25C46" w:rsidRDefault="00A25C46" w:rsidP="00CF5547">
            <w:pPr>
              <w:jc w:val="center"/>
            </w:pPr>
            <w:r>
              <w:t>(1%)</w:t>
            </w:r>
          </w:p>
        </w:tc>
        <w:tc>
          <w:tcPr>
            <w:tcW w:w="1328" w:type="dxa"/>
            <w:tcBorders>
              <w:left w:val="single" w:sz="12" w:space="0" w:color="auto"/>
            </w:tcBorders>
          </w:tcPr>
          <w:p w:rsidR="00A25C46" w:rsidRDefault="00A25C46" w:rsidP="00CF5547">
            <w:pPr>
              <w:jc w:val="center"/>
            </w:pPr>
            <w:r>
              <w:t>3/551</w:t>
            </w:r>
          </w:p>
          <w:p w:rsidR="00A25C46" w:rsidRDefault="00A25C46" w:rsidP="00CF5547">
            <w:pPr>
              <w:jc w:val="center"/>
            </w:pPr>
            <w:r>
              <w:t>(1%)</w:t>
            </w:r>
          </w:p>
        </w:tc>
        <w:tc>
          <w:tcPr>
            <w:tcW w:w="1344" w:type="dxa"/>
            <w:tcBorders>
              <w:right w:val="single" w:sz="12" w:space="0" w:color="auto"/>
            </w:tcBorders>
          </w:tcPr>
          <w:p w:rsidR="00A25C46" w:rsidRDefault="00A25C46" w:rsidP="00CF5547">
            <w:pPr>
              <w:jc w:val="center"/>
            </w:pPr>
            <w:r>
              <w:t>1/433</w:t>
            </w:r>
          </w:p>
          <w:p w:rsidR="00A25C46" w:rsidRDefault="00A25C46" w:rsidP="00CF5547">
            <w:pPr>
              <w:jc w:val="center"/>
            </w:pPr>
            <w:r>
              <w:t>(0%)</w:t>
            </w:r>
          </w:p>
        </w:tc>
        <w:tc>
          <w:tcPr>
            <w:tcW w:w="1350" w:type="dxa"/>
            <w:tcBorders>
              <w:left w:val="single" w:sz="12" w:space="0" w:color="auto"/>
            </w:tcBorders>
          </w:tcPr>
          <w:p w:rsidR="00A25C46" w:rsidRDefault="00A25C46" w:rsidP="00CF5547">
            <w:pPr>
              <w:jc w:val="center"/>
            </w:pPr>
            <w:r>
              <w:t>67/1001</w:t>
            </w:r>
          </w:p>
          <w:p w:rsidR="00A25C46" w:rsidRDefault="00A25C46" w:rsidP="00CF5547">
            <w:pPr>
              <w:jc w:val="center"/>
            </w:pPr>
            <w:r>
              <w:t>(7%)</w:t>
            </w:r>
          </w:p>
        </w:tc>
        <w:tc>
          <w:tcPr>
            <w:tcW w:w="1132" w:type="dxa"/>
          </w:tcPr>
          <w:p w:rsidR="00A25C46" w:rsidRDefault="00A25C46" w:rsidP="00CF5547">
            <w:pPr>
              <w:jc w:val="center"/>
            </w:pPr>
            <w:r>
              <w:t>53/943</w:t>
            </w:r>
          </w:p>
          <w:p w:rsidR="00A25C46" w:rsidRDefault="00A25C46" w:rsidP="00CF5547">
            <w:pPr>
              <w:jc w:val="center"/>
            </w:pPr>
            <w:r>
              <w:t>(6%)</w:t>
            </w:r>
          </w:p>
        </w:tc>
      </w:tr>
      <w:tr w:rsidR="00A25C46" w:rsidTr="00CF5547">
        <w:trPr>
          <w:trHeight w:val="764"/>
        </w:trPr>
        <w:tc>
          <w:tcPr>
            <w:tcW w:w="4680" w:type="dxa"/>
          </w:tcPr>
          <w:p w:rsidR="00A25C46" w:rsidRDefault="00A25C46" w:rsidP="00CF5547">
            <w:pPr>
              <w:rPr>
                <w:b/>
              </w:rPr>
            </w:pPr>
            <w:r>
              <w:rPr>
                <w:b/>
              </w:rPr>
              <w:t xml:space="preserve">Number of susceptible compound members with syndromic surveillance information for </w:t>
            </w:r>
            <w:r>
              <w:rPr>
                <w:b/>
                <w:u w:val="single"/>
              </w:rPr>
              <w:t>&gt;</w:t>
            </w:r>
            <w:r>
              <w:rPr>
                <w:b/>
              </w:rPr>
              <w:t>1 days</w:t>
            </w:r>
          </w:p>
        </w:tc>
        <w:tc>
          <w:tcPr>
            <w:tcW w:w="1260" w:type="dxa"/>
          </w:tcPr>
          <w:p w:rsidR="00A25C46" w:rsidRDefault="00A25C46" w:rsidP="00CF5547">
            <w:pPr>
              <w:jc w:val="center"/>
            </w:pPr>
            <w:r>
              <w:t>1661/1736</w:t>
            </w:r>
          </w:p>
          <w:p w:rsidR="00A25C46" w:rsidRDefault="00A25C46" w:rsidP="00CF5547">
            <w:pPr>
              <w:jc w:val="center"/>
            </w:pPr>
            <w:r>
              <w:t>(96%)</w:t>
            </w:r>
          </w:p>
        </w:tc>
        <w:tc>
          <w:tcPr>
            <w:tcW w:w="1440" w:type="dxa"/>
            <w:tcBorders>
              <w:right w:val="single" w:sz="12" w:space="0" w:color="auto"/>
            </w:tcBorders>
          </w:tcPr>
          <w:p w:rsidR="00A25C46" w:rsidRDefault="00A25C46" w:rsidP="00CF5547">
            <w:pPr>
              <w:jc w:val="center"/>
            </w:pPr>
            <w:r>
              <w:t>1498/1554</w:t>
            </w:r>
          </w:p>
          <w:p w:rsidR="00A25C46" w:rsidRDefault="00A25C46" w:rsidP="00CF5547">
            <w:pPr>
              <w:jc w:val="center"/>
            </w:pPr>
            <w:r>
              <w:t>(96%)</w:t>
            </w:r>
          </w:p>
        </w:tc>
        <w:tc>
          <w:tcPr>
            <w:tcW w:w="1530" w:type="dxa"/>
            <w:tcBorders>
              <w:left w:val="single" w:sz="12" w:space="0" w:color="auto"/>
            </w:tcBorders>
          </w:tcPr>
          <w:p w:rsidR="00A25C46" w:rsidRDefault="00A25C46" w:rsidP="00CF5547">
            <w:pPr>
              <w:jc w:val="center"/>
            </w:pPr>
            <w:r>
              <w:t>179/184</w:t>
            </w:r>
          </w:p>
          <w:p w:rsidR="00A25C46" w:rsidRDefault="00A25C46" w:rsidP="00CF5547">
            <w:pPr>
              <w:jc w:val="center"/>
            </w:pPr>
            <w:r>
              <w:t>(97%)</w:t>
            </w:r>
          </w:p>
        </w:tc>
        <w:tc>
          <w:tcPr>
            <w:tcW w:w="1291" w:type="dxa"/>
            <w:tcBorders>
              <w:right w:val="single" w:sz="12" w:space="0" w:color="auto"/>
            </w:tcBorders>
          </w:tcPr>
          <w:p w:rsidR="00A25C46" w:rsidRDefault="00A25C46" w:rsidP="00CF5547">
            <w:pPr>
              <w:jc w:val="center"/>
            </w:pPr>
            <w:r>
              <w:t>176/178</w:t>
            </w:r>
          </w:p>
          <w:p w:rsidR="00A25C46" w:rsidRDefault="00A25C46" w:rsidP="00CF5547">
            <w:pPr>
              <w:jc w:val="center"/>
            </w:pPr>
            <w:r>
              <w:t>(99%)</w:t>
            </w:r>
          </w:p>
        </w:tc>
        <w:tc>
          <w:tcPr>
            <w:tcW w:w="1328" w:type="dxa"/>
            <w:tcBorders>
              <w:left w:val="single" w:sz="12" w:space="0" w:color="auto"/>
            </w:tcBorders>
          </w:tcPr>
          <w:p w:rsidR="00A25C46" w:rsidRDefault="00A25C46" w:rsidP="00CF5547">
            <w:pPr>
              <w:jc w:val="center"/>
            </w:pPr>
            <w:r>
              <w:t>548/551</w:t>
            </w:r>
          </w:p>
          <w:p w:rsidR="00A25C46" w:rsidRDefault="00A25C46" w:rsidP="00CF5547">
            <w:pPr>
              <w:jc w:val="center"/>
            </w:pPr>
            <w:r>
              <w:t>(99%)</w:t>
            </w:r>
          </w:p>
        </w:tc>
        <w:tc>
          <w:tcPr>
            <w:tcW w:w="1344" w:type="dxa"/>
            <w:tcBorders>
              <w:right w:val="single" w:sz="12" w:space="0" w:color="auto"/>
            </w:tcBorders>
          </w:tcPr>
          <w:p w:rsidR="00A25C46" w:rsidRDefault="00A25C46" w:rsidP="00CF5547">
            <w:pPr>
              <w:jc w:val="center"/>
            </w:pPr>
            <w:r>
              <w:t>432/433</w:t>
            </w:r>
          </w:p>
          <w:p w:rsidR="00A25C46" w:rsidRDefault="00A25C46" w:rsidP="00CF5547">
            <w:pPr>
              <w:jc w:val="center"/>
            </w:pPr>
            <w:r>
              <w:t>(100%)</w:t>
            </w:r>
          </w:p>
        </w:tc>
        <w:tc>
          <w:tcPr>
            <w:tcW w:w="1350" w:type="dxa"/>
            <w:tcBorders>
              <w:left w:val="single" w:sz="12" w:space="0" w:color="auto"/>
            </w:tcBorders>
          </w:tcPr>
          <w:p w:rsidR="00A25C46" w:rsidRDefault="00A25C46" w:rsidP="00CF5547">
            <w:pPr>
              <w:jc w:val="center"/>
            </w:pPr>
            <w:r>
              <w:t>934/1001</w:t>
            </w:r>
          </w:p>
          <w:p w:rsidR="00A25C46" w:rsidRDefault="00A25C46" w:rsidP="00CF5547">
            <w:pPr>
              <w:jc w:val="center"/>
            </w:pPr>
            <w:r>
              <w:t>(93%)</w:t>
            </w:r>
          </w:p>
        </w:tc>
        <w:tc>
          <w:tcPr>
            <w:tcW w:w="1132" w:type="dxa"/>
          </w:tcPr>
          <w:p w:rsidR="00A25C46" w:rsidRDefault="00A25C46" w:rsidP="00CF5547">
            <w:pPr>
              <w:jc w:val="center"/>
            </w:pPr>
            <w:r>
              <w:t>890/943</w:t>
            </w:r>
          </w:p>
          <w:p w:rsidR="00A25C46" w:rsidRDefault="00A25C46" w:rsidP="00CF5547">
            <w:pPr>
              <w:jc w:val="center"/>
            </w:pPr>
            <w:r>
              <w:t>(94%)</w:t>
            </w:r>
          </w:p>
        </w:tc>
      </w:tr>
      <w:tr w:rsidR="00A25C46" w:rsidTr="00CF5547">
        <w:trPr>
          <w:trHeight w:val="510"/>
        </w:trPr>
        <w:tc>
          <w:tcPr>
            <w:tcW w:w="4680" w:type="dxa"/>
          </w:tcPr>
          <w:p w:rsidR="00A25C46" w:rsidRDefault="00A25C46" w:rsidP="00CF5547">
            <w:pPr>
              <w:rPr>
                <w:b/>
              </w:rPr>
            </w:pPr>
            <w:r>
              <w:rPr>
                <w:b/>
              </w:rPr>
              <w:t>Number of susceptible members in index case-patient households</w:t>
            </w:r>
          </w:p>
        </w:tc>
        <w:tc>
          <w:tcPr>
            <w:tcW w:w="1260" w:type="dxa"/>
          </w:tcPr>
          <w:p w:rsidR="00A25C46" w:rsidRDefault="00A25C46" w:rsidP="00CF5547">
            <w:pPr>
              <w:jc w:val="center"/>
            </w:pPr>
            <w:r>
              <w:t>863/1661</w:t>
            </w:r>
          </w:p>
          <w:p w:rsidR="00A25C46" w:rsidRDefault="00A25C46" w:rsidP="00CF5547">
            <w:pPr>
              <w:jc w:val="center"/>
            </w:pPr>
            <w:r>
              <w:t>(52%)</w:t>
            </w:r>
          </w:p>
        </w:tc>
        <w:tc>
          <w:tcPr>
            <w:tcW w:w="1440" w:type="dxa"/>
            <w:tcBorders>
              <w:right w:val="single" w:sz="12" w:space="0" w:color="auto"/>
            </w:tcBorders>
          </w:tcPr>
          <w:p w:rsidR="00A25C46" w:rsidRDefault="00A25C46" w:rsidP="00CF5547">
            <w:pPr>
              <w:jc w:val="center"/>
            </w:pPr>
            <w:r>
              <w:t>727/1498</w:t>
            </w:r>
          </w:p>
          <w:p w:rsidR="00A25C46" w:rsidRDefault="00A25C46" w:rsidP="00CF5547">
            <w:pPr>
              <w:jc w:val="center"/>
            </w:pPr>
            <w:r>
              <w:t>(49%)</w:t>
            </w:r>
          </w:p>
        </w:tc>
        <w:tc>
          <w:tcPr>
            <w:tcW w:w="1530" w:type="dxa"/>
            <w:tcBorders>
              <w:left w:val="single" w:sz="12" w:space="0" w:color="auto"/>
            </w:tcBorders>
          </w:tcPr>
          <w:p w:rsidR="00A25C46" w:rsidRDefault="00A25C46" w:rsidP="00CF5547">
            <w:pPr>
              <w:jc w:val="center"/>
            </w:pPr>
            <w:r>
              <w:t>95/179</w:t>
            </w:r>
          </w:p>
          <w:p w:rsidR="00A25C46" w:rsidRDefault="00A25C46" w:rsidP="00CF5547">
            <w:pPr>
              <w:jc w:val="center"/>
            </w:pPr>
            <w:r>
              <w:t>(53%)</w:t>
            </w:r>
          </w:p>
        </w:tc>
        <w:tc>
          <w:tcPr>
            <w:tcW w:w="1291" w:type="dxa"/>
            <w:tcBorders>
              <w:right w:val="single" w:sz="12" w:space="0" w:color="auto"/>
            </w:tcBorders>
          </w:tcPr>
          <w:p w:rsidR="00A25C46" w:rsidRDefault="00A25C46" w:rsidP="00CF5547">
            <w:pPr>
              <w:jc w:val="center"/>
            </w:pPr>
            <w:r>
              <w:t>89/176</w:t>
            </w:r>
          </w:p>
          <w:p w:rsidR="00A25C46" w:rsidRDefault="00A25C46" w:rsidP="00CF5547">
            <w:pPr>
              <w:jc w:val="center"/>
            </w:pPr>
            <w:r>
              <w:t>(51%)</w:t>
            </w:r>
          </w:p>
        </w:tc>
        <w:tc>
          <w:tcPr>
            <w:tcW w:w="1328" w:type="dxa"/>
            <w:tcBorders>
              <w:left w:val="single" w:sz="12" w:space="0" w:color="auto"/>
            </w:tcBorders>
          </w:tcPr>
          <w:p w:rsidR="00A25C46" w:rsidRDefault="00A25C46" w:rsidP="00CF5547">
            <w:pPr>
              <w:jc w:val="center"/>
            </w:pPr>
            <w:r>
              <w:t>284/548</w:t>
            </w:r>
          </w:p>
          <w:p w:rsidR="00A25C46" w:rsidRDefault="00A25C46" w:rsidP="00CF5547">
            <w:pPr>
              <w:jc w:val="center"/>
            </w:pPr>
            <w:r>
              <w:t>(52%)</w:t>
            </w:r>
          </w:p>
        </w:tc>
        <w:tc>
          <w:tcPr>
            <w:tcW w:w="1344" w:type="dxa"/>
            <w:tcBorders>
              <w:right w:val="single" w:sz="12" w:space="0" w:color="auto"/>
            </w:tcBorders>
          </w:tcPr>
          <w:p w:rsidR="00A25C46" w:rsidRDefault="00A25C46" w:rsidP="00CF5547">
            <w:pPr>
              <w:jc w:val="center"/>
            </w:pPr>
            <w:r>
              <w:t>224/432</w:t>
            </w:r>
          </w:p>
          <w:p w:rsidR="00A25C46" w:rsidRDefault="00A25C46" w:rsidP="00CF5547">
            <w:pPr>
              <w:jc w:val="center"/>
            </w:pPr>
            <w:r>
              <w:t>(52%)</w:t>
            </w:r>
          </w:p>
        </w:tc>
        <w:tc>
          <w:tcPr>
            <w:tcW w:w="1350" w:type="dxa"/>
            <w:tcBorders>
              <w:left w:val="single" w:sz="12" w:space="0" w:color="auto"/>
            </w:tcBorders>
          </w:tcPr>
          <w:p w:rsidR="00A25C46" w:rsidRDefault="00A25C46" w:rsidP="00CF5547">
            <w:pPr>
              <w:jc w:val="center"/>
            </w:pPr>
            <w:r>
              <w:t>484/934</w:t>
            </w:r>
          </w:p>
          <w:p w:rsidR="00A25C46" w:rsidRDefault="00A25C46" w:rsidP="00CF5547">
            <w:pPr>
              <w:jc w:val="center"/>
            </w:pPr>
            <w:r>
              <w:t>(52%)</w:t>
            </w:r>
          </w:p>
        </w:tc>
        <w:tc>
          <w:tcPr>
            <w:tcW w:w="1132" w:type="dxa"/>
          </w:tcPr>
          <w:p w:rsidR="00A25C46" w:rsidRDefault="00A25C46" w:rsidP="00CF5547">
            <w:pPr>
              <w:jc w:val="center"/>
            </w:pPr>
            <w:r>
              <w:t>414/890</w:t>
            </w:r>
          </w:p>
          <w:p w:rsidR="00A25C46" w:rsidRDefault="00A25C46" w:rsidP="00CF5547">
            <w:pPr>
              <w:jc w:val="center"/>
            </w:pPr>
            <w:r>
              <w:t>(47%)</w:t>
            </w:r>
          </w:p>
        </w:tc>
      </w:tr>
      <w:tr w:rsidR="00A25C46" w:rsidTr="00CF5547">
        <w:trPr>
          <w:trHeight w:val="510"/>
        </w:trPr>
        <w:tc>
          <w:tcPr>
            <w:tcW w:w="4680" w:type="dxa"/>
          </w:tcPr>
          <w:p w:rsidR="00A25C46" w:rsidRDefault="00A25C46" w:rsidP="00CF5547">
            <w:pPr>
              <w:rPr>
                <w:b/>
              </w:rPr>
            </w:pPr>
            <w:r>
              <w:rPr>
                <w:b/>
              </w:rPr>
              <w:t>Number of susceptible members in other households</w:t>
            </w:r>
          </w:p>
        </w:tc>
        <w:tc>
          <w:tcPr>
            <w:tcW w:w="1260" w:type="dxa"/>
          </w:tcPr>
          <w:p w:rsidR="00A25C46" w:rsidRDefault="00A25C46" w:rsidP="00CF5547">
            <w:pPr>
              <w:jc w:val="center"/>
            </w:pPr>
            <w:r>
              <w:t>798/1661</w:t>
            </w:r>
          </w:p>
          <w:p w:rsidR="00A25C46" w:rsidRDefault="00A25C46" w:rsidP="00CF5547">
            <w:pPr>
              <w:jc w:val="center"/>
            </w:pPr>
            <w:r>
              <w:t>(48%)</w:t>
            </w:r>
          </w:p>
        </w:tc>
        <w:tc>
          <w:tcPr>
            <w:tcW w:w="1440" w:type="dxa"/>
            <w:tcBorders>
              <w:right w:val="single" w:sz="12" w:space="0" w:color="auto"/>
            </w:tcBorders>
          </w:tcPr>
          <w:p w:rsidR="00A25C46" w:rsidRDefault="00A25C46" w:rsidP="00CF5547">
            <w:pPr>
              <w:jc w:val="center"/>
            </w:pPr>
            <w:r>
              <w:t>771/1498</w:t>
            </w:r>
          </w:p>
          <w:p w:rsidR="00A25C46" w:rsidRDefault="00A25C46" w:rsidP="00CF5547">
            <w:pPr>
              <w:jc w:val="center"/>
            </w:pPr>
            <w:r>
              <w:t>(51%)</w:t>
            </w:r>
          </w:p>
        </w:tc>
        <w:tc>
          <w:tcPr>
            <w:tcW w:w="1530" w:type="dxa"/>
            <w:tcBorders>
              <w:left w:val="single" w:sz="12" w:space="0" w:color="auto"/>
            </w:tcBorders>
          </w:tcPr>
          <w:p w:rsidR="00A25C46" w:rsidRDefault="00A25C46" w:rsidP="00CF5547">
            <w:pPr>
              <w:jc w:val="center"/>
            </w:pPr>
            <w:r>
              <w:t>84/179</w:t>
            </w:r>
          </w:p>
          <w:p w:rsidR="00A25C46" w:rsidRDefault="00A25C46" w:rsidP="00CF5547">
            <w:pPr>
              <w:jc w:val="center"/>
            </w:pPr>
            <w:r>
              <w:t>(47%)</w:t>
            </w:r>
          </w:p>
        </w:tc>
        <w:tc>
          <w:tcPr>
            <w:tcW w:w="1291" w:type="dxa"/>
            <w:tcBorders>
              <w:right w:val="single" w:sz="12" w:space="0" w:color="auto"/>
            </w:tcBorders>
          </w:tcPr>
          <w:p w:rsidR="00A25C46" w:rsidRDefault="00A25C46" w:rsidP="00CF5547">
            <w:pPr>
              <w:jc w:val="center"/>
            </w:pPr>
            <w:r>
              <w:t>87/176</w:t>
            </w:r>
          </w:p>
          <w:p w:rsidR="00A25C46" w:rsidRDefault="00A25C46" w:rsidP="00CF5547">
            <w:pPr>
              <w:jc w:val="center"/>
            </w:pPr>
            <w:r>
              <w:t>(49%)</w:t>
            </w:r>
          </w:p>
        </w:tc>
        <w:tc>
          <w:tcPr>
            <w:tcW w:w="1328" w:type="dxa"/>
            <w:tcBorders>
              <w:left w:val="single" w:sz="12" w:space="0" w:color="auto"/>
            </w:tcBorders>
          </w:tcPr>
          <w:p w:rsidR="00A25C46" w:rsidRDefault="00A25C46" w:rsidP="00CF5547">
            <w:pPr>
              <w:jc w:val="center"/>
            </w:pPr>
            <w:r>
              <w:t>264/548</w:t>
            </w:r>
          </w:p>
          <w:p w:rsidR="00A25C46" w:rsidRDefault="00A25C46" w:rsidP="00CF5547">
            <w:pPr>
              <w:jc w:val="center"/>
            </w:pPr>
            <w:r>
              <w:t>(48%)</w:t>
            </w:r>
          </w:p>
        </w:tc>
        <w:tc>
          <w:tcPr>
            <w:tcW w:w="1344" w:type="dxa"/>
            <w:tcBorders>
              <w:right w:val="single" w:sz="12" w:space="0" w:color="auto"/>
            </w:tcBorders>
          </w:tcPr>
          <w:p w:rsidR="00A25C46" w:rsidRDefault="00A25C46" w:rsidP="00CF5547">
            <w:pPr>
              <w:jc w:val="center"/>
            </w:pPr>
            <w:r>
              <w:t>208/432</w:t>
            </w:r>
          </w:p>
          <w:p w:rsidR="00A25C46" w:rsidRDefault="00A25C46" w:rsidP="00CF5547">
            <w:pPr>
              <w:jc w:val="center"/>
            </w:pPr>
            <w:r>
              <w:t>(48%)</w:t>
            </w:r>
          </w:p>
        </w:tc>
        <w:tc>
          <w:tcPr>
            <w:tcW w:w="1350" w:type="dxa"/>
            <w:tcBorders>
              <w:left w:val="single" w:sz="12" w:space="0" w:color="auto"/>
            </w:tcBorders>
          </w:tcPr>
          <w:p w:rsidR="00A25C46" w:rsidRDefault="00A25C46" w:rsidP="00CF5547">
            <w:pPr>
              <w:jc w:val="center"/>
            </w:pPr>
            <w:r>
              <w:t>450/934</w:t>
            </w:r>
          </w:p>
          <w:p w:rsidR="00A25C46" w:rsidRDefault="00A25C46" w:rsidP="00CF5547">
            <w:pPr>
              <w:jc w:val="center"/>
            </w:pPr>
            <w:r>
              <w:t>(48%)</w:t>
            </w:r>
          </w:p>
        </w:tc>
        <w:tc>
          <w:tcPr>
            <w:tcW w:w="1132" w:type="dxa"/>
          </w:tcPr>
          <w:p w:rsidR="00A25C46" w:rsidRDefault="00A25C46" w:rsidP="00CF5547">
            <w:pPr>
              <w:jc w:val="center"/>
            </w:pPr>
            <w:r>
              <w:t>476/890</w:t>
            </w:r>
          </w:p>
          <w:p w:rsidR="00A25C46" w:rsidRDefault="00A25C46" w:rsidP="00CF5547">
            <w:pPr>
              <w:jc w:val="center"/>
            </w:pPr>
            <w:r>
              <w:t>(53%)</w:t>
            </w:r>
          </w:p>
        </w:tc>
      </w:tr>
      <w:tr w:rsidR="00A25C46" w:rsidTr="00CF5547">
        <w:trPr>
          <w:trHeight w:val="247"/>
        </w:trPr>
        <w:tc>
          <w:tcPr>
            <w:tcW w:w="4680" w:type="dxa"/>
          </w:tcPr>
          <w:p w:rsidR="00A25C46" w:rsidRDefault="00A25C46" w:rsidP="00CF5547">
            <w:pPr>
              <w:rPr>
                <w:b/>
              </w:rPr>
            </w:pPr>
          </w:p>
        </w:tc>
        <w:tc>
          <w:tcPr>
            <w:tcW w:w="1260" w:type="dxa"/>
          </w:tcPr>
          <w:p w:rsidR="00A25C46" w:rsidRDefault="00A25C46" w:rsidP="00CF5547">
            <w:pPr>
              <w:jc w:val="center"/>
            </w:pPr>
          </w:p>
        </w:tc>
        <w:tc>
          <w:tcPr>
            <w:tcW w:w="1440" w:type="dxa"/>
            <w:tcBorders>
              <w:right w:val="single" w:sz="12" w:space="0" w:color="auto"/>
            </w:tcBorders>
          </w:tcPr>
          <w:p w:rsidR="00A25C46" w:rsidRDefault="00A25C46" w:rsidP="00CF5547">
            <w:pPr>
              <w:jc w:val="center"/>
            </w:pPr>
          </w:p>
        </w:tc>
        <w:tc>
          <w:tcPr>
            <w:tcW w:w="1530" w:type="dxa"/>
            <w:tcBorders>
              <w:left w:val="single" w:sz="12" w:space="0" w:color="auto"/>
            </w:tcBorders>
          </w:tcPr>
          <w:p w:rsidR="00A25C46" w:rsidRDefault="00A25C46" w:rsidP="00CF5547">
            <w:pPr>
              <w:jc w:val="center"/>
            </w:pPr>
          </w:p>
        </w:tc>
        <w:tc>
          <w:tcPr>
            <w:tcW w:w="1291" w:type="dxa"/>
            <w:tcBorders>
              <w:right w:val="single" w:sz="12" w:space="0" w:color="auto"/>
            </w:tcBorders>
          </w:tcPr>
          <w:p w:rsidR="00A25C46" w:rsidRDefault="00A25C46" w:rsidP="00CF5547">
            <w:pPr>
              <w:jc w:val="center"/>
            </w:pPr>
          </w:p>
        </w:tc>
        <w:tc>
          <w:tcPr>
            <w:tcW w:w="1328" w:type="dxa"/>
            <w:tcBorders>
              <w:left w:val="single" w:sz="12" w:space="0" w:color="auto"/>
            </w:tcBorders>
          </w:tcPr>
          <w:p w:rsidR="00A25C46" w:rsidRDefault="00A25C46" w:rsidP="00CF5547">
            <w:pPr>
              <w:jc w:val="center"/>
            </w:pPr>
          </w:p>
        </w:tc>
        <w:tc>
          <w:tcPr>
            <w:tcW w:w="1344" w:type="dxa"/>
            <w:tcBorders>
              <w:right w:val="single" w:sz="12" w:space="0" w:color="auto"/>
            </w:tcBorders>
          </w:tcPr>
          <w:p w:rsidR="00A25C46" w:rsidRDefault="00A25C46" w:rsidP="00CF5547">
            <w:pPr>
              <w:jc w:val="center"/>
            </w:pPr>
          </w:p>
        </w:tc>
        <w:tc>
          <w:tcPr>
            <w:tcW w:w="1350" w:type="dxa"/>
            <w:tcBorders>
              <w:left w:val="single" w:sz="12" w:space="0" w:color="auto"/>
            </w:tcBorders>
          </w:tcPr>
          <w:p w:rsidR="00A25C46" w:rsidRDefault="00A25C46" w:rsidP="00CF5547">
            <w:pPr>
              <w:jc w:val="center"/>
            </w:pPr>
          </w:p>
        </w:tc>
        <w:tc>
          <w:tcPr>
            <w:tcW w:w="1132" w:type="dxa"/>
          </w:tcPr>
          <w:p w:rsidR="00A25C46" w:rsidRDefault="00A25C46" w:rsidP="00CF5547">
            <w:pPr>
              <w:jc w:val="center"/>
            </w:pPr>
          </w:p>
        </w:tc>
      </w:tr>
      <w:tr w:rsidR="00A25C46" w:rsidTr="00CF5547">
        <w:trPr>
          <w:trHeight w:val="593"/>
        </w:trPr>
        <w:tc>
          <w:tcPr>
            <w:tcW w:w="4680" w:type="dxa"/>
          </w:tcPr>
          <w:p w:rsidR="00A25C46" w:rsidRDefault="00A25C46" w:rsidP="00CF5547">
            <w:pPr>
              <w:rPr>
                <w:b/>
              </w:rPr>
            </w:pPr>
            <w:r>
              <w:rPr>
                <w:b/>
              </w:rPr>
              <w:t>Number of index case-patients with PCR-confirmed influenza (% of total randomized)</w:t>
            </w:r>
          </w:p>
        </w:tc>
        <w:tc>
          <w:tcPr>
            <w:tcW w:w="1260" w:type="dxa"/>
          </w:tcPr>
          <w:p w:rsidR="00A25C46" w:rsidRDefault="00A25C46" w:rsidP="00CF5547">
            <w:pPr>
              <w:jc w:val="center"/>
            </w:pPr>
            <w:r>
              <w:t>24/193</w:t>
            </w:r>
          </w:p>
          <w:p w:rsidR="00A25C46" w:rsidRDefault="00A25C46" w:rsidP="00CF5547">
            <w:pPr>
              <w:jc w:val="center"/>
            </w:pPr>
            <w:r>
              <w:t>(12%)</w:t>
            </w:r>
          </w:p>
        </w:tc>
        <w:tc>
          <w:tcPr>
            <w:tcW w:w="1440" w:type="dxa"/>
            <w:tcBorders>
              <w:right w:val="single" w:sz="12" w:space="0" w:color="auto"/>
            </w:tcBorders>
          </w:tcPr>
          <w:p w:rsidR="00A25C46" w:rsidRDefault="00A25C46" w:rsidP="00CF5547">
            <w:pPr>
              <w:jc w:val="center"/>
            </w:pPr>
            <w:r>
              <w:t>36/184</w:t>
            </w:r>
          </w:p>
          <w:p w:rsidR="00A25C46" w:rsidRDefault="00A25C46" w:rsidP="00CF5547">
            <w:pPr>
              <w:jc w:val="center"/>
            </w:pPr>
            <w:r>
              <w:t>(20%)</w:t>
            </w:r>
          </w:p>
        </w:tc>
        <w:tc>
          <w:tcPr>
            <w:tcW w:w="1530" w:type="dxa"/>
            <w:tcBorders>
              <w:left w:val="single" w:sz="12" w:space="0" w:color="auto"/>
            </w:tcBorders>
          </w:tcPr>
          <w:p w:rsidR="00A25C46" w:rsidRDefault="00A25C46" w:rsidP="00CF5547">
            <w:pPr>
              <w:jc w:val="center"/>
            </w:pPr>
            <w:r>
              <w:t>2/22</w:t>
            </w:r>
          </w:p>
          <w:p w:rsidR="00A25C46" w:rsidRDefault="00A25C46" w:rsidP="00CF5547">
            <w:pPr>
              <w:jc w:val="center"/>
            </w:pPr>
            <w:r>
              <w:t>(9%)</w:t>
            </w:r>
          </w:p>
        </w:tc>
        <w:tc>
          <w:tcPr>
            <w:tcW w:w="1291" w:type="dxa"/>
            <w:tcBorders>
              <w:right w:val="single" w:sz="12" w:space="0" w:color="auto"/>
            </w:tcBorders>
          </w:tcPr>
          <w:p w:rsidR="00A25C46" w:rsidRDefault="00A25C46" w:rsidP="00CF5547">
            <w:pPr>
              <w:jc w:val="center"/>
            </w:pPr>
            <w:r>
              <w:t>3/18</w:t>
            </w:r>
          </w:p>
          <w:p w:rsidR="00A25C46" w:rsidRDefault="00A25C46" w:rsidP="00CF5547">
            <w:pPr>
              <w:jc w:val="center"/>
            </w:pPr>
            <w:r>
              <w:t>(17%)</w:t>
            </w:r>
          </w:p>
        </w:tc>
        <w:tc>
          <w:tcPr>
            <w:tcW w:w="1328" w:type="dxa"/>
            <w:tcBorders>
              <w:left w:val="single" w:sz="12" w:space="0" w:color="auto"/>
            </w:tcBorders>
          </w:tcPr>
          <w:p w:rsidR="00A25C46" w:rsidRDefault="00A25C46" w:rsidP="00CF5547">
            <w:pPr>
              <w:jc w:val="center"/>
            </w:pPr>
            <w:r>
              <w:t>11/69</w:t>
            </w:r>
          </w:p>
          <w:p w:rsidR="00A25C46" w:rsidRDefault="00A25C46" w:rsidP="00CF5547">
            <w:pPr>
              <w:jc w:val="center"/>
            </w:pPr>
            <w:r>
              <w:t>(16%)</w:t>
            </w:r>
          </w:p>
        </w:tc>
        <w:tc>
          <w:tcPr>
            <w:tcW w:w="1344" w:type="dxa"/>
            <w:tcBorders>
              <w:right w:val="single" w:sz="12" w:space="0" w:color="auto"/>
            </w:tcBorders>
          </w:tcPr>
          <w:p w:rsidR="00A25C46" w:rsidRDefault="00A25C46" w:rsidP="00CF5547">
            <w:pPr>
              <w:jc w:val="center"/>
            </w:pPr>
            <w:r>
              <w:t>17/63</w:t>
            </w:r>
          </w:p>
          <w:p w:rsidR="00A25C46" w:rsidRDefault="00A25C46" w:rsidP="00CF5547">
            <w:pPr>
              <w:jc w:val="center"/>
            </w:pPr>
            <w:r>
              <w:t>(27%)</w:t>
            </w:r>
          </w:p>
        </w:tc>
        <w:tc>
          <w:tcPr>
            <w:tcW w:w="1350" w:type="dxa"/>
            <w:tcBorders>
              <w:left w:val="single" w:sz="12" w:space="0" w:color="auto"/>
            </w:tcBorders>
          </w:tcPr>
          <w:p w:rsidR="00A25C46" w:rsidRDefault="00A25C46" w:rsidP="00CF5547">
            <w:pPr>
              <w:jc w:val="center"/>
            </w:pPr>
            <w:r>
              <w:t>11/102</w:t>
            </w:r>
          </w:p>
          <w:p w:rsidR="00A25C46" w:rsidRDefault="00A25C46" w:rsidP="00CF5547">
            <w:pPr>
              <w:jc w:val="center"/>
            </w:pPr>
            <w:r>
              <w:t>(11%)</w:t>
            </w:r>
          </w:p>
        </w:tc>
        <w:tc>
          <w:tcPr>
            <w:tcW w:w="1132" w:type="dxa"/>
          </w:tcPr>
          <w:p w:rsidR="00A25C46" w:rsidRDefault="00A25C46" w:rsidP="00CF5547">
            <w:pPr>
              <w:jc w:val="center"/>
            </w:pPr>
            <w:r>
              <w:t>16/103</w:t>
            </w:r>
          </w:p>
          <w:p w:rsidR="00A25C46" w:rsidRDefault="00A25C46" w:rsidP="00CF5547">
            <w:pPr>
              <w:jc w:val="center"/>
            </w:pPr>
            <w:r>
              <w:t>(16%)</w:t>
            </w:r>
          </w:p>
        </w:tc>
      </w:tr>
      <w:tr w:rsidR="00A25C46" w:rsidTr="00CF5547">
        <w:trPr>
          <w:trHeight w:val="800"/>
        </w:trPr>
        <w:tc>
          <w:tcPr>
            <w:tcW w:w="4680" w:type="dxa"/>
          </w:tcPr>
          <w:p w:rsidR="00A25C46" w:rsidRDefault="00A25C46" w:rsidP="00CF5547">
            <w:pPr>
              <w:rPr>
                <w:b/>
              </w:rPr>
            </w:pPr>
            <w:r>
              <w:rPr>
                <w:b/>
              </w:rPr>
              <w:t>Number of susceptible members in compounds of index case-patients with PCR-confirmed influenza</w:t>
            </w:r>
          </w:p>
        </w:tc>
        <w:tc>
          <w:tcPr>
            <w:tcW w:w="1260" w:type="dxa"/>
          </w:tcPr>
          <w:p w:rsidR="00A25C46" w:rsidRDefault="00A25C46" w:rsidP="00CF5547">
            <w:pPr>
              <w:jc w:val="center"/>
            </w:pPr>
            <w:r>
              <w:t>177/1661</w:t>
            </w:r>
          </w:p>
          <w:p w:rsidR="00A25C46" w:rsidRDefault="00A25C46" w:rsidP="00CF5547">
            <w:pPr>
              <w:jc w:val="center"/>
            </w:pPr>
            <w:r>
              <w:t>(11%)</w:t>
            </w:r>
          </w:p>
        </w:tc>
        <w:tc>
          <w:tcPr>
            <w:tcW w:w="1440" w:type="dxa"/>
            <w:tcBorders>
              <w:right w:val="single" w:sz="12" w:space="0" w:color="auto"/>
            </w:tcBorders>
          </w:tcPr>
          <w:p w:rsidR="00A25C46" w:rsidRDefault="00A25C46" w:rsidP="00CF5547">
            <w:pPr>
              <w:jc w:val="center"/>
            </w:pPr>
            <w:r>
              <w:t>250/1498</w:t>
            </w:r>
          </w:p>
          <w:p w:rsidR="00A25C46" w:rsidRDefault="00A25C46" w:rsidP="00CF5547">
            <w:pPr>
              <w:jc w:val="center"/>
            </w:pPr>
            <w:r>
              <w:t>(17%)</w:t>
            </w:r>
          </w:p>
        </w:tc>
        <w:tc>
          <w:tcPr>
            <w:tcW w:w="1530" w:type="dxa"/>
            <w:tcBorders>
              <w:left w:val="single" w:sz="12" w:space="0" w:color="auto"/>
            </w:tcBorders>
          </w:tcPr>
          <w:p w:rsidR="00A25C46" w:rsidRDefault="00A25C46" w:rsidP="00CF5547">
            <w:pPr>
              <w:jc w:val="center"/>
            </w:pPr>
            <w:r>
              <w:t>15/179</w:t>
            </w:r>
          </w:p>
          <w:p w:rsidR="00A25C46" w:rsidRDefault="00A25C46" w:rsidP="00CF5547">
            <w:pPr>
              <w:jc w:val="center"/>
            </w:pPr>
            <w:r>
              <w:t>(8%)</w:t>
            </w:r>
          </w:p>
        </w:tc>
        <w:tc>
          <w:tcPr>
            <w:tcW w:w="1291" w:type="dxa"/>
            <w:tcBorders>
              <w:right w:val="single" w:sz="12" w:space="0" w:color="auto"/>
            </w:tcBorders>
          </w:tcPr>
          <w:p w:rsidR="00A25C46" w:rsidRDefault="00A25C46" w:rsidP="00CF5547">
            <w:pPr>
              <w:jc w:val="center"/>
            </w:pPr>
            <w:r>
              <w:t>39/176</w:t>
            </w:r>
          </w:p>
          <w:p w:rsidR="00A25C46" w:rsidRDefault="00A25C46" w:rsidP="00CF5547">
            <w:pPr>
              <w:jc w:val="center"/>
            </w:pPr>
            <w:r>
              <w:t>(22%)</w:t>
            </w:r>
          </w:p>
        </w:tc>
        <w:tc>
          <w:tcPr>
            <w:tcW w:w="1328" w:type="dxa"/>
            <w:tcBorders>
              <w:left w:val="single" w:sz="12" w:space="0" w:color="auto"/>
            </w:tcBorders>
          </w:tcPr>
          <w:p w:rsidR="00A25C46" w:rsidRDefault="00A25C46" w:rsidP="00CF5547">
            <w:pPr>
              <w:jc w:val="center"/>
            </w:pPr>
            <w:r>
              <w:t>77/548</w:t>
            </w:r>
          </w:p>
          <w:p w:rsidR="00A25C46" w:rsidRDefault="00A25C46" w:rsidP="00CF5547">
            <w:pPr>
              <w:jc w:val="center"/>
            </w:pPr>
            <w:r>
              <w:t>(14%)</w:t>
            </w:r>
          </w:p>
        </w:tc>
        <w:tc>
          <w:tcPr>
            <w:tcW w:w="1344" w:type="dxa"/>
            <w:tcBorders>
              <w:right w:val="single" w:sz="12" w:space="0" w:color="auto"/>
            </w:tcBorders>
          </w:tcPr>
          <w:p w:rsidR="00A25C46" w:rsidRDefault="00A25C46" w:rsidP="00CF5547">
            <w:pPr>
              <w:jc w:val="center"/>
            </w:pPr>
            <w:r>
              <w:t>105/432</w:t>
            </w:r>
          </w:p>
          <w:p w:rsidR="00A25C46" w:rsidRDefault="00A25C46" w:rsidP="00CF5547">
            <w:pPr>
              <w:jc w:val="center"/>
            </w:pPr>
            <w:r>
              <w:t>(24%)</w:t>
            </w:r>
          </w:p>
        </w:tc>
        <w:tc>
          <w:tcPr>
            <w:tcW w:w="1350" w:type="dxa"/>
            <w:tcBorders>
              <w:left w:val="single" w:sz="12" w:space="0" w:color="auto"/>
            </w:tcBorders>
          </w:tcPr>
          <w:p w:rsidR="00A25C46" w:rsidRDefault="00A25C46" w:rsidP="00CF5547">
            <w:pPr>
              <w:jc w:val="center"/>
            </w:pPr>
            <w:r>
              <w:t>85/934</w:t>
            </w:r>
          </w:p>
          <w:p w:rsidR="00A25C46" w:rsidRDefault="00A25C46" w:rsidP="00CF5547">
            <w:pPr>
              <w:jc w:val="center"/>
            </w:pPr>
            <w:r>
              <w:t>(9%)</w:t>
            </w:r>
          </w:p>
        </w:tc>
        <w:tc>
          <w:tcPr>
            <w:tcW w:w="1132" w:type="dxa"/>
          </w:tcPr>
          <w:p w:rsidR="00A25C46" w:rsidRDefault="00A25C46" w:rsidP="00CF5547">
            <w:pPr>
              <w:jc w:val="center"/>
            </w:pPr>
            <w:r>
              <w:t>106/890</w:t>
            </w:r>
          </w:p>
          <w:p w:rsidR="00A25C46" w:rsidRDefault="00A25C46" w:rsidP="00CF5547">
            <w:pPr>
              <w:jc w:val="center"/>
            </w:pPr>
            <w:r>
              <w:t>(12%)</w:t>
            </w:r>
          </w:p>
        </w:tc>
      </w:tr>
    </w:tbl>
    <w:p w:rsidR="00A25C46" w:rsidRPr="008F5502" w:rsidRDefault="00A25C46" w:rsidP="00A25C46">
      <w:pPr>
        <w:sectPr w:rsidR="00A25C46" w:rsidRPr="008F5502" w:rsidSect="002A2654">
          <w:pgSz w:w="15840" w:h="12240" w:orient="landscape"/>
          <w:pgMar w:top="720" w:right="720" w:bottom="720" w:left="720" w:header="720" w:footer="720" w:gutter="0"/>
          <w:cols w:space="720"/>
          <w:docGrid w:linePitch="360"/>
        </w:sectPr>
      </w:pPr>
      <w:r>
        <w:t xml:space="preserve">*excluded compounds that had travel time &gt; 2 hours (# 1009), the compound withdrew from the study (# 3119), index case-patient was not present for </w:t>
      </w:r>
      <w:r>
        <w:rPr>
          <w:u w:val="single"/>
        </w:rPr>
        <w:t>&gt;</w:t>
      </w:r>
      <w:r>
        <w:t xml:space="preserve"> 3 days (# 2124 – removed because </w:t>
      </w:r>
      <w:proofErr w:type="spellStart"/>
      <w:r>
        <w:t>hh</w:t>
      </w:r>
      <w:proofErr w:type="spellEnd"/>
      <w:r>
        <w:t xml:space="preserve"> members not susceptible if index case-patient not present), and one compound was found to have fever among a member of the index case-patient household (4020 - intervention)</w:t>
      </w:r>
    </w:p>
    <w:p w:rsidR="00A25C46" w:rsidRDefault="00A25C46" w:rsidP="00A25C46">
      <w:pPr>
        <w:pStyle w:val="Heading1"/>
      </w:pPr>
      <w:bookmarkStart w:id="3" w:name="_Toc365268078"/>
      <w:r>
        <w:lastRenderedPageBreak/>
        <w:t xml:space="preserve">Table S3. Secondary attack ratios of influenza-like illness, and influenza, among household compound members of index case-patients, by study phase and in total, </w:t>
      </w:r>
      <w:proofErr w:type="spellStart"/>
      <w:r>
        <w:t>Kishoregonj</w:t>
      </w:r>
      <w:proofErr w:type="spellEnd"/>
      <w:r>
        <w:t>, Bangladesh, 2009-2010</w:t>
      </w:r>
      <w:bookmarkEnd w:id="3"/>
      <w:r>
        <w:t xml:space="preserve"> </w:t>
      </w:r>
    </w:p>
    <w:p w:rsidR="00A25C46" w:rsidRDefault="00A25C46" w:rsidP="00A25C46"/>
    <w:tbl>
      <w:tblPr>
        <w:tblStyle w:val="TableGrid"/>
        <w:tblW w:w="11134" w:type="dxa"/>
        <w:tblInd w:w="-162" w:type="dxa"/>
        <w:tblLook w:val="04A0" w:firstRow="1" w:lastRow="0" w:firstColumn="1" w:lastColumn="0" w:noHBand="0" w:noVBand="1"/>
      </w:tblPr>
      <w:tblGrid>
        <w:gridCol w:w="2629"/>
        <w:gridCol w:w="1479"/>
        <w:gridCol w:w="27"/>
        <w:gridCol w:w="1204"/>
        <w:gridCol w:w="1650"/>
        <w:gridCol w:w="1305"/>
        <w:gridCol w:w="1594"/>
        <w:gridCol w:w="9"/>
        <w:gridCol w:w="1237"/>
      </w:tblGrid>
      <w:tr w:rsidR="00A25C46" w:rsidTr="00CF5547">
        <w:trPr>
          <w:trHeight w:val="433"/>
        </w:trPr>
        <w:tc>
          <w:tcPr>
            <w:tcW w:w="2629" w:type="dxa"/>
          </w:tcPr>
          <w:p w:rsidR="00A25C46" w:rsidRPr="00574E4A" w:rsidRDefault="00A25C46" w:rsidP="00CF5547">
            <w:pPr>
              <w:rPr>
                <w:b/>
              </w:rPr>
            </w:pPr>
            <w:r>
              <w:rPr>
                <w:b/>
              </w:rPr>
              <w:t>Model</w:t>
            </w:r>
          </w:p>
        </w:tc>
        <w:tc>
          <w:tcPr>
            <w:tcW w:w="2710" w:type="dxa"/>
            <w:gridSpan w:val="3"/>
          </w:tcPr>
          <w:p w:rsidR="00A25C46" w:rsidRDefault="00A25C46" w:rsidP="00CF5547">
            <w:r>
              <w:t>Phase 1</w:t>
            </w:r>
          </w:p>
        </w:tc>
        <w:tc>
          <w:tcPr>
            <w:tcW w:w="2955" w:type="dxa"/>
            <w:gridSpan w:val="2"/>
          </w:tcPr>
          <w:p w:rsidR="00A25C46" w:rsidRDefault="00A25C46" w:rsidP="00CF5547">
            <w:r>
              <w:t>Phase 2</w:t>
            </w:r>
          </w:p>
        </w:tc>
        <w:tc>
          <w:tcPr>
            <w:tcW w:w="2840" w:type="dxa"/>
            <w:gridSpan w:val="3"/>
          </w:tcPr>
          <w:p w:rsidR="00A25C46" w:rsidRDefault="00A25C46" w:rsidP="00CF5547">
            <w:r>
              <w:t>Phase 3</w:t>
            </w:r>
          </w:p>
        </w:tc>
      </w:tr>
      <w:tr w:rsidR="00A25C46" w:rsidTr="00CF5547">
        <w:trPr>
          <w:trHeight w:val="433"/>
        </w:trPr>
        <w:tc>
          <w:tcPr>
            <w:tcW w:w="2629" w:type="dxa"/>
            <w:shd w:val="clear" w:color="auto" w:fill="A6A6A6" w:themeFill="background1" w:themeFillShade="A6"/>
          </w:tcPr>
          <w:p w:rsidR="00A25C46" w:rsidRPr="00574E4A" w:rsidRDefault="00A25C46" w:rsidP="00CF5547">
            <w:pPr>
              <w:rPr>
                <w:b/>
              </w:rPr>
            </w:pPr>
            <w:r>
              <w:rPr>
                <w:b/>
              </w:rPr>
              <w:t>Secondary transmission of influenza-like illness</w:t>
            </w:r>
          </w:p>
        </w:tc>
        <w:tc>
          <w:tcPr>
            <w:tcW w:w="1506" w:type="dxa"/>
            <w:gridSpan w:val="2"/>
            <w:shd w:val="clear" w:color="auto" w:fill="A6A6A6" w:themeFill="background1" w:themeFillShade="A6"/>
          </w:tcPr>
          <w:p w:rsidR="00A25C46" w:rsidRDefault="00A25C46" w:rsidP="00CF5547">
            <w:pPr>
              <w:jc w:val="center"/>
            </w:pPr>
            <w:r>
              <w:t>Intervention</w:t>
            </w:r>
          </w:p>
        </w:tc>
        <w:tc>
          <w:tcPr>
            <w:tcW w:w="1204" w:type="dxa"/>
            <w:shd w:val="clear" w:color="auto" w:fill="A6A6A6" w:themeFill="background1" w:themeFillShade="A6"/>
          </w:tcPr>
          <w:p w:rsidR="00A25C46" w:rsidRDefault="00A25C46" w:rsidP="00CF5547">
            <w:pPr>
              <w:jc w:val="center"/>
            </w:pPr>
            <w:r>
              <w:t>Control</w:t>
            </w:r>
          </w:p>
        </w:tc>
        <w:tc>
          <w:tcPr>
            <w:tcW w:w="1650" w:type="dxa"/>
            <w:shd w:val="clear" w:color="auto" w:fill="A6A6A6" w:themeFill="background1" w:themeFillShade="A6"/>
          </w:tcPr>
          <w:p w:rsidR="00A25C46" w:rsidRDefault="00A25C46" w:rsidP="00CF5547">
            <w:pPr>
              <w:jc w:val="center"/>
            </w:pPr>
            <w:r>
              <w:t>Intervention</w:t>
            </w:r>
          </w:p>
        </w:tc>
        <w:tc>
          <w:tcPr>
            <w:tcW w:w="1305" w:type="dxa"/>
            <w:shd w:val="clear" w:color="auto" w:fill="A6A6A6" w:themeFill="background1" w:themeFillShade="A6"/>
          </w:tcPr>
          <w:p w:rsidR="00A25C46" w:rsidRDefault="00A25C46" w:rsidP="00CF5547">
            <w:pPr>
              <w:jc w:val="center"/>
            </w:pPr>
            <w:r>
              <w:t>Control</w:t>
            </w:r>
          </w:p>
        </w:tc>
        <w:tc>
          <w:tcPr>
            <w:tcW w:w="1603" w:type="dxa"/>
            <w:gridSpan w:val="2"/>
            <w:shd w:val="clear" w:color="auto" w:fill="A6A6A6" w:themeFill="background1" w:themeFillShade="A6"/>
          </w:tcPr>
          <w:p w:rsidR="00A25C46" w:rsidRDefault="00A25C46" w:rsidP="00CF5547">
            <w:pPr>
              <w:jc w:val="center"/>
            </w:pPr>
            <w:r>
              <w:t>Intervention</w:t>
            </w:r>
          </w:p>
        </w:tc>
        <w:tc>
          <w:tcPr>
            <w:tcW w:w="1237" w:type="dxa"/>
            <w:shd w:val="clear" w:color="auto" w:fill="A6A6A6" w:themeFill="background1" w:themeFillShade="A6"/>
          </w:tcPr>
          <w:p w:rsidR="00A25C46" w:rsidRDefault="00A25C46" w:rsidP="00CF5547">
            <w:pPr>
              <w:jc w:val="center"/>
            </w:pPr>
            <w:r>
              <w:t>Control</w:t>
            </w:r>
          </w:p>
        </w:tc>
      </w:tr>
      <w:tr w:rsidR="00A25C46" w:rsidTr="00CF5547">
        <w:trPr>
          <w:trHeight w:val="433"/>
        </w:trPr>
        <w:tc>
          <w:tcPr>
            <w:tcW w:w="2629" w:type="dxa"/>
          </w:tcPr>
          <w:p w:rsidR="00A25C46" w:rsidRDefault="00A25C46" w:rsidP="00CF5547">
            <w:pPr>
              <w:rPr>
                <w:b/>
              </w:rPr>
            </w:pPr>
            <w:r>
              <w:rPr>
                <w:b/>
              </w:rPr>
              <w:t>Index case-patients (N)</w:t>
            </w:r>
          </w:p>
        </w:tc>
        <w:tc>
          <w:tcPr>
            <w:tcW w:w="1506" w:type="dxa"/>
            <w:gridSpan w:val="2"/>
          </w:tcPr>
          <w:p w:rsidR="00A25C46" w:rsidRDefault="00A25C46" w:rsidP="00CF5547">
            <w:pPr>
              <w:jc w:val="center"/>
            </w:pPr>
            <w:r>
              <w:t>22</w:t>
            </w:r>
          </w:p>
        </w:tc>
        <w:tc>
          <w:tcPr>
            <w:tcW w:w="1204" w:type="dxa"/>
          </w:tcPr>
          <w:p w:rsidR="00A25C46" w:rsidRDefault="00A25C46" w:rsidP="00CF5547">
            <w:pPr>
              <w:jc w:val="center"/>
            </w:pPr>
            <w:r>
              <w:t>18</w:t>
            </w:r>
          </w:p>
        </w:tc>
        <w:tc>
          <w:tcPr>
            <w:tcW w:w="1650" w:type="dxa"/>
          </w:tcPr>
          <w:p w:rsidR="00A25C46" w:rsidRDefault="00A25C46" w:rsidP="00CF5547">
            <w:pPr>
              <w:jc w:val="center"/>
            </w:pPr>
            <w:r>
              <w:t>69</w:t>
            </w:r>
          </w:p>
        </w:tc>
        <w:tc>
          <w:tcPr>
            <w:tcW w:w="1305" w:type="dxa"/>
          </w:tcPr>
          <w:p w:rsidR="00A25C46" w:rsidRDefault="00A25C46" w:rsidP="00CF5547">
            <w:pPr>
              <w:jc w:val="center"/>
            </w:pPr>
            <w:r>
              <w:t>63</w:t>
            </w:r>
          </w:p>
        </w:tc>
        <w:tc>
          <w:tcPr>
            <w:tcW w:w="1594" w:type="dxa"/>
          </w:tcPr>
          <w:p w:rsidR="00A25C46" w:rsidRDefault="00A25C46" w:rsidP="00CF5547">
            <w:pPr>
              <w:jc w:val="center"/>
            </w:pPr>
            <w:r>
              <w:t>102</w:t>
            </w:r>
          </w:p>
        </w:tc>
        <w:tc>
          <w:tcPr>
            <w:tcW w:w="1246" w:type="dxa"/>
            <w:gridSpan w:val="2"/>
          </w:tcPr>
          <w:p w:rsidR="00A25C46" w:rsidRDefault="00A25C46" w:rsidP="00CF5547">
            <w:pPr>
              <w:jc w:val="center"/>
            </w:pPr>
            <w:r>
              <w:t>103</w:t>
            </w:r>
          </w:p>
        </w:tc>
      </w:tr>
      <w:tr w:rsidR="00A25C46" w:rsidTr="00CF5547">
        <w:trPr>
          <w:trHeight w:val="433"/>
        </w:trPr>
        <w:tc>
          <w:tcPr>
            <w:tcW w:w="2629" w:type="dxa"/>
          </w:tcPr>
          <w:p w:rsidR="00A25C46" w:rsidRDefault="00A25C46" w:rsidP="00CF5547">
            <w:pPr>
              <w:rPr>
                <w:b/>
              </w:rPr>
            </w:pPr>
            <w:r>
              <w:rPr>
                <w:b/>
              </w:rPr>
              <w:t>Susceptible household members (N)</w:t>
            </w:r>
          </w:p>
        </w:tc>
        <w:tc>
          <w:tcPr>
            <w:tcW w:w="1506" w:type="dxa"/>
            <w:gridSpan w:val="2"/>
          </w:tcPr>
          <w:p w:rsidR="00A25C46" w:rsidRDefault="00A25C46" w:rsidP="00CF5547">
            <w:pPr>
              <w:jc w:val="center"/>
            </w:pPr>
            <w:r>
              <w:t>179</w:t>
            </w:r>
          </w:p>
        </w:tc>
        <w:tc>
          <w:tcPr>
            <w:tcW w:w="1204" w:type="dxa"/>
          </w:tcPr>
          <w:p w:rsidR="00A25C46" w:rsidRDefault="00A25C46" w:rsidP="00CF5547">
            <w:pPr>
              <w:jc w:val="center"/>
            </w:pPr>
            <w:r>
              <w:t>176</w:t>
            </w:r>
          </w:p>
        </w:tc>
        <w:tc>
          <w:tcPr>
            <w:tcW w:w="1650" w:type="dxa"/>
          </w:tcPr>
          <w:p w:rsidR="00A25C46" w:rsidRDefault="00A25C46" w:rsidP="00CF5547">
            <w:pPr>
              <w:jc w:val="center"/>
            </w:pPr>
            <w:r>
              <w:t>548</w:t>
            </w:r>
          </w:p>
        </w:tc>
        <w:tc>
          <w:tcPr>
            <w:tcW w:w="1305" w:type="dxa"/>
          </w:tcPr>
          <w:p w:rsidR="00A25C46" w:rsidRDefault="00A25C46" w:rsidP="00CF5547">
            <w:pPr>
              <w:jc w:val="center"/>
            </w:pPr>
            <w:r>
              <w:t>432</w:t>
            </w:r>
          </w:p>
        </w:tc>
        <w:tc>
          <w:tcPr>
            <w:tcW w:w="1594" w:type="dxa"/>
          </w:tcPr>
          <w:p w:rsidR="00A25C46" w:rsidRDefault="00A25C46" w:rsidP="00CF5547">
            <w:pPr>
              <w:jc w:val="center"/>
            </w:pPr>
            <w:r>
              <w:t>934</w:t>
            </w:r>
          </w:p>
        </w:tc>
        <w:tc>
          <w:tcPr>
            <w:tcW w:w="1246" w:type="dxa"/>
            <w:gridSpan w:val="2"/>
          </w:tcPr>
          <w:p w:rsidR="00A25C46" w:rsidRDefault="00A25C46" w:rsidP="00CF5547">
            <w:pPr>
              <w:jc w:val="center"/>
            </w:pPr>
            <w:r>
              <w:t>890</w:t>
            </w:r>
          </w:p>
        </w:tc>
      </w:tr>
      <w:tr w:rsidR="00A25C46" w:rsidTr="00CF5547">
        <w:trPr>
          <w:trHeight w:val="433"/>
        </w:trPr>
        <w:tc>
          <w:tcPr>
            <w:tcW w:w="2629" w:type="dxa"/>
          </w:tcPr>
          <w:p w:rsidR="00A25C46" w:rsidRPr="00574E4A" w:rsidRDefault="00A25C46" w:rsidP="00CF5547">
            <w:pPr>
              <w:rPr>
                <w:b/>
              </w:rPr>
            </w:pPr>
            <w:r>
              <w:rPr>
                <w:b/>
              </w:rPr>
              <w:t xml:space="preserve">Secondary attack ratio </w:t>
            </w:r>
          </w:p>
        </w:tc>
        <w:tc>
          <w:tcPr>
            <w:tcW w:w="1506" w:type="dxa"/>
            <w:gridSpan w:val="2"/>
          </w:tcPr>
          <w:p w:rsidR="00A25C46" w:rsidRDefault="00A25C46" w:rsidP="00CF5547">
            <w:pPr>
              <w:jc w:val="center"/>
            </w:pPr>
            <w:r>
              <w:t>4/179 (2.2%)</w:t>
            </w:r>
          </w:p>
        </w:tc>
        <w:tc>
          <w:tcPr>
            <w:tcW w:w="1204" w:type="dxa"/>
          </w:tcPr>
          <w:p w:rsidR="00A25C46" w:rsidRDefault="00A25C46" w:rsidP="00CF5547">
            <w:pPr>
              <w:jc w:val="center"/>
            </w:pPr>
            <w:r>
              <w:t>6/176 (3.4%)</w:t>
            </w:r>
          </w:p>
        </w:tc>
        <w:tc>
          <w:tcPr>
            <w:tcW w:w="1650" w:type="dxa"/>
          </w:tcPr>
          <w:p w:rsidR="00A25C46" w:rsidRDefault="00A25C46" w:rsidP="00CF5547">
            <w:pPr>
              <w:jc w:val="center"/>
            </w:pPr>
            <w:r>
              <w:t>44/548 (8.0%)</w:t>
            </w:r>
          </w:p>
        </w:tc>
        <w:tc>
          <w:tcPr>
            <w:tcW w:w="1305" w:type="dxa"/>
          </w:tcPr>
          <w:p w:rsidR="00A25C46" w:rsidRDefault="00A25C46" w:rsidP="00CF5547">
            <w:pPr>
              <w:jc w:val="center"/>
            </w:pPr>
            <w:r>
              <w:t>25/432 (5.8%)</w:t>
            </w:r>
          </w:p>
        </w:tc>
        <w:tc>
          <w:tcPr>
            <w:tcW w:w="1594" w:type="dxa"/>
          </w:tcPr>
          <w:p w:rsidR="00A25C46" w:rsidRDefault="00A25C46" w:rsidP="00CF5547">
            <w:pPr>
              <w:jc w:val="center"/>
            </w:pPr>
            <w:r>
              <w:t>110/934 (11.8%)</w:t>
            </w:r>
          </w:p>
        </w:tc>
        <w:tc>
          <w:tcPr>
            <w:tcW w:w="1246" w:type="dxa"/>
            <w:gridSpan w:val="2"/>
          </w:tcPr>
          <w:p w:rsidR="00A25C46" w:rsidRDefault="00A25C46" w:rsidP="00CF5547">
            <w:pPr>
              <w:jc w:val="center"/>
            </w:pPr>
            <w:r>
              <w:t>84/890 (9.4%)</w:t>
            </w:r>
          </w:p>
        </w:tc>
      </w:tr>
      <w:tr w:rsidR="00A25C46" w:rsidTr="00CF5547">
        <w:trPr>
          <w:trHeight w:val="433"/>
        </w:trPr>
        <w:tc>
          <w:tcPr>
            <w:tcW w:w="2629" w:type="dxa"/>
          </w:tcPr>
          <w:p w:rsidR="00A25C46" w:rsidRPr="00574E4A" w:rsidRDefault="00A25C46" w:rsidP="00CF5547">
            <w:pPr>
              <w:rPr>
                <w:b/>
              </w:rPr>
            </w:pPr>
            <w:r>
              <w:rPr>
                <w:b/>
              </w:rPr>
              <w:t>SAR ratio (95% CI)**</w:t>
            </w:r>
          </w:p>
        </w:tc>
        <w:tc>
          <w:tcPr>
            <w:tcW w:w="2710" w:type="dxa"/>
            <w:gridSpan w:val="3"/>
          </w:tcPr>
          <w:p w:rsidR="00A25C46" w:rsidRDefault="00A25C46" w:rsidP="00CF5547">
            <w:pPr>
              <w:jc w:val="center"/>
            </w:pPr>
            <w:r>
              <w:t>0.66 (0.21 – 2.09)</w:t>
            </w:r>
          </w:p>
        </w:tc>
        <w:tc>
          <w:tcPr>
            <w:tcW w:w="2955" w:type="dxa"/>
            <w:gridSpan w:val="2"/>
          </w:tcPr>
          <w:p w:rsidR="00A25C46" w:rsidRDefault="00A25C46" w:rsidP="00CF5547">
            <w:pPr>
              <w:jc w:val="center"/>
            </w:pPr>
            <w:r>
              <w:t>1.39 (0.79 – 2.42)</w:t>
            </w:r>
          </w:p>
        </w:tc>
        <w:tc>
          <w:tcPr>
            <w:tcW w:w="2840" w:type="dxa"/>
            <w:gridSpan w:val="3"/>
          </w:tcPr>
          <w:p w:rsidR="00A25C46" w:rsidRDefault="00A25C46" w:rsidP="00CF5547">
            <w:pPr>
              <w:jc w:val="center"/>
            </w:pPr>
            <w:r>
              <w:t>1.25 (0.89 – 1.74)</w:t>
            </w:r>
          </w:p>
        </w:tc>
      </w:tr>
      <w:tr w:rsidR="00A25C46" w:rsidTr="00CF5547">
        <w:trPr>
          <w:trHeight w:val="433"/>
        </w:trPr>
        <w:tc>
          <w:tcPr>
            <w:tcW w:w="2629" w:type="dxa"/>
          </w:tcPr>
          <w:p w:rsidR="00A25C46" w:rsidRPr="00574E4A" w:rsidRDefault="00A25C46" w:rsidP="00CF5547">
            <w:pPr>
              <w:rPr>
                <w:b/>
              </w:rPr>
            </w:pPr>
            <w:r>
              <w:rPr>
                <w:b/>
              </w:rPr>
              <w:t>p-value**</w:t>
            </w:r>
          </w:p>
        </w:tc>
        <w:tc>
          <w:tcPr>
            <w:tcW w:w="2710" w:type="dxa"/>
            <w:gridSpan w:val="3"/>
          </w:tcPr>
          <w:p w:rsidR="00A25C46" w:rsidRDefault="00A25C46" w:rsidP="00CF5547">
            <w:pPr>
              <w:jc w:val="center"/>
            </w:pPr>
            <w:r>
              <w:t>.48</w:t>
            </w:r>
          </w:p>
        </w:tc>
        <w:tc>
          <w:tcPr>
            <w:tcW w:w="2955" w:type="dxa"/>
            <w:gridSpan w:val="2"/>
          </w:tcPr>
          <w:p w:rsidR="00A25C46" w:rsidRDefault="00A25C46" w:rsidP="00CF5547">
            <w:pPr>
              <w:jc w:val="center"/>
            </w:pPr>
            <w:r>
              <w:t>.25</w:t>
            </w:r>
          </w:p>
        </w:tc>
        <w:tc>
          <w:tcPr>
            <w:tcW w:w="2840" w:type="dxa"/>
            <w:gridSpan w:val="3"/>
          </w:tcPr>
          <w:p w:rsidR="00A25C46" w:rsidRDefault="00A25C46" w:rsidP="00CF5547">
            <w:pPr>
              <w:jc w:val="center"/>
            </w:pPr>
            <w:r>
              <w:t>.19</w:t>
            </w:r>
          </w:p>
        </w:tc>
      </w:tr>
      <w:tr w:rsidR="00A25C46" w:rsidTr="00CF5547">
        <w:trPr>
          <w:trHeight w:val="433"/>
        </w:trPr>
        <w:tc>
          <w:tcPr>
            <w:tcW w:w="2629" w:type="dxa"/>
            <w:shd w:val="clear" w:color="auto" w:fill="A6A6A6" w:themeFill="background1" w:themeFillShade="A6"/>
          </w:tcPr>
          <w:p w:rsidR="00A25C46" w:rsidRPr="00574E4A" w:rsidRDefault="00A25C46" w:rsidP="00CF5547">
            <w:pPr>
              <w:rPr>
                <w:b/>
              </w:rPr>
            </w:pPr>
            <w:r>
              <w:rPr>
                <w:b/>
              </w:rPr>
              <w:t>Secondary transmission of PCR-confirmed Influenza</w:t>
            </w:r>
          </w:p>
        </w:tc>
        <w:tc>
          <w:tcPr>
            <w:tcW w:w="1479" w:type="dxa"/>
            <w:shd w:val="clear" w:color="auto" w:fill="A6A6A6" w:themeFill="background1" w:themeFillShade="A6"/>
          </w:tcPr>
          <w:p w:rsidR="00A25C46" w:rsidRDefault="00A25C46" w:rsidP="00CF5547">
            <w:pPr>
              <w:jc w:val="center"/>
            </w:pPr>
            <w:r>
              <w:t>Intervention</w:t>
            </w:r>
          </w:p>
        </w:tc>
        <w:tc>
          <w:tcPr>
            <w:tcW w:w="1231" w:type="dxa"/>
            <w:gridSpan w:val="2"/>
            <w:shd w:val="clear" w:color="auto" w:fill="A6A6A6" w:themeFill="background1" w:themeFillShade="A6"/>
          </w:tcPr>
          <w:p w:rsidR="00A25C46" w:rsidRDefault="00A25C46" w:rsidP="00CF5547">
            <w:pPr>
              <w:jc w:val="center"/>
            </w:pPr>
            <w:r>
              <w:t>Control</w:t>
            </w:r>
          </w:p>
        </w:tc>
        <w:tc>
          <w:tcPr>
            <w:tcW w:w="1650" w:type="dxa"/>
            <w:shd w:val="clear" w:color="auto" w:fill="A6A6A6" w:themeFill="background1" w:themeFillShade="A6"/>
          </w:tcPr>
          <w:p w:rsidR="00A25C46" w:rsidRDefault="00A25C46" w:rsidP="00CF5547">
            <w:pPr>
              <w:jc w:val="center"/>
            </w:pPr>
            <w:r>
              <w:t>Intervention</w:t>
            </w:r>
          </w:p>
        </w:tc>
        <w:tc>
          <w:tcPr>
            <w:tcW w:w="1305" w:type="dxa"/>
            <w:shd w:val="clear" w:color="auto" w:fill="A6A6A6" w:themeFill="background1" w:themeFillShade="A6"/>
          </w:tcPr>
          <w:p w:rsidR="00A25C46" w:rsidRDefault="00A25C46" w:rsidP="00CF5547">
            <w:pPr>
              <w:jc w:val="center"/>
            </w:pPr>
            <w:r>
              <w:t>Control</w:t>
            </w:r>
          </w:p>
        </w:tc>
        <w:tc>
          <w:tcPr>
            <w:tcW w:w="1594" w:type="dxa"/>
            <w:shd w:val="clear" w:color="auto" w:fill="A6A6A6" w:themeFill="background1" w:themeFillShade="A6"/>
          </w:tcPr>
          <w:p w:rsidR="00A25C46" w:rsidRDefault="00A25C46" w:rsidP="00CF5547">
            <w:pPr>
              <w:jc w:val="center"/>
            </w:pPr>
            <w:r>
              <w:t>Intervention</w:t>
            </w:r>
          </w:p>
        </w:tc>
        <w:tc>
          <w:tcPr>
            <w:tcW w:w="1246" w:type="dxa"/>
            <w:gridSpan w:val="2"/>
            <w:shd w:val="clear" w:color="auto" w:fill="A6A6A6" w:themeFill="background1" w:themeFillShade="A6"/>
          </w:tcPr>
          <w:p w:rsidR="00A25C46" w:rsidRDefault="00A25C46" w:rsidP="00CF5547">
            <w:pPr>
              <w:jc w:val="center"/>
            </w:pPr>
            <w:r>
              <w:t>Control</w:t>
            </w:r>
          </w:p>
        </w:tc>
      </w:tr>
      <w:tr w:rsidR="00A25C46" w:rsidTr="00CF5547">
        <w:trPr>
          <w:trHeight w:val="433"/>
        </w:trPr>
        <w:tc>
          <w:tcPr>
            <w:tcW w:w="2629" w:type="dxa"/>
          </w:tcPr>
          <w:p w:rsidR="00A25C46" w:rsidRDefault="00A25C46" w:rsidP="00CF5547">
            <w:pPr>
              <w:rPr>
                <w:b/>
              </w:rPr>
            </w:pPr>
            <w:r>
              <w:rPr>
                <w:b/>
              </w:rPr>
              <w:t>Index case-patients (N) with PCR-confirmed influenza</w:t>
            </w:r>
          </w:p>
        </w:tc>
        <w:tc>
          <w:tcPr>
            <w:tcW w:w="1479" w:type="dxa"/>
          </w:tcPr>
          <w:p w:rsidR="00A25C46" w:rsidRDefault="00A25C46" w:rsidP="00CF5547">
            <w:pPr>
              <w:jc w:val="center"/>
            </w:pPr>
            <w:r>
              <w:t>2</w:t>
            </w:r>
          </w:p>
        </w:tc>
        <w:tc>
          <w:tcPr>
            <w:tcW w:w="1231" w:type="dxa"/>
            <w:gridSpan w:val="2"/>
          </w:tcPr>
          <w:p w:rsidR="00A25C46" w:rsidRDefault="00A25C46" w:rsidP="00CF5547">
            <w:pPr>
              <w:jc w:val="center"/>
            </w:pPr>
            <w:r>
              <w:t>3</w:t>
            </w:r>
          </w:p>
        </w:tc>
        <w:tc>
          <w:tcPr>
            <w:tcW w:w="1650" w:type="dxa"/>
          </w:tcPr>
          <w:p w:rsidR="00A25C46" w:rsidRDefault="00A25C46" w:rsidP="00CF5547">
            <w:pPr>
              <w:jc w:val="center"/>
            </w:pPr>
            <w:r>
              <w:t>11</w:t>
            </w:r>
          </w:p>
        </w:tc>
        <w:tc>
          <w:tcPr>
            <w:tcW w:w="1305" w:type="dxa"/>
          </w:tcPr>
          <w:p w:rsidR="00A25C46" w:rsidRDefault="00A25C46" w:rsidP="00CF5547">
            <w:pPr>
              <w:jc w:val="center"/>
            </w:pPr>
            <w:r>
              <w:t>17</w:t>
            </w:r>
          </w:p>
        </w:tc>
        <w:tc>
          <w:tcPr>
            <w:tcW w:w="1594" w:type="dxa"/>
          </w:tcPr>
          <w:p w:rsidR="00A25C46" w:rsidRDefault="00A25C46" w:rsidP="00CF5547">
            <w:pPr>
              <w:jc w:val="center"/>
            </w:pPr>
            <w:r>
              <w:t>11</w:t>
            </w:r>
          </w:p>
        </w:tc>
        <w:tc>
          <w:tcPr>
            <w:tcW w:w="1246" w:type="dxa"/>
            <w:gridSpan w:val="2"/>
          </w:tcPr>
          <w:p w:rsidR="00A25C46" w:rsidRDefault="00A25C46" w:rsidP="00CF5547">
            <w:pPr>
              <w:jc w:val="center"/>
            </w:pPr>
            <w:r>
              <w:t>16</w:t>
            </w:r>
          </w:p>
        </w:tc>
      </w:tr>
      <w:tr w:rsidR="00A25C46" w:rsidTr="00CF5547">
        <w:trPr>
          <w:trHeight w:val="433"/>
        </w:trPr>
        <w:tc>
          <w:tcPr>
            <w:tcW w:w="2629" w:type="dxa"/>
          </w:tcPr>
          <w:p w:rsidR="00A25C46" w:rsidRDefault="00A25C46" w:rsidP="00CF5547">
            <w:pPr>
              <w:rPr>
                <w:b/>
              </w:rPr>
            </w:pPr>
            <w:r>
              <w:rPr>
                <w:b/>
              </w:rPr>
              <w:t>Susceptible household members (N)</w:t>
            </w:r>
          </w:p>
        </w:tc>
        <w:tc>
          <w:tcPr>
            <w:tcW w:w="1479" w:type="dxa"/>
          </w:tcPr>
          <w:p w:rsidR="00A25C46" w:rsidRDefault="00A25C46" w:rsidP="00CF5547">
            <w:pPr>
              <w:jc w:val="center"/>
            </w:pPr>
            <w:r>
              <w:t>15</w:t>
            </w:r>
          </w:p>
        </w:tc>
        <w:tc>
          <w:tcPr>
            <w:tcW w:w="1231" w:type="dxa"/>
            <w:gridSpan w:val="2"/>
          </w:tcPr>
          <w:p w:rsidR="00A25C46" w:rsidRDefault="00A25C46" w:rsidP="00CF5547">
            <w:pPr>
              <w:jc w:val="center"/>
            </w:pPr>
            <w:r>
              <w:t>39</w:t>
            </w:r>
          </w:p>
        </w:tc>
        <w:tc>
          <w:tcPr>
            <w:tcW w:w="1650" w:type="dxa"/>
          </w:tcPr>
          <w:p w:rsidR="00A25C46" w:rsidRDefault="00A25C46" w:rsidP="00CF5547">
            <w:pPr>
              <w:jc w:val="center"/>
            </w:pPr>
            <w:r>
              <w:t>77</w:t>
            </w:r>
          </w:p>
        </w:tc>
        <w:tc>
          <w:tcPr>
            <w:tcW w:w="1305" w:type="dxa"/>
          </w:tcPr>
          <w:p w:rsidR="00A25C46" w:rsidRDefault="00A25C46" w:rsidP="00CF5547">
            <w:pPr>
              <w:jc w:val="center"/>
            </w:pPr>
            <w:r>
              <w:t>105</w:t>
            </w:r>
          </w:p>
        </w:tc>
        <w:tc>
          <w:tcPr>
            <w:tcW w:w="1594" w:type="dxa"/>
          </w:tcPr>
          <w:p w:rsidR="00A25C46" w:rsidRDefault="00A25C46" w:rsidP="00CF5547">
            <w:pPr>
              <w:jc w:val="center"/>
            </w:pPr>
            <w:r>
              <w:t>87</w:t>
            </w:r>
          </w:p>
        </w:tc>
        <w:tc>
          <w:tcPr>
            <w:tcW w:w="1246" w:type="dxa"/>
            <w:gridSpan w:val="2"/>
          </w:tcPr>
          <w:p w:rsidR="00A25C46" w:rsidRDefault="00A25C46" w:rsidP="00CF5547">
            <w:pPr>
              <w:jc w:val="center"/>
            </w:pPr>
            <w:r>
              <w:t>106</w:t>
            </w:r>
          </w:p>
        </w:tc>
      </w:tr>
      <w:tr w:rsidR="00A25C46" w:rsidTr="00CF5547">
        <w:trPr>
          <w:trHeight w:val="433"/>
        </w:trPr>
        <w:tc>
          <w:tcPr>
            <w:tcW w:w="2629" w:type="dxa"/>
          </w:tcPr>
          <w:p w:rsidR="00A25C46" w:rsidRPr="00574E4A" w:rsidRDefault="00A25C46" w:rsidP="00CF5547">
            <w:pPr>
              <w:rPr>
                <w:b/>
              </w:rPr>
            </w:pPr>
            <w:r>
              <w:rPr>
                <w:b/>
              </w:rPr>
              <w:t xml:space="preserve">Secondary attack ratio </w:t>
            </w:r>
          </w:p>
        </w:tc>
        <w:tc>
          <w:tcPr>
            <w:tcW w:w="1479" w:type="dxa"/>
          </w:tcPr>
          <w:p w:rsidR="00A25C46" w:rsidRDefault="00A25C46" w:rsidP="00CF5547">
            <w:pPr>
              <w:jc w:val="center"/>
            </w:pPr>
            <w:r>
              <w:t>0/15</w:t>
            </w:r>
          </w:p>
        </w:tc>
        <w:tc>
          <w:tcPr>
            <w:tcW w:w="1231" w:type="dxa"/>
            <w:gridSpan w:val="2"/>
          </w:tcPr>
          <w:p w:rsidR="00A25C46" w:rsidRDefault="00A25C46" w:rsidP="00CF5547">
            <w:pPr>
              <w:jc w:val="center"/>
            </w:pPr>
            <w:r>
              <w:t>0/39</w:t>
            </w:r>
          </w:p>
        </w:tc>
        <w:tc>
          <w:tcPr>
            <w:tcW w:w="1650" w:type="dxa"/>
          </w:tcPr>
          <w:p w:rsidR="00A25C46" w:rsidRDefault="00A25C46" w:rsidP="00CF5547">
            <w:pPr>
              <w:jc w:val="center"/>
            </w:pPr>
            <w:r>
              <w:t>6/77 (8%)</w:t>
            </w:r>
          </w:p>
        </w:tc>
        <w:tc>
          <w:tcPr>
            <w:tcW w:w="1305" w:type="dxa"/>
          </w:tcPr>
          <w:p w:rsidR="00A25C46" w:rsidRDefault="00A25C46" w:rsidP="00CF5547">
            <w:pPr>
              <w:jc w:val="center"/>
            </w:pPr>
            <w:r>
              <w:t>1/105 (1%)</w:t>
            </w:r>
          </w:p>
        </w:tc>
        <w:tc>
          <w:tcPr>
            <w:tcW w:w="1594" w:type="dxa"/>
          </w:tcPr>
          <w:p w:rsidR="00A25C46" w:rsidRDefault="00A25C46" w:rsidP="00CF5547">
            <w:pPr>
              <w:jc w:val="center"/>
            </w:pPr>
            <w:r>
              <w:t>11/85 (12.9%)</w:t>
            </w:r>
          </w:p>
        </w:tc>
        <w:tc>
          <w:tcPr>
            <w:tcW w:w="1246" w:type="dxa"/>
            <w:gridSpan w:val="2"/>
          </w:tcPr>
          <w:p w:rsidR="00A25C46" w:rsidRDefault="00A25C46" w:rsidP="00CF5547">
            <w:pPr>
              <w:jc w:val="center"/>
            </w:pPr>
            <w:r>
              <w:t>9/106 (8.5%)</w:t>
            </w:r>
          </w:p>
        </w:tc>
      </w:tr>
      <w:tr w:rsidR="00A25C46" w:rsidTr="00CF5547">
        <w:trPr>
          <w:trHeight w:val="433"/>
        </w:trPr>
        <w:tc>
          <w:tcPr>
            <w:tcW w:w="2629" w:type="dxa"/>
          </w:tcPr>
          <w:p w:rsidR="00A25C46" w:rsidRPr="00574E4A" w:rsidRDefault="00A25C46" w:rsidP="00CF5547">
            <w:pPr>
              <w:rPr>
                <w:b/>
              </w:rPr>
            </w:pPr>
            <w:r>
              <w:rPr>
                <w:b/>
              </w:rPr>
              <w:t>SAR ratio (95% CI)**</w:t>
            </w:r>
          </w:p>
        </w:tc>
        <w:tc>
          <w:tcPr>
            <w:tcW w:w="2710" w:type="dxa"/>
            <w:gridSpan w:val="3"/>
          </w:tcPr>
          <w:p w:rsidR="00A25C46" w:rsidRDefault="005C1848" w:rsidP="00CF5547">
            <w:pPr>
              <w:jc w:val="center"/>
            </w:pPr>
            <w:r>
              <w:t>U</w:t>
            </w:r>
            <w:r w:rsidR="00A25C46">
              <w:t>ndefined</w:t>
            </w:r>
          </w:p>
        </w:tc>
        <w:tc>
          <w:tcPr>
            <w:tcW w:w="2955" w:type="dxa"/>
            <w:gridSpan w:val="2"/>
          </w:tcPr>
          <w:p w:rsidR="00A25C46" w:rsidRDefault="00A25C46" w:rsidP="00CF5547">
            <w:pPr>
              <w:jc w:val="center"/>
            </w:pPr>
            <w:r>
              <w:t>8.33 (1.05 – 50.0)</w:t>
            </w:r>
          </w:p>
        </w:tc>
        <w:tc>
          <w:tcPr>
            <w:tcW w:w="2840" w:type="dxa"/>
            <w:gridSpan w:val="3"/>
          </w:tcPr>
          <w:p w:rsidR="00A25C46" w:rsidRDefault="00A25C46" w:rsidP="00CF5547">
            <w:pPr>
              <w:jc w:val="center"/>
            </w:pPr>
            <w:r>
              <w:t xml:space="preserve">1.49 (0.38 – 6.25) </w:t>
            </w:r>
          </w:p>
        </w:tc>
      </w:tr>
      <w:tr w:rsidR="00A25C46" w:rsidTr="00CF5547">
        <w:trPr>
          <w:trHeight w:val="433"/>
        </w:trPr>
        <w:tc>
          <w:tcPr>
            <w:tcW w:w="2629" w:type="dxa"/>
          </w:tcPr>
          <w:p w:rsidR="00A25C46" w:rsidRPr="00574E4A" w:rsidRDefault="00A25C46" w:rsidP="00CF5547">
            <w:pPr>
              <w:rPr>
                <w:b/>
              </w:rPr>
            </w:pPr>
            <w:r>
              <w:rPr>
                <w:b/>
              </w:rPr>
              <w:t>p-value**</w:t>
            </w:r>
          </w:p>
        </w:tc>
        <w:tc>
          <w:tcPr>
            <w:tcW w:w="2710" w:type="dxa"/>
            <w:gridSpan w:val="3"/>
          </w:tcPr>
          <w:p w:rsidR="00A25C46" w:rsidRDefault="005C1848" w:rsidP="00CF5547">
            <w:pPr>
              <w:jc w:val="center"/>
            </w:pPr>
            <w:r>
              <w:t>U</w:t>
            </w:r>
            <w:r w:rsidR="00A25C46">
              <w:t>ndefined</w:t>
            </w:r>
          </w:p>
        </w:tc>
        <w:tc>
          <w:tcPr>
            <w:tcW w:w="2955" w:type="dxa"/>
            <w:gridSpan w:val="2"/>
          </w:tcPr>
          <w:p w:rsidR="00A25C46" w:rsidRDefault="00A25C46" w:rsidP="00CF5547">
            <w:pPr>
              <w:jc w:val="center"/>
            </w:pPr>
            <w:r>
              <w:t>.04</w:t>
            </w:r>
          </w:p>
        </w:tc>
        <w:tc>
          <w:tcPr>
            <w:tcW w:w="2840" w:type="dxa"/>
            <w:gridSpan w:val="3"/>
          </w:tcPr>
          <w:p w:rsidR="00A25C46" w:rsidRDefault="00A25C46" w:rsidP="00CF5547">
            <w:pPr>
              <w:jc w:val="center"/>
            </w:pPr>
            <w:r>
              <w:t>.55</w:t>
            </w:r>
          </w:p>
        </w:tc>
      </w:tr>
    </w:tbl>
    <w:p w:rsidR="00A25C46" w:rsidRDefault="00A25C46" w:rsidP="00A25C46">
      <w:r>
        <w:t xml:space="preserve">* No illness in index case-patient household at the time of enrollment </w:t>
      </w:r>
      <w:proofErr w:type="gramStart"/>
      <w:r>
        <w:t>and  index</w:t>
      </w:r>
      <w:proofErr w:type="gramEnd"/>
      <w:r>
        <w:t xml:space="preserve"> case-patient illness onset within 48 hours</w:t>
      </w:r>
    </w:p>
    <w:p w:rsidR="00A25C46" w:rsidRDefault="00A25C46" w:rsidP="00A25C46">
      <w:r>
        <w:t xml:space="preserve">**Confidence intervals and P-values generated using log binomial regression model with generalized estimating equations to estimate significance of ratio of secondary attack ratios in treatment arms.  </w:t>
      </w:r>
    </w:p>
    <w:p w:rsidR="0054003F" w:rsidRDefault="0054003F" w:rsidP="00D96720"/>
    <w:sectPr w:rsidR="0054003F" w:rsidSect="006907C6">
      <w:pgSz w:w="15840" w:h="12240" w:orient="landscape"/>
      <w:pgMar w:top="-257"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54F" w:rsidRDefault="007A654F" w:rsidP="00B013F7">
      <w:pPr>
        <w:spacing w:after="0" w:line="240" w:lineRule="auto"/>
      </w:pPr>
      <w:r>
        <w:separator/>
      </w:r>
    </w:p>
  </w:endnote>
  <w:endnote w:type="continuationSeparator" w:id="0">
    <w:p w:rsidR="007A654F" w:rsidRDefault="007A654F" w:rsidP="00B013F7">
      <w:pPr>
        <w:spacing w:after="0" w:line="240" w:lineRule="auto"/>
      </w:pPr>
      <w:r>
        <w:continuationSeparator/>
      </w:r>
    </w:p>
  </w:endnote>
  <w:endnote w:type="continuationNotice" w:id="1">
    <w:p w:rsidR="007A654F" w:rsidRDefault="007A65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79377"/>
      <w:docPartObj>
        <w:docPartGallery w:val="Page Numbers (Bottom of Page)"/>
        <w:docPartUnique/>
      </w:docPartObj>
    </w:sdtPr>
    <w:sdtEndPr>
      <w:rPr>
        <w:noProof/>
      </w:rPr>
    </w:sdtEndPr>
    <w:sdtContent>
      <w:p w:rsidR="00DE200E" w:rsidRDefault="00DE200E">
        <w:pPr>
          <w:pStyle w:val="Footer"/>
          <w:jc w:val="right"/>
        </w:pPr>
        <w:r>
          <w:fldChar w:fldCharType="begin"/>
        </w:r>
        <w:r>
          <w:instrText xml:space="preserve"> PAGE   \* MERGEFORMAT </w:instrText>
        </w:r>
        <w:r>
          <w:fldChar w:fldCharType="separate"/>
        </w:r>
        <w:r w:rsidR="00151CD3">
          <w:rPr>
            <w:noProof/>
          </w:rPr>
          <w:t>5</w:t>
        </w:r>
        <w:r>
          <w:rPr>
            <w:noProof/>
          </w:rPr>
          <w:fldChar w:fldCharType="end"/>
        </w:r>
      </w:p>
    </w:sdtContent>
  </w:sdt>
  <w:p w:rsidR="00DE200E" w:rsidRDefault="00DE2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54F" w:rsidRDefault="007A654F" w:rsidP="00B013F7">
      <w:pPr>
        <w:spacing w:after="0" w:line="240" w:lineRule="auto"/>
      </w:pPr>
      <w:r>
        <w:separator/>
      </w:r>
    </w:p>
  </w:footnote>
  <w:footnote w:type="continuationSeparator" w:id="0">
    <w:p w:rsidR="007A654F" w:rsidRDefault="007A654F" w:rsidP="00B013F7">
      <w:pPr>
        <w:spacing w:after="0" w:line="240" w:lineRule="auto"/>
      </w:pPr>
      <w:r>
        <w:continuationSeparator/>
      </w:r>
    </w:p>
  </w:footnote>
  <w:footnote w:type="continuationNotice" w:id="1">
    <w:p w:rsidR="007A654F" w:rsidRDefault="007A654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00E" w:rsidRDefault="00DE200E" w:rsidP="00D84F43">
    <w:pPr>
      <w:pStyle w:val="Header"/>
    </w:pPr>
  </w:p>
  <w:p w:rsidR="00DE200E" w:rsidRDefault="00DE20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46D06"/>
    <w:multiLevelType w:val="hybridMultilevel"/>
    <w:tmpl w:val="7728DB4C"/>
    <w:lvl w:ilvl="0" w:tplc="0930F6F4">
      <w:start w:val="47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066E1D"/>
    <w:multiLevelType w:val="hybridMultilevel"/>
    <w:tmpl w:val="3500B7F2"/>
    <w:lvl w:ilvl="0" w:tplc="6A944E88">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19A5411-9330-4AA5-9504-69B9987E88C7}"/>
    <w:docVar w:name="dgnword-eventsink" w:val="181572064"/>
  </w:docVars>
  <w:rsids>
    <w:rsidRoot w:val="00574E4A"/>
    <w:rsid w:val="00000976"/>
    <w:rsid w:val="00000F29"/>
    <w:rsid w:val="00005C08"/>
    <w:rsid w:val="0001606B"/>
    <w:rsid w:val="00016E7C"/>
    <w:rsid w:val="000176D9"/>
    <w:rsid w:val="000203B6"/>
    <w:rsid w:val="000312A7"/>
    <w:rsid w:val="000337AA"/>
    <w:rsid w:val="000359FC"/>
    <w:rsid w:val="000400A2"/>
    <w:rsid w:val="00047073"/>
    <w:rsid w:val="00047D45"/>
    <w:rsid w:val="000649C4"/>
    <w:rsid w:val="00065E84"/>
    <w:rsid w:val="00066F76"/>
    <w:rsid w:val="00070608"/>
    <w:rsid w:val="000708A8"/>
    <w:rsid w:val="0007555F"/>
    <w:rsid w:val="00075988"/>
    <w:rsid w:val="000925D7"/>
    <w:rsid w:val="000C3359"/>
    <w:rsid w:val="000C4838"/>
    <w:rsid w:val="000E6DAE"/>
    <w:rsid w:val="000E7C45"/>
    <w:rsid w:val="000F0D09"/>
    <w:rsid w:val="000F1DF5"/>
    <w:rsid w:val="000F2336"/>
    <w:rsid w:val="000F4B11"/>
    <w:rsid w:val="000F6C5B"/>
    <w:rsid w:val="000F7A44"/>
    <w:rsid w:val="00106F0A"/>
    <w:rsid w:val="00113BC7"/>
    <w:rsid w:val="00114550"/>
    <w:rsid w:val="0012153A"/>
    <w:rsid w:val="00122125"/>
    <w:rsid w:val="00126CE8"/>
    <w:rsid w:val="00131BA0"/>
    <w:rsid w:val="001424E1"/>
    <w:rsid w:val="00143625"/>
    <w:rsid w:val="001472C2"/>
    <w:rsid w:val="00151CD3"/>
    <w:rsid w:val="00154DD5"/>
    <w:rsid w:val="0015690C"/>
    <w:rsid w:val="00165D6F"/>
    <w:rsid w:val="00172C77"/>
    <w:rsid w:val="0018251A"/>
    <w:rsid w:val="00187C6F"/>
    <w:rsid w:val="00193865"/>
    <w:rsid w:val="001940D7"/>
    <w:rsid w:val="001A3F84"/>
    <w:rsid w:val="001C36B3"/>
    <w:rsid w:val="001C389D"/>
    <w:rsid w:val="001C4F90"/>
    <w:rsid w:val="001E1A82"/>
    <w:rsid w:val="001E402A"/>
    <w:rsid w:val="001E6A56"/>
    <w:rsid w:val="001F2ACB"/>
    <w:rsid w:val="001F3B68"/>
    <w:rsid w:val="001F7778"/>
    <w:rsid w:val="0020324D"/>
    <w:rsid w:val="002162E1"/>
    <w:rsid w:val="00221187"/>
    <w:rsid w:val="002240CE"/>
    <w:rsid w:val="00225DDA"/>
    <w:rsid w:val="0023282C"/>
    <w:rsid w:val="00246183"/>
    <w:rsid w:val="00250C9E"/>
    <w:rsid w:val="00274E45"/>
    <w:rsid w:val="00276196"/>
    <w:rsid w:val="00280064"/>
    <w:rsid w:val="00294821"/>
    <w:rsid w:val="002A0608"/>
    <w:rsid w:val="002A2654"/>
    <w:rsid w:val="002A5FF1"/>
    <w:rsid w:val="002A7BC7"/>
    <w:rsid w:val="002B62CD"/>
    <w:rsid w:val="002C152D"/>
    <w:rsid w:val="002C2C36"/>
    <w:rsid w:val="002C3492"/>
    <w:rsid w:val="002D0A68"/>
    <w:rsid w:val="002E3381"/>
    <w:rsid w:val="002E4E22"/>
    <w:rsid w:val="002F1D70"/>
    <w:rsid w:val="003050ED"/>
    <w:rsid w:val="00312E18"/>
    <w:rsid w:val="00322F62"/>
    <w:rsid w:val="0032705B"/>
    <w:rsid w:val="00353E27"/>
    <w:rsid w:val="00357C93"/>
    <w:rsid w:val="003607F1"/>
    <w:rsid w:val="00366486"/>
    <w:rsid w:val="00376F14"/>
    <w:rsid w:val="00384F6F"/>
    <w:rsid w:val="003907A8"/>
    <w:rsid w:val="003A58E1"/>
    <w:rsid w:val="003B2278"/>
    <w:rsid w:val="003B49E4"/>
    <w:rsid w:val="003C1681"/>
    <w:rsid w:val="003C7227"/>
    <w:rsid w:val="003D42CC"/>
    <w:rsid w:val="003F2D07"/>
    <w:rsid w:val="00401970"/>
    <w:rsid w:val="00401D95"/>
    <w:rsid w:val="00411EE9"/>
    <w:rsid w:val="004124CC"/>
    <w:rsid w:val="00412A66"/>
    <w:rsid w:val="00413D19"/>
    <w:rsid w:val="00420FA4"/>
    <w:rsid w:val="004233A7"/>
    <w:rsid w:val="00423577"/>
    <w:rsid w:val="00430EEC"/>
    <w:rsid w:val="00435F62"/>
    <w:rsid w:val="004365E0"/>
    <w:rsid w:val="00442331"/>
    <w:rsid w:val="00456DE0"/>
    <w:rsid w:val="0047372B"/>
    <w:rsid w:val="00477C09"/>
    <w:rsid w:val="0048151A"/>
    <w:rsid w:val="00482E20"/>
    <w:rsid w:val="00490D50"/>
    <w:rsid w:val="00495B96"/>
    <w:rsid w:val="004A2D9C"/>
    <w:rsid w:val="004A3390"/>
    <w:rsid w:val="004A5476"/>
    <w:rsid w:val="004A6F2F"/>
    <w:rsid w:val="004B713B"/>
    <w:rsid w:val="004C5A73"/>
    <w:rsid w:val="004D1743"/>
    <w:rsid w:val="004D2850"/>
    <w:rsid w:val="004D2E6D"/>
    <w:rsid w:val="004D3C14"/>
    <w:rsid w:val="004D40CA"/>
    <w:rsid w:val="004E1B46"/>
    <w:rsid w:val="004E7637"/>
    <w:rsid w:val="004F7433"/>
    <w:rsid w:val="00500755"/>
    <w:rsid w:val="00502BF7"/>
    <w:rsid w:val="005041A1"/>
    <w:rsid w:val="00506337"/>
    <w:rsid w:val="005154FA"/>
    <w:rsid w:val="005158E9"/>
    <w:rsid w:val="005205EE"/>
    <w:rsid w:val="005219C3"/>
    <w:rsid w:val="00522128"/>
    <w:rsid w:val="00530071"/>
    <w:rsid w:val="00537421"/>
    <w:rsid w:val="0054003F"/>
    <w:rsid w:val="005472AA"/>
    <w:rsid w:val="005537E1"/>
    <w:rsid w:val="00553A04"/>
    <w:rsid w:val="0055474A"/>
    <w:rsid w:val="0055557A"/>
    <w:rsid w:val="00557441"/>
    <w:rsid w:val="005577AD"/>
    <w:rsid w:val="005738FC"/>
    <w:rsid w:val="005741EA"/>
    <w:rsid w:val="00574E4A"/>
    <w:rsid w:val="00577941"/>
    <w:rsid w:val="00583663"/>
    <w:rsid w:val="00583EE5"/>
    <w:rsid w:val="005906F7"/>
    <w:rsid w:val="00595878"/>
    <w:rsid w:val="005A242C"/>
    <w:rsid w:val="005A5B0A"/>
    <w:rsid w:val="005A6AC7"/>
    <w:rsid w:val="005B354F"/>
    <w:rsid w:val="005B54BB"/>
    <w:rsid w:val="005B7750"/>
    <w:rsid w:val="005C015B"/>
    <w:rsid w:val="005C1848"/>
    <w:rsid w:val="005C4FCB"/>
    <w:rsid w:val="005D00F8"/>
    <w:rsid w:val="005E08F1"/>
    <w:rsid w:val="005E2BAF"/>
    <w:rsid w:val="005F6E83"/>
    <w:rsid w:val="006032BC"/>
    <w:rsid w:val="00611E0F"/>
    <w:rsid w:val="00611F99"/>
    <w:rsid w:val="00620531"/>
    <w:rsid w:val="006205AC"/>
    <w:rsid w:val="00620FE1"/>
    <w:rsid w:val="0062222D"/>
    <w:rsid w:val="00631D19"/>
    <w:rsid w:val="006321CB"/>
    <w:rsid w:val="00637573"/>
    <w:rsid w:val="00645923"/>
    <w:rsid w:val="00647577"/>
    <w:rsid w:val="0065513B"/>
    <w:rsid w:val="00657FF1"/>
    <w:rsid w:val="00663BAA"/>
    <w:rsid w:val="006651C7"/>
    <w:rsid w:val="00666199"/>
    <w:rsid w:val="0066723E"/>
    <w:rsid w:val="00673C3B"/>
    <w:rsid w:val="00674468"/>
    <w:rsid w:val="006748E2"/>
    <w:rsid w:val="00675004"/>
    <w:rsid w:val="00683A0E"/>
    <w:rsid w:val="006907C6"/>
    <w:rsid w:val="00693B24"/>
    <w:rsid w:val="006A7288"/>
    <w:rsid w:val="006A7F8B"/>
    <w:rsid w:val="006B0694"/>
    <w:rsid w:val="006B39DE"/>
    <w:rsid w:val="006B6A72"/>
    <w:rsid w:val="006C165E"/>
    <w:rsid w:val="006C614D"/>
    <w:rsid w:val="006F7763"/>
    <w:rsid w:val="0071024C"/>
    <w:rsid w:val="00710C91"/>
    <w:rsid w:val="00710D55"/>
    <w:rsid w:val="00712C67"/>
    <w:rsid w:val="00713951"/>
    <w:rsid w:val="0072029C"/>
    <w:rsid w:val="00721501"/>
    <w:rsid w:val="007220DF"/>
    <w:rsid w:val="00722E09"/>
    <w:rsid w:val="00727E45"/>
    <w:rsid w:val="00732FF8"/>
    <w:rsid w:val="007346D4"/>
    <w:rsid w:val="00743F52"/>
    <w:rsid w:val="007547F3"/>
    <w:rsid w:val="007561A1"/>
    <w:rsid w:val="00781E22"/>
    <w:rsid w:val="00784CF5"/>
    <w:rsid w:val="007944F1"/>
    <w:rsid w:val="007A654F"/>
    <w:rsid w:val="007B3C82"/>
    <w:rsid w:val="007C47FB"/>
    <w:rsid w:val="007D0F62"/>
    <w:rsid w:val="007E2D82"/>
    <w:rsid w:val="007E2F05"/>
    <w:rsid w:val="007E405A"/>
    <w:rsid w:val="007F1CE6"/>
    <w:rsid w:val="008005CB"/>
    <w:rsid w:val="00806D9D"/>
    <w:rsid w:val="008204C3"/>
    <w:rsid w:val="00821956"/>
    <w:rsid w:val="0082246D"/>
    <w:rsid w:val="00823064"/>
    <w:rsid w:val="00836786"/>
    <w:rsid w:val="00837851"/>
    <w:rsid w:val="0084054F"/>
    <w:rsid w:val="00847A41"/>
    <w:rsid w:val="00862A3D"/>
    <w:rsid w:val="00873323"/>
    <w:rsid w:val="00873AEA"/>
    <w:rsid w:val="008767D5"/>
    <w:rsid w:val="00876F07"/>
    <w:rsid w:val="0088678B"/>
    <w:rsid w:val="008924E0"/>
    <w:rsid w:val="008949D4"/>
    <w:rsid w:val="00894D8D"/>
    <w:rsid w:val="00896EC9"/>
    <w:rsid w:val="00897D66"/>
    <w:rsid w:val="008B0544"/>
    <w:rsid w:val="008B1738"/>
    <w:rsid w:val="008B71CD"/>
    <w:rsid w:val="008B75F4"/>
    <w:rsid w:val="008B7BAD"/>
    <w:rsid w:val="008C4425"/>
    <w:rsid w:val="008C50BD"/>
    <w:rsid w:val="008D7229"/>
    <w:rsid w:val="008E39DD"/>
    <w:rsid w:val="008F41C7"/>
    <w:rsid w:val="008F493D"/>
    <w:rsid w:val="008F5502"/>
    <w:rsid w:val="008F5857"/>
    <w:rsid w:val="00901C9A"/>
    <w:rsid w:val="009045AE"/>
    <w:rsid w:val="00904F3B"/>
    <w:rsid w:val="00917361"/>
    <w:rsid w:val="00921586"/>
    <w:rsid w:val="00923890"/>
    <w:rsid w:val="009260F9"/>
    <w:rsid w:val="0093443D"/>
    <w:rsid w:val="00937DE6"/>
    <w:rsid w:val="00943399"/>
    <w:rsid w:val="009539B0"/>
    <w:rsid w:val="00954FA1"/>
    <w:rsid w:val="009574E0"/>
    <w:rsid w:val="00960135"/>
    <w:rsid w:val="00960476"/>
    <w:rsid w:val="0096074E"/>
    <w:rsid w:val="00961902"/>
    <w:rsid w:val="00972641"/>
    <w:rsid w:val="00982015"/>
    <w:rsid w:val="00995F03"/>
    <w:rsid w:val="009B2779"/>
    <w:rsid w:val="009B3051"/>
    <w:rsid w:val="009B5031"/>
    <w:rsid w:val="009B55EF"/>
    <w:rsid w:val="009C2C87"/>
    <w:rsid w:val="009C7150"/>
    <w:rsid w:val="009D7183"/>
    <w:rsid w:val="009E3C8C"/>
    <w:rsid w:val="009F1BE8"/>
    <w:rsid w:val="009F62D9"/>
    <w:rsid w:val="00A14DCA"/>
    <w:rsid w:val="00A219D3"/>
    <w:rsid w:val="00A229C5"/>
    <w:rsid w:val="00A2399F"/>
    <w:rsid w:val="00A23D47"/>
    <w:rsid w:val="00A25C46"/>
    <w:rsid w:val="00A26852"/>
    <w:rsid w:val="00A329BB"/>
    <w:rsid w:val="00A36966"/>
    <w:rsid w:val="00A4009F"/>
    <w:rsid w:val="00A465EE"/>
    <w:rsid w:val="00A50156"/>
    <w:rsid w:val="00A50B7C"/>
    <w:rsid w:val="00A532F3"/>
    <w:rsid w:val="00A80AB4"/>
    <w:rsid w:val="00A84892"/>
    <w:rsid w:val="00A90978"/>
    <w:rsid w:val="00A90AA4"/>
    <w:rsid w:val="00A92E28"/>
    <w:rsid w:val="00A936D0"/>
    <w:rsid w:val="00A93DED"/>
    <w:rsid w:val="00AA0DCC"/>
    <w:rsid w:val="00AA4777"/>
    <w:rsid w:val="00AC068F"/>
    <w:rsid w:val="00AC115B"/>
    <w:rsid w:val="00AC75F6"/>
    <w:rsid w:val="00AD04AC"/>
    <w:rsid w:val="00AD1982"/>
    <w:rsid w:val="00AE131A"/>
    <w:rsid w:val="00AE13B6"/>
    <w:rsid w:val="00AE154C"/>
    <w:rsid w:val="00AE1F8A"/>
    <w:rsid w:val="00AE2931"/>
    <w:rsid w:val="00AE54AE"/>
    <w:rsid w:val="00AF5381"/>
    <w:rsid w:val="00B013F7"/>
    <w:rsid w:val="00B0602F"/>
    <w:rsid w:val="00B14C71"/>
    <w:rsid w:val="00B14E0B"/>
    <w:rsid w:val="00B179E9"/>
    <w:rsid w:val="00B21B63"/>
    <w:rsid w:val="00B22F8B"/>
    <w:rsid w:val="00B22F91"/>
    <w:rsid w:val="00B23442"/>
    <w:rsid w:val="00B33985"/>
    <w:rsid w:val="00B40EB2"/>
    <w:rsid w:val="00B46C22"/>
    <w:rsid w:val="00B479F6"/>
    <w:rsid w:val="00B622A2"/>
    <w:rsid w:val="00B63C80"/>
    <w:rsid w:val="00B66391"/>
    <w:rsid w:val="00B805A4"/>
    <w:rsid w:val="00B813E4"/>
    <w:rsid w:val="00B872FB"/>
    <w:rsid w:val="00B9020C"/>
    <w:rsid w:val="00BA338B"/>
    <w:rsid w:val="00BA3EA3"/>
    <w:rsid w:val="00BA75E0"/>
    <w:rsid w:val="00BB20E5"/>
    <w:rsid w:val="00BB314F"/>
    <w:rsid w:val="00BB6F76"/>
    <w:rsid w:val="00BC0D69"/>
    <w:rsid w:val="00BD32E1"/>
    <w:rsid w:val="00BD6891"/>
    <w:rsid w:val="00BE386A"/>
    <w:rsid w:val="00C020AD"/>
    <w:rsid w:val="00C03ACB"/>
    <w:rsid w:val="00C055F7"/>
    <w:rsid w:val="00C05CAF"/>
    <w:rsid w:val="00C05D46"/>
    <w:rsid w:val="00C27E79"/>
    <w:rsid w:val="00C31F37"/>
    <w:rsid w:val="00C3780B"/>
    <w:rsid w:val="00C47B67"/>
    <w:rsid w:val="00C55841"/>
    <w:rsid w:val="00C66C5E"/>
    <w:rsid w:val="00C759BD"/>
    <w:rsid w:val="00C80F81"/>
    <w:rsid w:val="00C84FCA"/>
    <w:rsid w:val="00C86A33"/>
    <w:rsid w:val="00C87E19"/>
    <w:rsid w:val="00C959DB"/>
    <w:rsid w:val="00CA4033"/>
    <w:rsid w:val="00CB55CF"/>
    <w:rsid w:val="00CB62FB"/>
    <w:rsid w:val="00CB72D5"/>
    <w:rsid w:val="00CB78E4"/>
    <w:rsid w:val="00CB7F6D"/>
    <w:rsid w:val="00CC2BB9"/>
    <w:rsid w:val="00CC5215"/>
    <w:rsid w:val="00CC5E8E"/>
    <w:rsid w:val="00CD0175"/>
    <w:rsid w:val="00CD3C0D"/>
    <w:rsid w:val="00CE17DB"/>
    <w:rsid w:val="00CE6460"/>
    <w:rsid w:val="00CE78AE"/>
    <w:rsid w:val="00CF5547"/>
    <w:rsid w:val="00CF6784"/>
    <w:rsid w:val="00CF6CAD"/>
    <w:rsid w:val="00D01C69"/>
    <w:rsid w:val="00D05FB8"/>
    <w:rsid w:val="00D0639C"/>
    <w:rsid w:val="00D12CB7"/>
    <w:rsid w:val="00D165ED"/>
    <w:rsid w:val="00D20601"/>
    <w:rsid w:val="00D2256F"/>
    <w:rsid w:val="00D25E06"/>
    <w:rsid w:val="00D27AA7"/>
    <w:rsid w:val="00D303CE"/>
    <w:rsid w:val="00D350C1"/>
    <w:rsid w:val="00D43B2F"/>
    <w:rsid w:val="00D55A79"/>
    <w:rsid w:val="00D60FCA"/>
    <w:rsid w:val="00D65DFC"/>
    <w:rsid w:val="00D75112"/>
    <w:rsid w:val="00D77F03"/>
    <w:rsid w:val="00D84F43"/>
    <w:rsid w:val="00D92AEA"/>
    <w:rsid w:val="00D96720"/>
    <w:rsid w:val="00DA140A"/>
    <w:rsid w:val="00DB48F3"/>
    <w:rsid w:val="00DB5177"/>
    <w:rsid w:val="00DB523B"/>
    <w:rsid w:val="00DB6D65"/>
    <w:rsid w:val="00DC0295"/>
    <w:rsid w:val="00DC1A6B"/>
    <w:rsid w:val="00DD1CE7"/>
    <w:rsid w:val="00DE200E"/>
    <w:rsid w:val="00DF0C89"/>
    <w:rsid w:val="00E11C28"/>
    <w:rsid w:val="00E22BE0"/>
    <w:rsid w:val="00E26F60"/>
    <w:rsid w:val="00E330B9"/>
    <w:rsid w:val="00E50B3C"/>
    <w:rsid w:val="00E54585"/>
    <w:rsid w:val="00E619CE"/>
    <w:rsid w:val="00E70B26"/>
    <w:rsid w:val="00E747D4"/>
    <w:rsid w:val="00E8275A"/>
    <w:rsid w:val="00EA075D"/>
    <w:rsid w:val="00EC37A9"/>
    <w:rsid w:val="00EC4D30"/>
    <w:rsid w:val="00EC6F7C"/>
    <w:rsid w:val="00ED5E2B"/>
    <w:rsid w:val="00EF01F2"/>
    <w:rsid w:val="00EF6549"/>
    <w:rsid w:val="00F01B68"/>
    <w:rsid w:val="00F01FEA"/>
    <w:rsid w:val="00F03426"/>
    <w:rsid w:val="00F037DC"/>
    <w:rsid w:val="00F05055"/>
    <w:rsid w:val="00F14D7E"/>
    <w:rsid w:val="00F21ADB"/>
    <w:rsid w:val="00F23BF9"/>
    <w:rsid w:val="00F243C9"/>
    <w:rsid w:val="00F33CDA"/>
    <w:rsid w:val="00F3435D"/>
    <w:rsid w:val="00F4270A"/>
    <w:rsid w:val="00F43CED"/>
    <w:rsid w:val="00F456D3"/>
    <w:rsid w:val="00F4787D"/>
    <w:rsid w:val="00F500B4"/>
    <w:rsid w:val="00F51CFD"/>
    <w:rsid w:val="00F77E59"/>
    <w:rsid w:val="00F81AE1"/>
    <w:rsid w:val="00F83377"/>
    <w:rsid w:val="00F835A5"/>
    <w:rsid w:val="00F85D7E"/>
    <w:rsid w:val="00F94B68"/>
    <w:rsid w:val="00F9605A"/>
    <w:rsid w:val="00FA0C65"/>
    <w:rsid w:val="00FB53BB"/>
    <w:rsid w:val="00FC2278"/>
    <w:rsid w:val="00FE3FA4"/>
    <w:rsid w:val="00FE76FF"/>
    <w:rsid w:val="00FF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249E7-418B-4F99-9CD0-EEE9F209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4E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E4A"/>
    <w:rPr>
      <w:rFonts w:ascii="Tahoma" w:hAnsi="Tahoma" w:cs="Tahoma"/>
      <w:sz w:val="16"/>
      <w:szCs w:val="16"/>
    </w:rPr>
  </w:style>
  <w:style w:type="character" w:customStyle="1" w:styleId="Heading1Char">
    <w:name w:val="Heading 1 Char"/>
    <w:basedOn w:val="DefaultParagraphFont"/>
    <w:link w:val="Heading1"/>
    <w:uiPriority w:val="9"/>
    <w:rsid w:val="00574E4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74E4A"/>
    <w:pPr>
      <w:outlineLvl w:val="9"/>
    </w:pPr>
    <w:rPr>
      <w:lang w:eastAsia="ja-JP"/>
    </w:rPr>
  </w:style>
  <w:style w:type="table" w:styleId="TableGrid">
    <w:name w:val="Table Grid"/>
    <w:basedOn w:val="TableNormal"/>
    <w:uiPriority w:val="59"/>
    <w:rsid w:val="00574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E7637"/>
    <w:pPr>
      <w:spacing w:after="100"/>
    </w:pPr>
  </w:style>
  <w:style w:type="character" w:styleId="Hyperlink">
    <w:name w:val="Hyperlink"/>
    <w:basedOn w:val="DefaultParagraphFont"/>
    <w:uiPriority w:val="99"/>
    <w:unhideWhenUsed/>
    <w:rsid w:val="004E7637"/>
    <w:rPr>
      <w:color w:val="0000FF" w:themeColor="hyperlink"/>
      <w:u w:val="single"/>
    </w:rPr>
  </w:style>
  <w:style w:type="paragraph" w:styleId="Header">
    <w:name w:val="header"/>
    <w:basedOn w:val="Normal"/>
    <w:link w:val="HeaderChar"/>
    <w:uiPriority w:val="99"/>
    <w:unhideWhenUsed/>
    <w:rsid w:val="00B01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3F7"/>
  </w:style>
  <w:style w:type="paragraph" w:styleId="Footer">
    <w:name w:val="footer"/>
    <w:basedOn w:val="Normal"/>
    <w:link w:val="FooterChar"/>
    <w:uiPriority w:val="99"/>
    <w:unhideWhenUsed/>
    <w:rsid w:val="00B01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3F7"/>
  </w:style>
  <w:style w:type="character" w:styleId="CommentReference">
    <w:name w:val="annotation reference"/>
    <w:basedOn w:val="DefaultParagraphFont"/>
    <w:uiPriority w:val="99"/>
    <w:semiHidden/>
    <w:unhideWhenUsed/>
    <w:rsid w:val="00357C93"/>
    <w:rPr>
      <w:sz w:val="16"/>
      <w:szCs w:val="16"/>
    </w:rPr>
  </w:style>
  <w:style w:type="paragraph" w:styleId="CommentText">
    <w:name w:val="annotation text"/>
    <w:basedOn w:val="Normal"/>
    <w:link w:val="CommentTextChar"/>
    <w:uiPriority w:val="99"/>
    <w:semiHidden/>
    <w:unhideWhenUsed/>
    <w:rsid w:val="00357C93"/>
    <w:pPr>
      <w:spacing w:line="240" w:lineRule="auto"/>
    </w:pPr>
    <w:rPr>
      <w:sz w:val="20"/>
      <w:szCs w:val="20"/>
    </w:rPr>
  </w:style>
  <w:style w:type="character" w:customStyle="1" w:styleId="CommentTextChar">
    <w:name w:val="Comment Text Char"/>
    <w:basedOn w:val="DefaultParagraphFont"/>
    <w:link w:val="CommentText"/>
    <w:uiPriority w:val="99"/>
    <w:semiHidden/>
    <w:rsid w:val="00357C93"/>
    <w:rPr>
      <w:sz w:val="20"/>
      <w:szCs w:val="20"/>
    </w:rPr>
  </w:style>
  <w:style w:type="paragraph" w:styleId="CommentSubject">
    <w:name w:val="annotation subject"/>
    <w:basedOn w:val="CommentText"/>
    <w:next w:val="CommentText"/>
    <w:link w:val="CommentSubjectChar"/>
    <w:uiPriority w:val="99"/>
    <w:semiHidden/>
    <w:unhideWhenUsed/>
    <w:rsid w:val="00357C93"/>
    <w:rPr>
      <w:b/>
      <w:bCs/>
    </w:rPr>
  </w:style>
  <w:style w:type="character" w:customStyle="1" w:styleId="CommentSubjectChar">
    <w:name w:val="Comment Subject Char"/>
    <w:basedOn w:val="CommentTextChar"/>
    <w:link w:val="CommentSubject"/>
    <w:uiPriority w:val="99"/>
    <w:semiHidden/>
    <w:rsid w:val="00357C93"/>
    <w:rPr>
      <w:b/>
      <w:bCs/>
      <w:sz w:val="20"/>
      <w:szCs w:val="20"/>
    </w:rPr>
  </w:style>
  <w:style w:type="paragraph" w:styleId="Revision">
    <w:name w:val="Revision"/>
    <w:hidden/>
    <w:uiPriority w:val="99"/>
    <w:semiHidden/>
    <w:rsid w:val="00FF5305"/>
    <w:pPr>
      <w:spacing w:after="0" w:line="240" w:lineRule="auto"/>
    </w:pPr>
  </w:style>
  <w:style w:type="paragraph" w:styleId="ListParagraph">
    <w:name w:val="List Paragraph"/>
    <w:basedOn w:val="Normal"/>
    <w:uiPriority w:val="34"/>
    <w:qFormat/>
    <w:rsid w:val="00C020AD"/>
    <w:pPr>
      <w:ind w:left="720"/>
      <w:contextualSpacing/>
    </w:pPr>
  </w:style>
  <w:style w:type="paragraph" w:styleId="NormalWeb">
    <w:name w:val="Normal (Web)"/>
    <w:basedOn w:val="Normal"/>
    <w:uiPriority w:val="99"/>
    <w:semiHidden/>
    <w:unhideWhenUsed/>
    <w:rsid w:val="00710D5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8A7E2-A0B2-4615-915D-609EA1868574}">
  <ds:schemaRefs>
    <ds:schemaRef ds:uri="http://schemas.openxmlformats.org/officeDocument/2006/bibliography"/>
  </ds:schemaRefs>
</ds:datastoreItem>
</file>

<file path=customXml/itemProps2.xml><?xml version="1.0" encoding="utf-8"?>
<ds:datastoreItem xmlns:ds="http://schemas.openxmlformats.org/officeDocument/2006/customXml" ds:itemID="{9ABA5D00-55CD-41D3-9AEB-0723CA4E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SPHHP IT</Company>
  <LinksUpToDate>false</LinksUpToDate>
  <CharactersWithSpaces>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Pavani Ram</dc:creator>
  <cp:lastModifiedBy>Ram, Pavani</cp:lastModifiedBy>
  <cp:revision>4</cp:revision>
  <cp:lastPrinted>2012-11-09T19:43:00Z</cp:lastPrinted>
  <dcterms:created xsi:type="dcterms:W3CDTF">2015-02-03T13:27:00Z</dcterms:created>
  <dcterms:modified xsi:type="dcterms:W3CDTF">2015-02-03T13:55:00Z</dcterms:modified>
</cp:coreProperties>
</file>