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88FA" w14:textId="77777777" w:rsidR="00015F65" w:rsidRPr="00015F65" w:rsidRDefault="00015F65" w:rsidP="00015F65">
      <w:pPr>
        <w:spacing w:line="360" w:lineRule="auto"/>
        <w:rPr>
          <w:b/>
          <w:sz w:val="32"/>
        </w:rPr>
      </w:pPr>
      <w:r w:rsidRPr="00015F65">
        <w:rPr>
          <w:b/>
          <w:sz w:val="32"/>
        </w:rPr>
        <w:t>Supporting Information</w:t>
      </w:r>
    </w:p>
    <w:p w14:paraId="2320C3A7" w14:textId="77777777" w:rsidR="004332D1" w:rsidRDefault="004332D1" w:rsidP="00214DF8">
      <w:pPr>
        <w:spacing w:line="360" w:lineRule="auto"/>
      </w:pPr>
      <w:bookmarkStart w:id="0" w:name="_GoBack"/>
      <w:bookmarkEnd w:id="0"/>
    </w:p>
    <w:p w14:paraId="4E9D90C5" w14:textId="77777777" w:rsidR="001E0CC0" w:rsidRPr="001E0CC0" w:rsidRDefault="001E0CC0" w:rsidP="00214DF8">
      <w:pPr>
        <w:spacing w:line="360" w:lineRule="auto"/>
      </w:pPr>
    </w:p>
    <w:p w14:paraId="570C9C55" w14:textId="1AC5F454" w:rsidR="004332D1" w:rsidRDefault="00FE45BA" w:rsidP="00214DF8">
      <w:pPr>
        <w:spacing w:line="360" w:lineRule="auto"/>
        <w:rPr>
          <w:b/>
          <w:sz w:val="28"/>
        </w:rPr>
      </w:pPr>
      <w:r w:rsidRPr="00FE45BA">
        <w:rPr>
          <w:b/>
          <w:sz w:val="28"/>
        </w:rPr>
        <w:t>Long-distance dispersal via ocean currents connects reef fish populations throughout entire species range</w:t>
      </w:r>
    </w:p>
    <w:p w14:paraId="11C5DC43" w14:textId="77777777" w:rsidR="00FE45BA" w:rsidRPr="001E0CC0" w:rsidRDefault="00FE45BA" w:rsidP="00214DF8">
      <w:pPr>
        <w:spacing w:line="360" w:lineRule="auto"/>
      </w:pPr>
    </w:p>
    <w:p w14:paraId="19D64139" w14:textId="0560A56C" w:rsidR="004332D1" w:rsidRPr="001E0CC0" w:rsidRDefault="004332D1" w:rsidP="00214DF8">
      <w:pPr>
        <w:spacing w:line="360" w:lineRule="auto"/>
      </w:pPr>
      <w:r w:rsidRPr="001E0CC0">
        <w:t>Stephen D. Simpson, Hugo B. Harrison, Michel R. Claereboudt, Serge Planes</w:t>
      </w:r>
    </w:p>
    <w:p w14:paraId="4B90E11A" w14:textId="77777777" w:rsidR="004332D1" w:rsidRDefault="004332D1" w:rsidP="00214DF8">
      <w:pPr>
        <w:spacing w:line="360" w:lineRule="auto"/>
      </w:pPr>
    </w:p>
    <w:p w14:paraId="025FEFD1" w14:textId="77777777" w:rsidR="001E0CC0" w:rsidRPr="001E0CC0" w:rsidRDefault="001E0CC0" w:rsidP="00214DF8">
      <w:pPr>
        <w:spacing w:line="360" w:lineRule="auto"/>
      </w:pPr>
    </w:p>
    <w:p w14:paraId="172E0524" w14:textId="77777777" w:rsidR="001E3336" w:rsidRPr="001E0CC0" w:rsidRDefault="001E3336" w:rsidP="00214DF8">
      <w:pPr>
        <w:spacing w:line="360" w:lineRule="auto"/>
        <w:rPr>
          <w:b/>
          <w:iCs/>
        </w:rPr>
      </w:pPr>
      <w:r w:rsidRPr="001E0CC0">
        <w:rPr>
          <w:b/>
          <w:iCs/>
        </w:rPr>
        <w:t>Physically-coupled individual-based Lagrangian stochastic dispersal model</w:t>
      </w:r>
    </w:p>
    <w:p w14:paraId="5B87FB89" w14:textId="5041D6DA" w:rsidR="001E3336" w:rsidRPr="001E0CC0" w:rsidRDefault="001E0CC0" w:rsidP="00214DF8">
      <w:pPr>
        <w:spacing w:line="360" w:lineRule="auto"/>
      </w:pPr>
      <w:r>
        <w:rPr>
          <w:b/>
          <w:i/>
        </w:rPr>
        <w:t xml:space="preserve">a) </w:t>
      </w:r>
      <w:r w:rsidR="001E3336" w:rsidRPr="001E0CC0">
        <w:rPr>
          <w:b/>
          <w:i/>
        </w:rPr>
        <w:t>Study region</w:t>
      </w:r>
      <w:r w:rsidR="001E3336" w:rsidRPr="001E0CC0">
        <w:rPr>
          <w:b/>
        </w:rPr>
        <w:t>:</w:t>
      </w:r>
      <w:r w:rsidR="001E3336" w:rsidRPr="001E0CC0">
        <w:t xml:space="preserve"> The model was developed for</w:t>
      </w:r>
      <w:r w:rsidR="001E3336" w:rsidRPr="001E0CC0" w:rsidDel="005D0F68">
        <w:t xml:space="preserve"> </w:t>
      </w:r>
      <w:r w:rsidR="001E3336" w:rsidRPr="001E0CC0">
        <w:t xml:space="preserve">the Northern Arabian Sea and the Sea </w:t>
      </w:r>
      <w:r w:rsidR="00DA2E00">
        <w:t>of Oman (15-26ºN 51-65ºE, Fig. 2</w:t>
      </w:r>
      <w:r w:rsidR="001E3336" w:rsidRPr="001E0CC0">
        <w:t xml:space="preserve">). Geologically, the northern Arabian Sea forms a relatively deep basin partially isolated from the Indian Ocean by rising chains of seamounts. The shelf is relatively narrow throughout most of the region with the exception of the north and west of the Sea of Oman. The oceanography of the region is dominated by a seasonal switch </w:t>
      </w:r>
      <w:r w:rsidR="001E3336" w:rsidRPr="001E0CC0" w:rsidDel="000B5BA0">
        <w:t>between</w:t>
      </w:r>
      <w:r w:rsidR="001E3336" w:rsidRPr="001E0CC0">
        <w:t xml:space="preserve"> a northeasterly coastal current (the Finlatter Jet) driven by the SW summer monsoon (the Khareef, from April-September), which generates a coastal upwelling along the Arabian Sea coast of Oman, </w:t>
      </w:r>
      <w:r w:rsidR="001E3336" w:rsidRPr="001E0CC0" w:rsidDel="00DB6194">
        <w:t>and</w:t>
      </w:r>
      <w:r w:rsidR="001E3336" w:rsidRPr="001E0CC0">
        <w:t xml:space="preserve"> a southwesterly </w:t>
      </w:r>
      <w:r w:rsidR="001E3336" w:rsidRPr="001E0CC0" w:rsidDel="00DB6194">
        <w:t>current</w:t>
      </w:r>
      <w:r w:rsidR="001E3336" w:rsidRPr="001E0CC0">
        <w:t xml:space="preserve"> driven by the NE winds during the winter monsoon (November to March)</w:t>
      </w:r>
      <w:r w:rsidR="000D4591" w:rsidRPr="001E0CC0">
        <w:t xml:space="preserve"> [51]</w:t>
      </w:r>
      <w:r w:rsidR="001E3336" w:rsidRPr="001E0CC0">
        <w:t xml:space="preserve">. This general circulation pattern is altered by numerous meso-scale eddies, some persisting over long periods of time </w:t>
      </w:r>
      <w:r w:rsidR="000D4591" w:rsidRPr="001E0CC0">
        <w:t>[52]</w:t>
      </w:r>
      <w:r w:rsidR="001E3336" w:rsidRPr="001E0CC0">
        <w:t xml:space="preserve"> with potentially long-term ecological consequences. It was thus important to encompass this variability in the model through (a) a protracted 8 week period covering the </w:t>
      </w:r>
      <w:r w:rsidR="001E3336" w:rsidRPr="001E0CC0">
        <w:rPr>
          <w:i/>
        </w:rPr>
        <w:t>A. omanensis</w:t>
      </w:r>
      <w:r w:rsidR="001E3336" w:rsidRPr="001E0CC0">
        <w:t xml:space="preserve"> spawning season (December-January) and (b) a series of replicate spawning events over 3 consecutive winters</w:t>
      </w:r>
      <w:r w:rsidR="001E3336" w:rsidRPr="001E0CC0" w:rsidDel="00A634E2">
        <w:t xml:space="preserve">. </w:t>
      </w:r>
      <w:r w:rsidR="001E3336" w:rsidRPr="001E0CC0">
        <w:t xml:space="preserve">Although actual spawning has not been reported in </w:t>
      </w:r>
      <w:r w:rsidR="001E3336" w:rsidRPr="001E0CC0">
        <w:rPr>
          <w:i/>
        </w:rPr>
        <w:t>A. omanensis</w:t>
      </w:r>
      <w:r w:rsidR="001E3336" w:rsidRPr="001E0CC0">
        <w:t>, the observations of adults guarding eggs in early January and the presence of newly settled recruits in January and young juveniles in May combine to indicate a reproductive season within the period of simulated dispersal.</w:t>
      </w:r>
    </w:p>
    <w:p w14:paraId="73EE091F" w14:textId="77777777" w:rsidR="004332D1" w:rsidRPr="001E0CC0" w:rsidRDefault="004332D1" w:rsidP="001E3336">
      <w:pPr>
        <w:spacing w:line="360" w:lineRule="auto"/>
        <w:rPr>
          <w:b/>
          <w:i/>
        </w:rPr>
      </w:pPr>
    </w:p>
    <w:p w14:paraId="0DE0EC0A" w14:textId="69D732C2" w:rsidR="004332D1" w:rsidRPr="001E0CC0" w:rsidRDefault="00214DF8" w:rsidP="001E3336">
      <w:pPr>
        <w:spacing w:line="360" w:lineRule="auto"/>
      </w:pPr>
      <w:r>
        <w:rPr>
          <w:b/>
          <w:i/>
        </w:rPr>
        <w:t>b</w:t>
      </w:r>
      <w:r w:rsidR="001E0CC0">
        <w:rPr>
          <w:b/>
          <w:i/>
        </w:rPr>
        <w:t xml:space="preserve">) </w:t>
      </w:r>
      <w:r w:rsidR="004332D1" w:rsidRPr="001E0CC0">
        <w:rPr>
          <w:b/>
          <w:i/>
        </w:rPr>
        <w:t>Larval dispersal:</w:t>
      </w:r>
      <w:r w:rsidR="004332D1" w:rsidRPr="001E0CC0">
        <w:rPr>
          <w:i/>
        </w:rPr>
        <w:t xml:space="preserve"> </w:t>
      </w:r>
      <w:r w:rsidR="004332D1" w:rsidRPr="001E0CC0">
        <w:t xml:space="preserve">To evaluate the extent to which larvae disperse under realistic oceanographic conditions we developed a particle-tracking dispersal model (Lagrangian stochastic model, LSM) with 2-hour time steps forced using 1/8º NCOM daily surface current </w:t>
      </w:r>
      <w:r w:rsidR="004332D1" w:rsidRPr="001E0CC0">
        <w:lastRenderedPageBreak/>
        <w:t>circulation data obtained from the US Naval Research Laboratory (</w:t>
      </w:r>
      <w:r w:rsidR="000D4591" w:rsidRPr="00900C27">
        <w:t>http://www7320.nrlssc.navy.mil/global_ncom/nind.html</w:t>
      </w:r>
      <w:r w:rsidR="004332D1" w:rsidRPr="001E0CC0">
        <w:t>)</w:t>
      </w:r>
      <w:r w:rsidR="000D4591" w:rsidRPr="001E0CC0">
        <w:t xml:space="preserve"> [5</w:t>
      </w:r>
      <w:r w:rsidR="000C2482" w:rsidRPr="001E0CC0">
        <w:t>3</w:t>
      </w:r>
      <w:r w:rsidR="000D4591" w:rsidRPr="001E0CC0">
        <w:t>]</w:t>
      </w:r>
      <w:proofErr w:type="gramStart"/>
      <w:r w:rsidR="004332D1" w:rsidRPr="001E0CC0">
        <w:t>.</w:t>
      </w:r>
      <w:proofErr w:type="gramEnd"/>
    </w:p>
    <w:p w14:paraId="03913004" w14:textId="77777777" w:rsidR="000D4591" w:rsidRPr="001E0CC0" w:rsidRDefault="000D4591" w:rsidP="001E3336">
      <w:pPr>
        <w:spacing w:line="360" w:lineRule="auto"/>
      </w:pPr>
    </w:p>
    <w:p w14:paraId="08CC0631" w14:textId="77777777" w:rsidR="004332D1" w:rsidRPr="001E0CC0" w:rsidRDefault="004332D1" w:rsidP="001E3336">
      <w:pPr>
        <w:spacing w:line="360" w:lineRule="auto"/>
      </w:pPr>
      <w:r w:rsidRPr="001E0CC0">
        <w:t>Individual particle (larvae) velocity was calculated for each day as:</w:t>
      </w:r>
    </w:p>
    <w:p w14:paraId="16162F04" w14:textId="77777777" w:rsidR="004332D1" w:rsidRPr="001E0CC0" w:rsidRDefault="004332D1" w:rsidP="001E3336">
      <w:pPr>
        <w:spacing w:line="360" w:lineRule="auto"/>
        <w:ind w:firstLine="720"/>
      </w:pPr>
      <w:r w:rsidRPr="001E0CC0">
        <w:rPr>
          <w:i/>
        </w:rPr>
        <w:t>u</w:t>
      </w:r>
      <w:r w:rsidRPr="001E0CC0">
        <w:rPr>
          <w:i/>
          <w:vertAlign w:val="subscript"/>
        </w:rPr>
        <w:t>p</w:t>
      </w:r>
      <w:r w:rsidRPr="001E0CC0">
        <w:t xml:space="preserve"> = </w:t>
      </w:r>
      <w:r w:rsidRPr="001E0CC0">
        <w:rPr>
          <w:i/>
        </w:rPr>
        <w:t>U</w:t>
      </w:r>
      <w:r w:rsidRPr="001E0CC0">
        <w:rPr>
          <w:i/>
          <w:vertAlign w:val="subscript"/>
        </w:rPr>
        <w:t>a</w:t>
      </w:r>
      <w:r w:rsidRPr="001E0CC0">
        <w:t>(</w:t>
      </w:r>
      <w:r w:rsidRPr="001E0CC0">
        <w:rPr>
          <w:i/>
        </w:rPr>
        <w:t>x</w:t>
      </w:r>
      <w:r w:rsidRPr="001E0CC0">
        <w:t xml:space="preserve">, </w:t>
      </w:r>
      <w:r w:rsidRPr="001E0CC0">
        <w:rPr>
          <w:i/>
        </w:rPr>
        <w:t>y</w:t>
      </w:r>
      <w:r w:rsidRPr="001E0CC0">
        <w:t xml:space="preserve">) + </w:t>
      </w:r>
      <w:r w:rsidRPr="001E0CC0">
        <w:rPr>
          <w:i/>
        </w:rPr>
        <w:t>u</w:t>
      </w:r>
      <w:r w:rsidRPr="001E0CC0">
        <w:rPr>
          <w:i/>
          <w:vertAlign w:val="subscript"/>
        </w:rPr>
        <w:t>r</w:t>
      </w:r>
      <w:r w:rsidRPr="001E0CC0">
        <w:t>(</w:t>
      </w:r>
      <w:r w:rsidRPr="001E0CC0">
        <w:rPr>
          <w:i/>
        </w:rPr>
        <w:t>x</w:t>
      </w:r>
      <w:r w:rsidRPr="001E0CC0">
        <w:t xml:space="preserve">, </w:t>
      </w:r>
      <w:r w:rsidRPr="001E0CC0">
        <w:rPr>
          <w:i/>
        </w:rPr>
        <w:t>y</w:t>
      </w:r>
      <w:r w:rsidRPr="001E0CC0">
        <w:t>)</w:t>
      </w:r>
    </w:p>
    <w:p w14:paraId="6C165C2E" w14:textId="77777777" w:rsidR="004332D1" w:rsidRPr="001E0CC0" w:rsidRDefault="004332D1" w:rsidP="001E3336">
      <w:pPr>
        <w:spacing w:line="360" w:lineRule="auto"/>
      </w:pPr>
      <w:r w:rsidRPr="001E0CC0">
        <w:t xml:space="preserve">where </w:t>
      </w:r>
      <w:r w:rsidRPr="001E0CC0">
        <w:rPr>
          <w:i/>
        </w:rPr>
        <w:t>U</w:t>
      </w:r>
      <w:r w:rsidRPr="001E0CC0">
        <w:rPr>
          <w:i/>
          <w:vertAlign w:val="subscript"/>
        </w:rPr>
        <w:t>a</w:t>
      </w:r>
      <w:r w:rsidRPr="001E0CC0">
        <w:rPr>
          <w:vertAlign w:val="subscript"/>
        </w:rPr>
        <w:t xml:space="preserve"> </w:t>
      </w:r>
      <w:r w:rsidRPr="001E0CC0">
        <w:t xml:space="preserve">is the NCOM horizontal ocean surface velocity and </w:t>
      </w:r>
      <w:r w:rsidRPr="001E0CC0">
        <w:rPr>
          <w:i/>
        </w:rPr>
        <w:t>u</w:t>
      </w:r>
      <w:r w:rsidRPr="001E0CC0">
        <w:rPr>
          <w:i/>
          <w:vertAlign w:val="subscript"/>
        </w:rPr>
        <w:t>r</w:t>
      </w:r>
      <w:r w:rsidRPr="001E0CC0">
        <w:t xml:space="preserve"> is a random component added to the horizontal velocity vector using:</w:t>
      </w:r>
    </w:p>
    <w:p w14:paraId="30DB459A" w14:textId="77777777" w:rsidR="004332D1" w:rsidRPr="001E0CC0" w:rsidRDefault="004332D1" w:rsidP="001E3336">
      <w:pPr>
        <w:spacing w:line="360" w:lineRule="auto"/>
        <w:ind w:firstLine="720"/>
        <w:rPr>
          <w:vertAlign w:val="superscript"/>
        </w:rPr>
      </w:pPr>
      <w:r w:rsidRPr="001E0CC0">
        <w:rPr>
          <w:i/>
        </w:rPr>
        <w:t>u</w:t>
      </w:r>
      <w:r w:rsidRPr="001E0CC0">
        <w:rPr>
          <w:i/>
          <w:vertAlign w:val="subscript"/>
        </w:rPr>
        <w:t>r</w:t>
      </w:r>
      <w:r w:rsidRPr="001E0CC0">
        <w:t xml:space="preserve"> = </w:t>
      </w:r>
      <w:r w:rsidRPr="001E0CC0">
        <w:rPr>
          <w:i/>
        </w:rPr>
        <w:t>R</w:t>
      </w:r>
      <w:r w:rsidRPr="001E0CC0">
        <w:t>(2</w:t>
      </w:r>
      <w:r w:rsidRPr="001E0CC0">
        <w:rPr>
          <w:i/>
        </w:rPr>
        <w:t>K</w:t>
      </w:r>
      <w:r w:rsidRPr="001E0CC0">
        <w:rPr>
          <w:i/>
          <w:vertAlign w:val="subscript"/>
        </w:rPr>
        <w:t>h</w:t>
      </w:r>
      <w:r w:rsidRPr="001E0CC0">
        <w:t>/</w:t>
      </w:r>
      <w:r w:rsidRPr="001E0CC0">
        <w:sym w:font="Symbol" w:char="F044"/>
      </w:r>
      <w:r w:rsidRPr="001E0CC0">
        <w:rPr>
          <w:i/>
        </w:rPr>
        <w:t>t</w:t>
      </w:r>
      <w:r w:rsidRPr="001E0CC0">
        <w:t>)</w:t>
      </w:r>
      <w:r w:rsidRPr="001E0CC0">
        <w:rPr>
          <w:vertAlign w:val="superscript"/>
        </w:rPr>
        <w:t>1/2</w:t>
      </w:r>
    </w:p>
    <w:p w14:paraId="6709E635" w14:textId="77777777" w:rsidR="004332D1" w:rsidRPr="001E0CC0" w:rsidRDefault="004332D1" w:rsidP="001E3336">
      <w:pPr>
        <w:spacing w:line="360" w:lineRule="auto"/>
      </w:pPr>
      <w:r w:rsidRPr="001E0CC0">
        <w:t xml:space="preserve">where </w:t>
      </w:r>
      <w:r w:rsidRPr="001E0CC0">
        <w:rPr>
          <w:i/>
        </w:rPr>
        <w:t>R</w:t>
      </w:r>
      <w:r w:rsidRPr="001E0CC0">
        <w:t xml:space="preserve"> is a evenly distributed random deviate between -1 and +1 and </w:t>
      </w:r>
      <w:r w:rsidRPr="001E0CC0">
        <w:rPr>
          <w:i/>
        </w:rPr>
        <w:t>K</w:t>
      </w:r>
      <w:r w:rsidRPr="001E0CC0">
        <w:rPr>
          <w:i/>
          <w:vertAlign w:val="subscript"/>
        </w:rPr>
        <w:t>h</w:t>
      </w:r>
      <w:r w:rsidRPr="001E0CC0">
        <w:t xml:space="preserve"> is the imposed explicit Lagrangian horizontal diffusion of the form:</w:t>
      </w:r>
    </w:p>
    <w:p w14:paraId="01D1611D" w14:textId="77777777" w:rsidR="004332D1" w:rsidRPr="001E0CC0" w:rsidRDefault="004332D1" w:rsidP="001E3336">
      <w:pPr>
        <w:spacing w:line="360" w:lineRule="auto"/>
        <w:ind w:firstLine="720"/>
      </w:pPr>
      <w:r w:rsidRPr="001E0CC0">
        <w:rPr>
          <w:i/>
        </w:rPr>
        <w:t>K</w:t>
      </w:r>
      <w:r w:rsidRPr="001E0CC0">
        <w:rPr>
          <w:i/>
          <w:vertAlign w:val="subscript"/>
        </w:rPr>
        <w:t>h</w:t>
      </w:r>
      <w:r w:rsidRPr="001E0CC0">
        <w:t xml:space="preserve"> = </w:t>
      </w:r>
      <w:r w:rsidRPr="001E0CC0" w:rsidDel="005D0F68">
        <w:rPr>
          <w:i/>
        </w:rPr>
        <w:sym w:font="Symbol" w:char="F065"/>
      </w:r>
      <w:r w:rsidRPr="001E0CC0" w:rsidDel="005D0F68">
        <w:rPr>
          <w:vertAlign w:val="superscript"/>
        </w:rPr>
        <w:t>1/3</w:t>
      </w:r>
      <w:r w:rsidRPr="001E0CC0" w:rsidDel="005D0F68">
        <w:t xml:space="preserve"> </w:t>
      </w:r>
      <w:r w:rsidRPr="001E0CC0" w:rsidDel="005D0F68">
        <w:rPr>
          <w:i/>
        </w:rPr>
        <w:t>l</w:t>
      </w:r>
      <w:r w:rsidRPr="001E0CC0" w:rsidDel="005D0F68">
        <w:rPr>
          <w:i/>
          <w:vertAlign w:val="superscript"/>
        </w:rPr>
        <w:t>4/3</w:t>
      </w:r>
    </w:p>
    <w:p w14:paraId="5887518D" w14:textId="211F39CD" w:rsidR="004332D1" w:rsidRPr="001E0CC0" w:rsidRDefault="004332D1" w:rsidP="001E3336">
      <w:pPr>
        <w:spacing w:line="360" w:lineRule="auto"/>
      </w:pPr>
      <w:r w:rsidRPr="001E0CC0">
        <w:t xml:space="preserve">where </w:t>
      </w:r>
      <w:r w:rsidRPr="001E0CC0">
        <w:rPr>
          <w:i/>
        </w:rPr>
        <w:t>l</w:t>
      </w:r>
      <w:r w:rsidRPr="001E0CC0">
        <w:t xml:space="preserve"> is the unresolved sub-grid scale of the flow model (≈25 km) and </w:t>
      </w:r>
      <w:r w:rsidRPr="001E0CC0">
        <w:t></w:t>
      </w:r>
      <w:r w:rsidRPr="001E0CC0">
        <w:t>= 10</w:t>
      </w:r>
      <w:r w:rsidRPr="001E0CC0">
        <w:rPr>
          <w:vertAlign w:val="superscript"/>
        </w:rPr>
        <w:t>-9</w:t>
      </w:r>
      <w:r w:rsidRPr="001E0CC0">
        <w:t>m</w:t>
      </w:r>
      <w:r w:rsidRPr="001E0CC0">
        <w:rPr>
          <w:vertAlign w:val="superscript"/>
        </w:rPr>
        <w:t>-2</w:t>
      </w:r>
      <w:r w:rsidRPr="001E0CC0">
        <w:t>s</w:t>
      </w:r>
      <w:r w:rsidRPr="001E0CC0">
        <w:rPr>
          <w:vertAlign w:val="superscript"/>
        </w:rPr>
        <w:t>-3</w:t>
      </w:r>
      <w:r w:rsidRPr="001E0CC0">
        <w:t xml:space="preserve"> is the turbulent dissipation rate </w:t>
      </w:r>
      <w:r w:rsidR="000D4591" w:rsidRPr="001E0CC0">
        <w:t>[5</w:t>
      </w:r>
      <w:r w:rsidR="000C2482" w:rsidRPr="001E0CC0">
        <w:t>4</w:t>
      </w:r>
      <w:r w:rsidR="000D4591" w:rsidRPr="001E0CC0">
        <w:t>]</w:t>
      </w:r>
      <w:r w:rsidRPr="001E0CC0">
        <w:t>.</w:t>
      </w:r>
    </w:p>
    <w:p w14:paraId="5A507B05" w14:textId="77777777" w:rsidR="004332D1" w:rsidRPr="001E0CC0" w:rsidRDefault="004332D1" w:rsidP="001E3336">
      <w:pPr>
        <w:spacing w:line="360" w:lineRule="auto"/>
      </w:pPr>
    </w:p>
    <w:p w14:paraId="5C8C55C4" w14:textId="7E774D1B" w:rsidR="004332D1" w:rsidRPr="001E0CC0" w:rsidRDefault="004332D1" w:rsidP="001E3336">
      <w:pPr>
        <w:spacing w:line="360" w:lineRule="auto"/>
      </w:pPr>
      <w:r w:rsidRPr="001E0CC0">
        <w:t xml:space="preserve">Larval movement was modelled assuming that larvae drifted passively in the upper layer of the ocean after hatching, and settlement was modelled whereby larvae developed during a pre-competence period </w:t>
      </w:r>
      <w:r w:rsidRPr="001E0CC0" w:rsidDel="005D0F68">
        <w:t>of</w:t>
      </w:r>
      <w:r w:rsidRPr="001E0CC0">
        <w:t xml:space="preserve"> 16 days after which they settled if they encountered a coral reef during a period of maximum competence that lasted for 5 days. After this period of competency, larvae progressively lost their ability to settle up to a maximum pelagic larval duration (PLD) set at 40 days. These parameters were chosen based on published studies of congereric species </w:t>
      </w:r>
      <w:r w:rsidR="000D4591" w:rsidRPr="001E0CC0">
        <w:t>[15</w:t>
      </w:r>
      <w:r w:rsidR="00D118CC">
        <w:t>–</w:t>
      </w:r>
      <w:r w:rsidR="000D4591" w:rsidRPr="001E0CC0">
        <w:t>1</w:t>
      </w:r>
      <w:r w:rsidR="00D118CC">
        <w:t>7,20–</w:t>
      </w:r>
      <w:r w:rsidR="000D4591" w:rsidRPr="001E0CC0">
        <w:t>21</w:t>
      </w:r>
      <w:r w:rsidR="00D118CC">
        <w:t>,36</w:t>
      </w:r>
      <w:r w:rsidR="000D4591" w:rsidRPr="001E0CC0">
        <w:t>]</w:t>
      </w:r>
      <w:r w:rsidRPr="001E0CC0">
        <w:t>, and the modelling was conducted prior to the results of the molecular analyses being known. Settlement behaviour was parameterised as a daily probability of successful settlement and modelled according to the following equation:</w:t>
      </w:r>
    </w:p>
    <w:p w14:paraId="0EC33013" w14:textId="77777777" w:rsidR="004332D1" w:rsidRPr="001E0CC0" w:rsidRDefault="004332D1" w:rsidP="001E3336">
      <w:pPr>
        <w:spacing w:line="360" w:lineRule="auto"/>
        <w:ind w:firstLine="720"/>
      </w:pPr>
      <w:r w:rsidRPr="001E0CC0" w:rsidDel="005D0F68">
        <w:rPr>
          <w:i/>
          <w:position w:val="-24"/>
        </w:rPr>
        <w:t>p</w:t>
      </w:r>
      <w:r w:rsidRPr="001E0CC0" w:rsidDel="005D0F68">
        <w:rPr>
          <w:i/>
          <w:position w:val="-24"/>
          <w:vertAlign w:val="subscript"/>
        </w:rPr>
        <w:t>s</w:t>
      </w:r>
      <w:r w:rsidRPr="001E0CC0" w:rsidDel="005D0F68">
        <w:rPr>
          <w:position w:val="-24"/>
        </w:rPr>
        <w:t xml:space="preserve"> = (1 + e</w:t>
      </w:r>
      <w:r w:rsidRPr="001E0CC0" w:rsidDel="005D0F68">
        <w:rPr>
          <w:i/>
          <w:position w:val="-24"/>
          <w:vertAlign w:val="superscript"/>
        </w:rPr>
        <w:t>(Tc</w:t>
      </w:r>
      <w:r w:rsidRPr="001E0CC0" w:rsidDel="005D0F68">
        <w:rPr>
          <w:position w:val="-24"/>
          <w:vertAlign w:val="superscript"/>
        </w:rPr>
        <w:t xml:space="preserve"> - </w:t>
      </w:r>
      <w:r w:rsidRPr="001E0CC0" w:rsidDel="005D0F68">
        <w:rPr>
          <w:i/>
          <w:position w:val="-24"/>
          <w:vertAlign w:val="superscript"/>
        </w:rPr>
        <w:t>age</w:t>
      </w:r>
      <w:r w:rsidRPr="001E0CC0" w:rsidDel="005D0F68">
        <w:rPr>
          <w:position w:val="-24"/>
          <w:vertAlign w:val="superscript"/>
        </w:rPr>
        <w:t>)</w:t>
      </w:r>
      <w:r w:rsidRPr="001E0CC0" w:rsidDel="005D0F68">
        <w:rPr>
          <w:position w:val="-24"/>
        </w:rPr>
        <w:t>)</w:t>
      </w:r>
      <w:r w:rsidRPr="001E0CC0" w:rsidDel="005D0F68">
        <w:rPr>
          <w:position w:val="-24"/>
          <w:vertAlign w:val="superscript"/>
        </w:rPr>
        <w:t>-1</w:t>
      </w:r>
      <w:r w:rsidRPr="001E0CC0" w:rsidDel="005D0F68">
        <w:rPr>
          <w:position w:val="-24"/>
        </w:rPr>
        <w:t xml:space="preserve"> (1 + e</w:t>
      </w:r>
      <w:r w:rsidRPr="001E0CC0" w:rsidDel="005D0F68">
        <w:rPr>
          <w:i/>
          <w:position w:val="-24"/>
          <w:vertAlign w:val="superscript"/>
        </w:rPr>
        <w:t>(age - Tk</w:t>
      </w:r>
      <w:r w:rsidRPr="001E0CC0" w:rsidDel="005D0F68">
        <w:rPr>
          <w:position w:val="-24"/>
          <w:vertAlign w:val="superscript"/>
        </w:rPr>
        <w:t>)</w:t>
      </w:r>
      <w:r w:rsidRPr="001E0CC0" w:rsidDel="005D0F68">
        <w:rPr>
          <w:i/>
          <w:position w:val="-24"/>
          <w:vertAlign w:val="superscript"/>
        </w:rPr>
        <w:t xml:space="preserve"> </w:t>
      </w:r>
      <w:r w:rsidRPr="001E0CC0" w:rsidDel="005D0F68">
        <w:rPr>
          <w:i/>
          <w:position w:val="-24"/>
          <w:vertAlign w:val="superscript"/>
        </w:rPr>
        <w:sym w:font="Symbol" w:char="F062"/>
      </w:r>
      <w:r w:rsidRPr="001E0CC0" w:rsidDel="005D0F68">
        <w:rPr>
          <w:position w:val="-24"/>
        </w:rPr>
        <w:t>)</w:t>
      </w:r>
      <w:r w:rsidRPr="001E0CC0" w:rsidDel="005D0F68">
        <w:rPr>
          <w:position w:val="-24"/>
          <w:vertAlign w:val="superscript"/>
        </w:rPr>
        <w:t>-1</w:t>
      </w:r>
    </w:p>
    <w:p w14:paraId="711803A5" w14:textId="77777777" w:rsidR="004332D1" w:rsidRPr="001E0CC0" w:rsidRDefault="004332D1" w:rsidP="001E3336">
      <w:pPr>
        <w:spacing w:line="360" w:lineRule="auto"/>
      </w:pPr>
      <w:r w:rsidRPr="001E0CC0">
        <w:t xml:space="preserve">where </w:t>
      </w:r>
      <w:r w:rsidRPr="001E0CC0">
        <w:rPr>
          <w:i/>
        </w:rPr>
        <w:t>T</w:t>
      </w:r>
      <w:r w:rsidRPr="001E0CC0">
        <w:rPr>
          <w:i/>
          <w:vertAlign w:val="subscript"/>
        </w:rPr>
        <w:t>c</w:t>
      </w:r>
      <w:r w:rsidRPr="001E0CC0">
        <w:t xml:space="preserve"> is the duration of the pre-competence period (days), </w:t>
      </w:r>
      <w:r w:rsidRPr="001E0CC0">
        <w:rPr>
          <w:i/>
        </w:rPr>
        <w:t>T</w:t>
      </w:r>
      <w:r w:rsidRPr="001E0CC0">
        <w:rPr>
          <w:i/>
          <w:vertAlign w:val="subscript"/>
        </w:rPr>
        <w:t>k</w:t>
      </w:r>
      <w:r w:rsidRPr="001E0CC0">
        <w:t xml:space="preserve"> (days) is the end of the competence period (period after which the settlement probability </w:t>
      </w:r>
      <w:r w:rsidRPr="001E0CC0">
        <w:rPr>
          <w:i/>
        </w:rPr>
        <w:t>p</w:t>
      </w:r>
      <w:r w:rsidRPr="001E0CC0">
        <w:rPr>
          <w:i/>
          <w:vertAlign w:val="subscript"/>
        </w:rPr>
        <w:t>s</w:t>
      </w:r>
      <w:r w:rsidRPr="001E0CC0">
        <w:t xml:space="preserve"> starts to decline) and </w:t>
      </w:r>
      <w:r w:rsidRPr="001E0CC0">
        <w:rPr>
          <w:i/>
        </w:rPr>
        <w:t></w:t>
      </w:r>
      <w:r w:rsidRPr="001E0CC0">
        <w:t xml:space="preserve"> is a shape coefficient of the settlement function (0.2 in all simulations) which alters the rate at which larvae lose competency after the competence period. When a larva was able to settle, its location was recorded and it was then removed from the pool of drifting pelagic larvae.</w:t>
      </w:r>
    </w:p>
    <w:p w14:paraId="4150BA5E" w14:textId="77777777" w:rsidR="004332D1" w:rsidRPr="001E0CC0" w:rsidRDefault="004332D1" w:rsidP="001E3336">
      <w:pPr>
        <w:spacing w:line="360" w:lineRule="auto"/>
      </w:pPr>
    </w:p>
    <w:p w14:paraId="510A7181" w14:textId="77777777" w:rsidR="004332D1" w:rsidRPr="001E0CC0" w:rsidRDefault="004332D1" w:rsidP="001E3336">
      <w:pPr>
        <w:spacing w:line="360" w:lineRule="auto"/>
      </w:pPr>
      <w:r w:rsidRPr="001E0CC0">
        <w:t xml:space="preserve">Land boundaries were considered reflective and coral habitats suitable for settlement were parameterised as a series of 3 closed polygons covering the actual coral reef areas of the region with a 20 km buffer zone extending offshore around the coral communities. There </w:t>
      </w:r>
      <w:r w:rsidRPr="001E0CC0">
        <w:lastRenderedPageBreak/>
        <w:t>were no corrections for mortality or predation introduced in the model. Successful recruitment in this model was thus driven solely by transport and settlement and did not include any peri- or post-settlement processes (competition, growth, mortalities).</w:t>
      </w:r>
    </w:p>
    <w:p w14:paraId="18B13509" w14:textId="77777777" w:rsidR="004332D1" w:rsidRPr="001E0CC0" w:rsidRDefault="004332D1" w:rsidP="001E3336">
      <w:pPr>
        <w:spacing w:line="360" w:lineRule="auto"/>
      </w:pPr>
    </w:p>
    <w:p w14:paraId="01799138" w14:textId="6E2958E4" w:rsidR="000C2482" w:rsidRPr="001E0CC0" w:rsidRDefault="001E0CC0" w:rsidP="0067066D">
      <w:pPr>
        <w:spacing w:after="200" w:line="360" w:lineRule="auto"/>
        <w:contextualSpacing/>
      </w:pPr>
      <w:r>
        <w:rPr>
          <w:b/>
          <w:i/>
        </w:rPr>
        <w:t xml:space="preserve">c) </w:t>
      </w:r>
      <w:r w:rsidR="004332D1" w:rsidRPr="001E0CC0">
        <w:rPr>
          <w:b/>
          <w:i/>
        </w:rPr>
        <w:t>Simulation trials:</w:t>
      </w:r>
      <w:r w:rsidR="004332D1" w:rsidRPr="001E0CC0">
        <w:rPr>
          <w:i/>
        </w:rPr>
        <w:t xml:space="preserve"> </w:t>
      </w:r>
      <w:r w:rsidR="004332D1" w:rsidRPr="001E0CC0">
        <w:t>Ten spawning events (of 2000 particles each) were modelled based on current fields between December 1 and January 30 for each of 3 years (2005-6, 2006-7, 2007-8) to incorporate inter-annual variability,</w:t>
      </w:r>
      <w:r w:rsidR="004332D1" w:rsidRPr="001E0CC0">
        <w:rPr>
          <w:bCs/>
        </w:rPr>
        <w:t xml:space="preserve"> with larvae released from both northern and southern locations</w:t>
      </w:r>
      <w:r w:rsidR="004332D1" w:rsidRPr="001E0CC0">
        <w:t xml:space="preserve">. Successful recruitment was assumed for larvae settling in a suitable habitat during the duration (40 days) of each spawning event. </w:t>
      </w:r>
      <w:r w:rsidR="004332D1" w:rsidRPr="001E0CC0">
        <w:rPr>
          <w:iCs/>
        </w:rPr>
        <w:t xml:space="preserve">The proportions of larvae that were retained locally, that were dispersed over long distances or that did not settle were retained from each simulation for comparison with our empirical measurements of long-distance dispersal. </w:t>
      </w:r>
      <w:r w:rsidR="004332D1" w:rsidRPr="001E0CC0">
        <w:t>Local retention was defined as settlement of larvae within their own spawning region and long-distance dispersal (subsidy recruitment) was defined as settlement of larvae to areas outside of the region of release</w:t>
      </w:r>
      <w:r w:rsidR="000D4591" w:rsidRPr="001E0CC0">
        <w:t xml:space="preserve"> [26]</w:t>
      </w:r>
      <w:r w:rsidR="004332D1" w:rsidRPr="001E0CC0">
        <w:t>. A connectivity matrix was thus built for each of the 30 individual events (3 years x 10 dates) and summary matrices were calculated for each year.</w:t>
      </w:r>
    </w:p>
    <w:p w14:paraId="36C1A3C8" w14:textId="77777777" w:rsidR="000C2482" w:rsidRDefault="000C2482" w:rsidP="0067066D">
      <w:pPr>
        <w:spacing w:after="200" w:line="360" w:lineRule="auto"/>
        <w:contextualSpacing/>
      </w:pPr>
    </w:p>
    <w:p w14:paraId="3C29FC36" w14:textId="5D330DCC" w:rsidR="0067066D" w:rsidRPr="0067066D" w:rsidRDefault="0067066D" w:rsidP="0067066D">
      <w:pPr>
        <w:spacing w:after="200" w:line="360" w:lineRule="auto"/>
        <w:contextualSpacing/>
        <w:rPr>
          <w:b/>
        </w:rPr>
      </w:pPr>
      <w:r w:rsidRPr="0067066D">
        <w:rPr>
          <w:b/>
        </w:rPr>
        <w:t>Graphical representation of genetic variation</w:t>
      </w:r>
      <w:r>
        <w:rPr>
          <w:b/>
        </w:rPr>
        <w:t xml:space="preserve"> in the Omani clownfish</w:t>
      </w:r>
    </w:p>
    <w:p w14:paraId="7A53F8D8" w14:textId="153CB9FD" w:rsidR="0067066D" w:rsidRDefault="0067066D" w:rsidP="0067066D">
      <w:pPr>
        <w:spacing w:after="200" w:line="360" w:lineRule="auto"/>
        <w:contextualSpacing/>
      </w:pPr>
      <w:r>
        <w:t xml:space="preserve">Population differentiation was investigated graphically (Figure S2) </w:t>
      </w:r>
      <w:r w:rsidR="00D172CA">
        <w:t>using</w:t>
      </w:r>
      <w:r>
        <w:t xml:space="preserve"> the </w:t>
      </w:r>
      <w:proofErr w:type="spellStart"/>
      <w:r>
        <w:rPr>
          <w:i/>
          <w:iCs/>
        </w:rPr>
        <w:t>adegenet</w:t>
      </w:r>
      <w:proofErr w:type="spellEnd"/>
      <w:r>
        <w:t xml:space="preserve"> package </w:t>
      </w:r>
      <w:r w:rsidR="00900C27">
        <w:t>[55]</w:t>
      </w:r>
      <w:r w:rsidR="00412BF4">
        <w:rPr>
          <w:rStyle w:val="referencediv"/>
        </w:rPr>
        <w:t xml:space="preserve">. </w:t>
      </w:r>
      <w:r w:rsidR="00D172CA">
        <w:t>D</w:t>
      </w:r>
      <w:r>
        <w:t xml:space="preserve">iscriminant analysis of principal components (DAPC; </w:t>
      </w:r>
      <w:r w:rsidR="00900C27">
        <w:t>[56]</w:t>
      </w:r>
      <w:r w:rsidR="00412BF4">
        <w:rPr>
          <w:rStyle w:val="referencediv"/>
        </w:rPr>
        <w:t>)</w:t>
      </w:r>
      <w:r>
        <w:t xml:space="preserve"> </w:t>
      </w:r>
      <w:r w:rsidR="00D172CA">
        <w:t>first employs</w:t>
      </w:r>
      <w:r>
        <w:t xml:space="preserve"> a preliminary data transformation step using principal component analysis (PCA) to create uncorrelated variables that summarize total variability (e.g., with</w:t>
      </w:r>
      <w:r w:rsidR="00D172CA">
        <w:t>in and between populations). This</w:t>
      </w:r>
      <w:r>
        <w:t xml:space="preserve"> discriminant analysis </w:t>
      </w:r>
      <w:r w:rsidR="00D172CA">
        <w:t>maximises</w:t>
      </w:r>
      <w:r>
        <w:t xml:space="preserve"> between-group variability and </w:t>
      </w:r>
      <w:r w:rsidR="00D172CA">
        <w:t>provides</w:t>
      </w:r>
      <w:r>
        <w:t xml:space="preserve"> the best discrimination of </w:t>
      </w:r>
      <w:proofErr w:type="spellStart"/>
      <w:r>
        <w:t>multilocus</w:t>
      </w:r>
      <w:proofErr w:type="spellEnd"/>
      <w:r>
        <w:t xml:space="preserve"> genotypes into predefined clusters. </w:t>
      </w:r>
    </w:p>
    <w:p w14:paraId="73005F35" w14:textId="77777777" w:rsidR="0067066D" w:rsidRPr="001E0CC0" w:rsidRDefault="0067066D" w:rsidP="001E3336">
      <w:pPr>
        <w:spacing w:after="200" w:line="360" w:lineRule="auto"/>
      </w:pPr>
    </w:p>
    <w:p w14:paraId="020F7814" w14:textId="77777777" w:rsidR="000C2482" w:rsidRPr="001E0CC0" w:rsidRDefault="000C2482" w:rsidP="000C2482">
      <w:pPr>
        <w:spacing w:line="360" w:lineRule="auto"/>
        <w:rPr>
          <w:b/>
        </w:rPr>
      </w:pPr>
      <w:r w:rsidRPr="001E0CC0">
        <w:rPr>
          <w:b/>
        </w:rPr>
        <w:t>Supplementary References</w:t>
      </w:r>
    </w:p>
    <w:p w14:paraId="267E5801" w14:textId="77777777" w:rsidR="000C2482" w:rsidRPr="001E0CC0" w:rsidRDefault="000C2482" w:rsidP="000C2482">
      <w:pPr>
        <w:spacing w:line="360" w:lineRule="auto"/>
      </w:pPr>
    </w:p>
    <w:p w14:paraId="7DE12AE6" w14:textId="6F6704FE" w:rsidR="00AE59DC" w:rsidRDefault="000C2482" w:rsidP="000C2482">
      <w:pPr>
        <w:spacing w:line="360" w:lineRule="auto"/>
        <w:ind w:left="720" w:hanging="720"/>
        <w:rPr>
          <w:noProof/>
        </w:rPr>
      </w:pPr>
      <w:bookmarkStart w:id="1" w:name="_ENREF_9"/>
      <w:r w:rsidRPr="001E0CC0">
        <w:rPr>
          <w:noProof/>
        </w:rPr>
        <w:t>51</w:t>
      </w:r>
      <w:r w:rsidRPr="001E0CC0">
        <w:rPr>
          <w:noProof/>
        </w:rPr>
        <w:tab/>
        <w:t>Burkill PH</w:t>
      </w:r>
      <w:r w:rsidR="00AE59DC">
        <w:rPr>
          <w:noProof/>
        </w:rPr>
        <w:t xml:space="preserve"> (1999)</w:t>
      </w:r>
      <w:r w:rsidRPr="001E0CC0">
        <w:rPr>
          <w:noProof/>
        </w:rPr>
        <w:t xml:space="preserve"> ARABESQUE: An overview. </w:t>
      </w:r>
      <w:r w:rsidR="00AE59DC">
        <w:rPr>
          <w:noProof/>
        </w:rPr>
        <w:t xml:space="preserve">Deep-Sea Res Pt </w:t>
      </w:r>
      <w:r w:rsidR="00405BC1">
        <w:rPr>
          <w:noProof/>
        </w:rPr>
        <w:t>II</w:t>
      </w:r>
      <w:r w:rsidRPr="00AE59DC">
        <w:rPr>
          <w:noProof/>
        </w:rPr>
        <w:t xml:space="preserve"> 46</w:t>
      </w:r>
      <w:r w:rsidR="00AE59DC">
        <w:rPr>
          <w:noProof/>
        </w:rPr>
        <w:t>:</w:t>
      </w:r>
      <w:r w:rsidRPr="001E0CC0">
        <w:rPr>
          <w:noProof/>
        </w:rPr>
        <w:t xml:space="preserve"> 529-547</w:t>
      </w:r>
      <w:r w:rsidR="00AE59DC">
        <w:rPr>
          <w:noProof/>
        </w:rPr>
        <w:t xml:space="preserve">. (DOI </w:t>
      </w:r>
      <w:r w:rsidRPr="001E0CC0">
        <w:rPr>
          <w:noProof/>
        </w:rPr>
        <w:t>10.1016/s0967-0645(98)00116-7</w:t>
      </w:r>
      <w:r w:rsidR="00AE59DC">
        <w:rPr>
          <w:noProof/>
        </w:rPr>
        <w:t>)</w:t>
      </w:r>
      <w:bookmarkStart w:id="2" w:name="_ENREF_10"/>
      <w:bookmarkEnd w:id="1"/>
    </w:p>
    <w:p w14:paraId="049CCFB5" w14:textId="54C87EFA" w:rsidR="000C2482" w:rsidRPr="001E0CC0" w:rsidRDefault="000C2482" w:rsidP="000C2482">
      <w:pPr>
        <w:spacing w:line="360" w:lineRule="auto"/>
        <w:ind w:left="720" w:hanging="720"/>
        <w:rPr>
          <w:noProof/>
        </w:rPr>
      </w:pPr>
      <w:r w:rsidRPr="001E0CC0">
        <w:rPr>
          <w:noProof/>
        </w:rPr>
        <w:t>52</w:t>
      </w:r>
      <w:r w:rsidRPr="001E0CC0">
        <w:rPr>
          <w:noProof/>
        </w:rPr>
        <w:tab/>
        <w:t>Tang DL, Kawamura H</w:t>
      </w:r>
      <w:r w:rsidR="00AE59DC">
        <w:rPr>
          <w:noProof/>
        </w:rPr>
        <w:t>,</w:t>
      </w:r>
      <w:r w:rsidRPr="001E0CC0">
        <w:rPr>
          <w:noProof/>
        </w:rPr>
        <w:t xml:space="preserve"> </w:t>
      </w:r>
      <w:r w:rsidR="00AE59DC">
        <w:rPr>
          <w:noProof/>
        </w:rPr>
        <w:t>Luis</w:t>
      </w:r>
      <w:r w:rsidRPr="001E0CC0">
        <w:rPr>
          <w:noProof/>
        </w:rPr>
        <w:t xml:space="preserve"> AJ</w:t>
      </w:r>
      <w:r w:rsidR="00AE59DC">
        <w:rPr>
          <w:noProof/>
        </w:rPr>
        <w:t xml:space="preserve"> (2002)</w:t>
      </w:r>
      <w:r w:rsidRPr="001E0CC0">
        <w:rPr>
          <w:noProof/>
        </w:rPr>
        <w:t xml:space="preserve"> Short-term variability of phytoplankton blooms associated with a cold eddy in the northwestern Arabian Sea. </w:t>
      </w:r>
      <w:r w:rsidRPr="00AE59DC">
        <w:rPr>
          <w:noProof/>
        </w:rPr>
        <w:t>Remote Sens Environ 81</w:t>
      </w:r>
      <w:r w:rsidR="00AE59DC">
        <w:rPr>
          <w:noProof/>
        </w:rPr>
        <w:t>:</w:t>
      </w:r>
      <w:r w:rsidRPr="001E0CC0">
        <w:rPr>
          <w:noProof/>
        </w:rPr>
        <w:t xml:space="preserve"> 82-89.</w:t>
      </w:r>
      <w:bookmarkEnd w:id="2"/>
      <w:r w:rsidR="00AE59DC">
        <w:rPr>
          <w:noProof/>
        </w:rPr>
        <w:t xml:space="preserve"> (DOI </w:t>
      </w:r>
      <w:r w:rsidR="00AE59DC" w:rsidRPr="00AE59DC">
        <w:rPr>
          <w:noProof/>
          <w:lang w:val="en-US"/>
        </w:rPr>
        <w:t>10.1016/S0034-4257(01)00334-0</w:t>
      </w:r>
      <w:r w:rsidR="00AE59DC">
        <w:rPr>
          <w:noProof/>
          <w:lang w:val="en-US"/>
        </w:rPr>
        <w:t>)</w:t>
      </w:r>
    </w:p>
    <w:p w14:paraId="0ED90D80" w14:textId="7C8EB7AC" w:rsidR="000C2482" w:rsidRPr="00AE59DC" w:rsidRDefault="000C2482" w:rsidP="00AE59DC">
      <w:pPr>
        <w:spacing w:line="360" w:lineRule="auto"/>
        <w:ind w:left="720" w:hanging="720"/>
        <w:rPr>
          <w:noProof/>
          <w:lang w:val="en-US"/>
        </w:rPr>
      </w:pPr>
      <w:bookmarkStart w:id="3" w:name="_ENREF_11"/>
      <w:r w:rsidRPr="001E0CC0">
        <w:rPr>
          <w:noProof/>
        </w:rPr>
        <w:lastRenderedPageBreak/>
        <w:t>53</w:t>
      </w:r>
      <w:r w:rsidRPr="001E0CC0">
        <w:rPr>
          <w:noProof/>
        </w:rPr>
        <w:tab/>
        <w:t>Barron CN, Kara</w:t>
      </w:r>
      <w:r w:rsidR="00AE59DC">
        <w:rPr>
          <w:noProof/>
        </w:rPr>
        <w:t xml:space="preserve"> A</w:t>
      </w:r>
      <w:r w:rsidRPr="001E0CC0">
        <w:rPr>
          <w:noProof/>
        </w:rPr>
        <w:t xml:space="preserve">B, </w:t>
      </w:r>
      <w:r w:rsidR="00AE59DC">
        <w:rPr>
          <w:noProof/>
        </w:rPr>
        <w:t>Rhodes R</w:t>
      </w:r>
      <w:r w:rsidRPr="001E0CC0">
        <w:rPr>
          <w:noProof/>
        </w:rPr>
        <w:t>C</w:t>
      </w:r>
      <w:r w:rsidR="00AE59DC">
        <w:rPr>
          <w:noProof/>
        </w:rPr>
        <w:t>, Rowley</w:t>
      </w:r>
      <w:r w:rsidRPr="001E0CC0">
        <w:rPr>
          <w:noProof/>
        </w:rPr>
        <w:t xml:space="preserve"> C</w:t>
      </w:r>
      <w:r w:rsidR="00AE59DC">
        <w:rPr>
          <w:noProof/>
        </w:rPr>
        <w:t xml:space="preserve">, </w:t>
      </w:r>
      <w:r w:rsidRPr="001E0CC0">
        <w:rPr>
          <w:noProof/>
        </w:rPr>
        <w:t>Smedstad LF</w:t>
      </w:r>
      <w:r w:rsidR="00AE59DC">
        <w:rPr>
          <w:noProof/>
        </w:rPr>
        <w:t xml:space="preserve"> (2006)</w:t>
      </w:r>
      <w:r w:rsidRPr="001E0CC0">
        <w:rPr>
          <w:noProof/>
        </w:rPr>
        <w:t xml:space="preserve"> Validation Test Report for the 1/8 Global Navy Coastal Ocean</w:t>
      </w:r>
      <w:r w:rsidR="00AE59DC">
        <w:rPr>
          <w:noProof/>
        </w:rPr>
        <w:t xml:space="preserve"> Model Nowcast/Forecast System. Naval Research Laboratory Report </w:t>
      </w:r>
      <w:r w:rsidR="00AE59DC" w:rsidRPr="00AE59DC">
        <w:rPr>
          <w:bCs/>
          <w:noProof/>
          <w:lang w:val="en-US"/>
        </w:rPr>
        <w:t>NRL/MR/7320--07-9019</w:t>
      </w:r>
      <w:r w:rsidR="00AE59DC" w:rsidRPr="00AE59DC">
        <w:rPr>
          <w:noProof/>
          <w:lang w:val="en-US"/>
        </w:rPr>
        <w:t>.</w:t>
      </w:r>
      <w:bookmarkEnd w:id="3"/>
    </w:p>
    <w:p w14:paraId="783902A9" w14:textId="1C47594F" w:rsidR="00412BF4" w:rsidRDefault="000C2482" w:rsidP="001E0CC0">
      <w:pPr>
        <w:spacing w:line="360" w:lineRule="auto"/>
        <w:ind w:left="720" w:hanging="720"/>
        <w:rPr>
          <w:noProof/>
        </w:rPr>
      </w:pPr>
      <w:bookmarkStart w:id="4" w:name="_ENREF_12"/>
      <w:r w:rsidRPr="001E0CC0">
        <w:rPr>
          <w:noProof/>
        </w:rPr>
        <w:t>54</w:t>
      </w:r>
      <w:r w:rsidRPr="001E0CC0">
        <w:rPr>
          <w:noProof/>
        </w:rPr>
        <w:tab/>
        <w:t>Peliz A</w:t>
      </w:r>
      <w:r w:rsidR="00405BC1">
        <w:rPr>
          <w:noProof/>
        </w:rPr>
        <w:t>,</w:t>
      </w:r>
      <w:r w:rsidR="00405BC1" w:rsidRPr="00405BC1">
        <w:rPr>
          <w:rFonts w:ascii="Arial Unicode MS" w:eastAsia="Arial Unicode MS" w:hAnsiTheme="minorHAnsi" w:cs="Arial Unicode MS"/>
          <w:color w:val="27588B"/>
          <w:sz w:val="26"/>
          <w:szCs w:val="26"/>
          <w:lang w:val="en-US" w:eastAsia="en-US"/>
        </w:rPr>
        <w:t xml:space="preserve"> </w:t>
      </w:r>
      <w:r w:rsidR="00405BC1" w:rsidRPr="00405BC1">
        <w:rPr>
          <w:noProof/>
          <w:lang w:val="en-US"/>
        </w:rPr>
        <w:t>Marchesiello</w:t>
      </w:r>
      <w:r w:rsidR="00405BC1">
        <w:rPr>
          <w:noProof/>
          <w:lang w:val="en-US"/>
        </w:rPr>
        <w:t xml:space="preserve"> P</w:t>
      </w:r>
      <w:r w:rsidR="00405BC1" w:rsidRPr="00405BC1">
        <w:rPr>
          <w:noProof/>
          <w:lang w:val="en-US"/>
        </w:rPr>
        <w:t>, Dubert</w:t>
      </w:r>
      <w:r w:rsidR="00405BC1">
        <w:rPr>
          <w:noProof/>
          <w:lang w:val="en-US"/>
        </w:rPr>
        <w:t xml:space="preserve"> J</w:t>
      </w:r>
      <w:r w:rsidR="00405BC1" w:rsidRPr="00405BC1">
        <w:rPr>
          <w:noProof/>
          <w:lang w:val="en-US"/>
        </w:rPr>
        <w:t>, Marta-Almeida</w:t>
      </w:r>
      <w:r w:rsidR="00405BC1">
        <w:rPr>
          <w:noProof/>
          <w:lang w:val="en-US"/>
        </w:rPr>
        <w:t xml:space="preserve"> M</w:t>
      </w:r>
      <w:r w:rsidR="00405BC1" w:rsidRPr="00405BC1">
        <w:rPr>
          <w:noProof/>
          <w:lang w:val="en-US"/>
        </w:rPr>
        <w:t>, Roy</w:t>
      </w:r>
      <w:r w:rsidR="00405BC1">
        <w:rPr>
          <w:noProof/>
          <w:lang w:val="en-US"/>
        </w:rPr>
        <w:t xml:space="preserve"> C</w:t>
      </w:r>
      <w:r w:rsidR="00405BC1" w:rsidRPr="00405BC1">
        <w:rPr>
          <w:noProof/>
          <w:lang w:val="en-US"/>
        </w:rPr>
        <w:t>,</w:t>
      </w:r>
      <w:r w:rsidR="00405BC1">
        <w:rPr>
          <w:noProof/>
          <w:lang w:val="en-US"/>
        </w:rPr>
        <w:t xml:space="preserve"> et al.</w:t>
      </w:r>
      <w:r w:rsidRPr="001E0CC0">
        <w:rPr>
          <w:noProof/>
        </w:rPr>
        <w:t xml:space="preserve"> A study of crab larvae dispersal on the Western Iberian Shelf: Physical processes. </w:t>
      </w:r>
      <w:r w:rsidRPr="00405BC1">
        <w:rPr>
          <w:noProof/>
        </w:rPr>
        <w:t>J</w:t>
      </w:r>
      <w:r w:rsidR="00405BC1">
        <w:rPr>
          <w:noProof/>
        </w:rPr>
        <w:t xml:space="preserve"> Mar</w:t>
      </w:r>
      <w:r w:rsidR="00F0022E">
        <w:rPr>
          <w:noProof/>
        </w:rPr>
        <w:t>ine</w:t>
      </w:r>
      <w:r w:rsidRPr="00405BC1">
        <w:rPr>
          <w:noProof/>
        </w:rPr>
        <w:t xml:space="preserve"> Syst 68</w:t>
      </w:r>
      <w:r w:rsidR="00405BC1">
        <w:rPr>
          <w:noProof/>
        </w:rPr>
        <w:t>:</w:t>
      </w:r>
      <w:r w:rsidRPr="001E0CC0">
        <w:rPr>
          <w:noProof/>
        </w:rPr>
        <w:t xml:space="preserve"> 215-236</w:t>
      </w:r>
      <w:r w:rsidR="00405BC1">
        <w:rPr>
          <w:noProof/>
        </w:rPr>
        <w:t xml:space="preserve">. (DOI </w:t>
      </w:r>
      <w:r w:rsidRPr="001E0CC0">
        <w:rPr>
          <w:noProof/>
        </w:rPr>
        <w:t>10.1016/j.jmarsys.2006.11.007</w:t>
      </w:r>
      <w:r w:rsidR="00405BC1">
        <w:rPr>
          <w:noProof/>
        </w:rPr>
        <w:t>)</w:t>
      </w:r>
      <w:bookmarkEnd w:id="4"/>
    </w:p>
    <w:p w14:paraId="44BB2536" w14:textId="25F4F0EB" w:rsidR="00412BF4" w:rsidRPr="00900C27" w:rsidRDefault="00900C27" w:rsidP="00900C27">
      <w:pPr>
        <w:spacing w:line="360" w:lineRule="auto"/>
        <w:ind w:left="720" w:hanging="720"/>
        <w:rPr>
          <w:rFonts w:eastAsiaTheme="minorHAnsi"/>
          <w:lang w:val="en-US" w:eastAsia="en-US"/>
        </w:rPr>
      </w:pPr>
      <w:r>
        <w:rPr>
          <w:noProof/>
        </w:rPr>
        <w:t>55</w:t>
      </w:r>
      <w:r w:rsidRPr="00900C27">
        <w:rPr>
          <w:noProof/>
        </w:rPr>
        <w:tab/>
      </w:r>
      <w:proofErr w:type="spellStart"/>
      <w:r w:rsidR="00412BF4" w:rsidRPr="00900C27">
        <w:rPr>
          <w:rFonts w:eastAsiaTheme="minorHAnsi"/>
          <w:lang w:val="en-US" w:eastAsia="en-US"/>
        </w:rPr>
        <w:t>Jombart</w:t>
      </w:r>
      <w:proofErr w:type="spellEnd"/>
      <w:r w:rsidR="00412BF4" w:rsidRPr="00900C27">
        <w:rPr>
          <w:rFonts w:eastAsiaTheme="minorHAnsi"/>
          <w:lang w:val="en-US" w:eastAsia="en-US"/>
        </w:rPr>
        <w:t xml:space="preserve"> T (2008) </w:t>
      </w:r>
      <w:proofErr w:type="spellStart"/>
      <w:r w:rsidR="00412BF4" w:rsidRPr="00900C27">
        <w:rPr>
          <w:rFonts w:eastAsiaTheme="minorHAnsi"/>
          <w:i/>
          <w:lang w:val="en-US" w:eastAsia="en-US"/>
        </w:rPr>
        <w:t>adegenet</w:t>
      </w:r>
      <w:proofErr w:type="spellEnd"/>
      <w:r w:rsidR="00412BF4" w:rsidRPr="00900C27">
        <w:rPr>
          <w:rFonts w:eastAsiaTheme="minorHAnsi"/>
          <w:lang w:val="en-US" w:eastAsia="en-US"/>
        </w:rPr>
        <w:t xml:space="preserve">: </w:t>
      </w:r>
      <w:proofErr w:type="gramStart"/>
      <w:r w:rsidR="00412BF4" w:rsidRPr="00900C27">
        <w:rPr>
          <w:rFonts w:eastAsiaTheme="minorHAnsi"/>
          <w:lang w:val="en-US" w:eastAsia="en-US"/>
        </w:rPr>
        <w:t>a</w:t>
      </w:r>
      <w:proofErr w:type="gramEnd"/>
      <w:r w:rsidR="00412BF4" w:rsidRPr="00900C27">
        <w:rPr>
          <w:rFonts w:eastAsiaTheme="minorHAnsi"/>
          <w:lang w:val="en-US" w:eastAsia="en-US"/>
        </w:rPr>
        <w:t xml:space="preserve"> R package for the multivariate analysis of genetic markers. </w:t>
      </w:r>
      <w:r>
        <w:rPr>
          <w:rFonts w:eastAsiaTheme="minorHAnsi"/>
          <w:iCs/>
          <w:lang w:val="en-US" w:eastAsia="en-US"/>
        </w:rPr>
        <w:t>Bioinformatics</w:t>
      </w:r>
      <w:r w:rsidR="00412BF4" w:rsidRPr="00900C27">
        <w:rPr>
          <w:rFonts w:eastAsiaTheme="minorHAnsi"/>
          <w:lang w:val="en-US" w:eastAsia="en-US"/>
        </w:rPr>
        <w:t xml:space="preserve">, </w:t>
      </w:r>
      <w:r w:rsidR="00412BF4" w:rsidRPr="00900C27">
        <w:rPr>
          <w:rFonts w:eastAsiaTheme="minorHAnsi"/>
          <w:bCs/>
          <w:lang w:val="en-US" w:eastAsia="en-US"/>
        </w:rPr>
        <w:t>24</w:t>
      </w:r>
      <w:r>
        <w:rPr>
          <w:rFonts w:eastAsiaTheme="minorHAnsi"/>
          <w:lang w:val="en-US" w:eastAsia="en-US"/>
        </w:rPr>
        <w:t>: 1403-</w:t>
      </w:r>
      <w:r w:rsidRPr="00900C27">
        <w:rPr>
          <w:rFonts w:eastAsiaTheme="minorHAnsi"/>
          <w:lang w:val="en-US" w:eastAsia="en-US"/>
        </w:rPr>
        <w:t>1405.</w:t>
      </w:r>
      <w:r>
        <w:rPr>
          <w:rFonts w:eastAsiaTheme="minorHAnsi"/>
          <w:lang w:val="en-US" w:eastAsia="en-US"/>
        </w:rPr>
        <w:t xml:space="preserve"> (DOI </w:t>
      </w:r>
      <w:r w:rsidRPr="00900C27">
        <w:rPr>
          <w:rFonts w:eastAsiaTheme="minorHAnsi"/>
          <w:lang w:val="en-US" w:eastAsia="en-US"/>
        </w:rPr>
        <w:t>10.1093/bioinformatics/btn129</w:t>
      </w:r>
      <w:r>
        <w:rPr>
          <w:rFonts w:eastAsiaTheme="minorHAnsi"/>
          <w:lang w:val="en-US" w:eastAsia="en-US"/>
        </w:rPr>
        <w:t>)</w:t>
      </w:r>
    </w:p>
    <w:p w14:paraId="417EFF56" w14:textId="5EB75055" w:rsidR="00632A08" w:rsidRPr="00632A08" w:rsidRDefault="00900C27" w:rsidP="00567771">
      <w:pPr>
        <w:spacing w:line="360" w:lineRule="auto"/>
        <w:ind w:left="720" w:hanging="720"/>
      </w:pPr>
      <w:r w:rsidRPr="00900C27">
        <w:rPr>
          <w:rFonts w:eastAsiaTheme="minorHAnsi"/>
          <w:lang w:val="en-US" w:eastAsia="en-US"/>
        </w:rPr>
        <w:t>56</w:t>
      </w:r>
      <w:r w:rsidRPr="00900C27">
        <w:rPr>
          <w:rFonts w:eastAsiaTheme="minorHAnsi"/>
          <w:lang w:val="en-US" w:eastAsia="en-US"/>
        </w:rPr>
        <w:tab/>
      </w:r>
      <w:proofErr w:type="spellStart"/>
      <w:r w:rsidR="00412BF4" w:rsidRPr="00900C27">
        <w:rPr>
          <w:rFonts w:eastAsiaTheme="minorHAnsi"/>
          <w:lang w:val="en-US" w:eastAsia="en-US"/>
        </w:rPr>
        <w:t>Jombart</w:t>
      </w:r>
      <w:proofErr w:type="spellEnd"/>
      <w:r w:rsidR="00412BF4" w:rsidRPr="00900C27">
        <w:rPr>
          <w:rFonts w:eastAsiaTheme="minorHAnsi"/>
          <w:lang w:val="en-US" w:eastAsia="en-US"/>
        </w:rPr>
        <w:t xml:space="preserve"> T, </w:t>
      </w:r>
      <w:proofErr w:type="spellStart"/>
      <w:r w:rsidR="00412BF4" w:rsidRPr="00900C27">
        <w:rPr>
          <w:rFonts w:eastAsiaTheme="minorHAnsi"/>
          <w:lang w:val="en-US" w:eastAsia="en-US"/>
        </w:rPr>
        <w:t>Devillard</w:t>
      </w:r>
      <w:proofErr w:type="spellEnd"/>
      <w:r w:rsidR="00412BF4" w:rsidRPr="00900C27">
        <w:rPr>
          <w:rFonts w:eastAsiaTheme="minorHAnsi"/>
          <w:lang w:val="en-US" w:eastAsia="en-US"/>
        </w:rPr>
        <w:t xml:space="preserve"> S, </w:t>
      </w:r>
      <w:proofErr w:type="spellStart"/>
      <w:r w:rsidR="00412BF4" w:rsidRPr="00900C27">
        <w:rPr>
          <w:rFonts w:eastAsiaTheme="minorHAnsi"/>
          <w:lang w:val="en-US" w:eastAsia="en-US"/>
        </w:rPr>
        <w:t>Balloux</w:t>
      </w:r>
      <w:proofErr w:type="spellEnd"/>
      <w:r w:rsidR="00412BF4" w:rsidRPr="00900C27">
        <w:rPr>
          <w:rFonts w:eastAsiaTheme="minorHAnsi"/>
          <w:lang w:val="en-US" w:eastAsia="en-US"/>
        </w:rPr>
        <w:t xml:space="preserve"> F (2010) Discriminant analysis of principal components: a new method for the analysis of genetically structured populations. </w:t>
      </w:r>
      <w:r w:rsidR="00412BF4" w:rsidRPr="00900C27">
        <w:rPr>
          <w:rFonts w:eastAsiaTheme="minorHAnsi"/>
          <w:i/>
          <w:iCs/>
          <w:lang w:val="en-US" w:eastAsia="en-US"/>
        </w:rPr>
        <w:t>BMC Genetics</w:t>
      </w:r>
      <w:r w:rsidR="00412BF4" w:rsidRPr="00900C27">
        <w:rPr>
          <w:rFonts w:eastAsiaTheme="minorHAnsi"/>
          <w:lang w:val="en-US" w:eastAsia="en-US"/>
        </w:rPr>
        <w:t xml:space="preserve">, </w:t>
      </w:r>
      <w:r w:rsidR="00412BF4" w:rsidRPr="00900C27">
        <w:rPr>
          <w:rFonts w:eastAsiaTheme="minorHAnsi"/>
          <w:bCs/>
          <w:lang w:val="en-US" w:eastAsia="en-US"/>
        </w:rPr>
        <w:t>11</w:t>
      </w:r>
      <w:r>
        <w:rPr>
          <w:rFonts w:eastAsiaTheme="minorHAnsi"/>
          <w:lang w:val="en-US" w:eastAsia="en-US"/>
        </w:rPr>
        <w:t>:</w:t>
      </w:r>
      <w:r w:rsidR="00412BF4" w:rsidRPr="00900C27">
        <w:rPr>
          <w:rFonts w:eastAsiaTheme="minorHAnsi"/>
          <w:lang w:val="en-US" w:eastAsia="en-US"/>
        </w:rPr>
        <w:t xml:space="preserve"> 94.</w:t>
      </w:r>
      <w:r>
        <w:rPr>
          <w:rFonts w:eastAsiaTheme="minorHAnsi"/>
          <w:lang w:val="en-US" w:eastAsia="en-US"/>
        </w:rPr>
        <w:t xml:space="preserve"> (DOI </w:t>
      </w:r>
      <w:r w:rsidRPr="00900C27">
        <w:rPr>
          <w:rFonts w:eastAsiaTheme="minorHAnsi"/>
          <w:lang w:val="en-US" w:eastAsia="en-US"/>
        </w:rPr>
        <w:t>10.1186/1471-2156-11-94</w:t>
      </w:r>
      <w:r>
        <w:rPr>
          <w:rFonts w:eastAsiaTheme="minorHAnsi"/>
          <w:lang w:val="en-US" w:eastAsia="en-US"/>
        </w:rPr>
        <w:t>)</w:t>
      </w:r>
    </w:p>
    <w:sectPr w:rsidR="00632A08" w:rsidRPr="00632A08" w:rsidSect="00E97D5D">
      <w:footerReference w:type="default" r:id="rId7"/>
      <w:pgSz w:w="11901" w:h="16817"/>
      <w:pgMar w:top="1440" w:right="1440" w:bottom="1440" w:left="1440" w:header="709" w:footer="709" w:gutter="0"/>
      <w:lnNumType w:countBy="1" w:restart="continuous"/>
      <w:cols w:space="708"/>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0D528" w14:textId="77777777" w:rsidR="00015F65" w:rsidRDefault="00015F65">
      <w:r>
        <w:separator/>
      </w:r>
    </w:p>
  </w:endnote>
  <w:endnote w:type="continuationSeparator" w:id="0">
    <w:p w14:paraId="58D73843" w14:textId="77777777" w:rsidR="00015F65" w:rsidRDefault="0001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altName w:val="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6251"/>
      <w:docPartObj>
        <w:docPartGallery w:val="Page Numbers (Bottom of Page)"/>
        <w:docPartUnique/>
      </w:docPartObj>
    </w:sdtPr>
    <w:sdtContent>
      <w:p w14:paraId="486C8168" w14:textId="77777777" w:rsidR="00015F65" w:rsidRDefault="00015F65">
        <w:pPr>
          <w:pStyle w:val="Footer"/>
          <w:jc w:val="right"/>
        </w:pPr>
        <w:r>
          <w:fldChar w:fldCharType="begin"/>
        </w:r>
        <w:r>
          <w:instrText xml:space="preserve"> PAGE   \* MERGEFORMAT </w:instrText>
        </w:r>
        <w:r>
          <w:fldChar w:fldCharType="separate"/>
        </w:r>
        <w:r w:rsidR="00E97D5D">
          <w:rPr>
            <w:noProof/>
          </w:rPr>
          <w:t>1</w:t>
        </w:r>
        <w:r>
          <w:fldChar w:fldCharType="end"/>
        </w:r>
      </w:p>
    </w:sdtContent>
  </w:sdt>
  <w:p w14:paraId="05AD3D1D" w14:textId="77777777" w:rsidR="00015F65" w:rsidRDefault="00015F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0F4F2" w14:textId="77777777" w:rsidR="00015F65" w:rsidRDefault="00015F65">
      <w:r>
        <w:separator/>
      </w:r>
    </w:p>
  </w:footnote>
  <w:footnote w:type="continuationSeparator" w:id="0">
    <w:p w14:paraId="06841E57" w14:textId="77777777" w:rsidR="00015F65" w:rsidRDefault="00015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332D1"/>
    <w:rsid w:val="000068AD"/>
    <w:rsid w:val="00015F65"/>
    <w:rsid w:val="000C2482"/>
    <w:rsid w:val="000D4591"/>
    <w:rsid w:val="001E0CC0"/>
    <w:rsid w:val="001E3336"/>
    <w:rsid w:val="00205362"/>
    <w:rsid w:val="00214DF8"/>
    <w:rsid w:val="0036193D"/>
    <w:rsid w:val="003D5CC9"/>
    <w:rsid w:val="00405BC1"/>
    <w:rsid w:val="004124FD"/>
    <w:rsid w:val="00412BF4"/>
    <w:rsid w:val="004332D1"/>
    <w:rsid w:val="00433BEC"/>
    <w:rsid w:val="005569A3"/>
    <w:rsid w:val="00567771"/>
    <w:rsid w:val="00570B41"/>
    <w:rsid w:val="005D5DC2"/>
    <w:rsid w:val="00604DB2"/>
    <w:rsid w:val="00632A08"/>
    <w:rsid w:val="0067066D"/>
    <w:rsid w:val="007014E3"/>
    <w:rsid w:val="00795B77"/>
    <w:rsid w:val="00900C27"/>
    <w:rsid w:val="00A76872"/>
    <w:rsid w:val="00AE4955"/>
    <w:rsid w:val="00AE59DC"/>
    <w:rsid w:val="00C70E44"/>
    <w:rsid w:val="00CA5D67"/>
    <w:rsid w:val="00CC076A"/>
    <w:rsid w:val="00D118CC"/>
    <w:rsid w:val="00D172CA"/>
    <w:rsid w:val="00D84A6F"/>
    <w:rsid w:val="00DA2E00"/>
    <w:rsid w:val="00E92B5E"/>
    <w:rsid w:val="00E97D5D"/>
    <w:rsid w:val="00EE4519"/>
    <w:rsid w:val="00F0022E"/>
    <w:rsid w:val="00F61982"/>
    <w:rsid w:val="00FE45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5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D1"/>
    <w:rPr>
      <w:rFonts w:ascii="Tahoma" w:hAnsi="Tahoma" w:cs="Tahoma"/>
      <w:sz w:val="16"/>
      <w:szCs w:val="16"/>
    </w:rPr>
  </w:style>
  <w:style w:type="character" w:customStyle="1" w:styleId="BalloonTextChar">
    <w:name w:val="Balloon Text Char"/>
    <w:basedOn w:val="DefaultParagraphFont"/>
    <w:link w:val="BalloonText"/>
    <w:uiPriority w:val="99"/>
    <w:semiHidden/>
    <w:rsid w:val="004332D1"/>
    <w:rPr>
      <w:rFonts w:ascii="Tahoma" w:eastAsia="Times New Roman" w:hAnsi="Tahoma" w:cs="Tahoma"/>
      <w:sz w:val="16"/>
      <w:szCs w:val="16"/>
      <w:lang w:eastAsia="en-GB"/>
    </w:rPr>
  </w:style>
  <w:style w:type="character" w:styleId="Hyperlink">
    <w:name w:val="Hyperlink"/>
    <w:basedOn w:val="DefaultParagraphFont"/>
    <w:uiPriority w:val="99"/>
    <w:unhideWhenUsed/>
    <w:rsid w:val="004332D1"/>
    <w:rPr>
      <w:color w:val="0000FF" w:themeColor="hyperlink"/>
      <w:u w:val="single"/>
    </w:rPr>
  </w:style>
  <w:style w:type="character" w:styleId="LineNumber">
    <w:name w:val="line number"/>
    <w:basedOn w:val="DefaultParagraphFont"/>
    <w:uiPriority w:val="99"/>
    <w:semiHidden/>
    <w:unhideWhenUsed/>
    <w:rsid w:val="004332D1"/>
  </w:style>
  <w:style w:type="paragraph" w:styleId="Header">
    <w:name w:val="header"/>
    <w:basedOn w:val="Normal"/>
    <w:link w:val="HeaderChar"/>
    <w:uiPriority w:val="99"/>
    <w:semiHidden/>
    <w:unhideWhenUsed/>
    <w:rsid w:val="004332D1"/>
    <w:pPr>
      <w:tabs>
        <w:tab w:val="center" w:pos="4513"/>
        <w:tab w:val="right" w:pos="9026"/>
      </w:tabs>
    </w:pPr>
  </w:style>
  <w:style w:type="character" w:customStyle="1" w:styleId="HeaderChar">
    <w:name w:val="Header Char"/>
    <w:basedOn w:val="DefaultParagraphFont"/>
    <w:link w:val="Header"/>
    <w:uiPriority w:val="99"/>
    <w:semiHidden/>
    <w:rsid w:val="004332D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332D1"/>
    <w:pPr>
      <w:tabs>
        <w:tab w:val="center" w:pos="4513"/>
        <w:tab w:val="right" w:pos="9026"/>
      </w:tabs>
    </w:pPr>
  </w:style>
  <w:style w:type="character" w:customStyle="1" w:styleId="FooterChar">
    <w:name w:val="Footer Char"/>
    <w:basedOn w:val="DefaultParagraphFont"/>
    <w:link w:val="Footer"/>
    <w:uiPriority w:val="99"/>
    <w:rsid w:val="004332D1"/>
    <w:rPr>
      <w:rFonts w:ascii="Times New Roman" w:eastAsia="Times New Roman" w:hAnsi="Times New Roman" w:cs="Times New Roman"/>
      <w:sz w:val="24"/>
      <w:szCs w:val="24"/>
      <w:lang w:eastAsia="en-GB"/>
    </w:rPr>
  </w:style>
  <w:style w:type="character" w:customStyle="1" w:styleId="referencediv">
    <w:name w:val="referencediv"/>
    <w:basedOn w:val="DefaultParagraphFont"/>
    <w:rsid w:val="006706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D1"/>
    <w:rPr>
      <w:rFonts w:ascii="Tahoma" w:hAnsi="Tahoma" w:cs="Tahoma"/>
      <w:sz w:val="16"/>
      <w:szCs w:val="16"/>
    </w:rPr>
  </w:style>
  <w:style w:type="character" w:customStyle="1" w:styleId="BalloonTextChar">
    <w:name w:val="Balloon Text Char"/>
    <w:basedOn w:val="DefaultParagraphFont"/>
    <w:link w:val="BalloonText"/>
    <w:uiPriority w:val="99"/>
    <w:semiHidden/>
    <w:rsid w:val="004332D1"/>
    <w:rPr>
      <w:rFonts w:ascii="Tahoma" w:eastAsia="Times New Roman" w:hAnsi="Tahoma" w:cs="Tahoma"/>
      <w:sz w:val="16"/>
      <w:szCs w:val="16"/>
      <w:lang w:eastAsia="en-GB"/>
    </w:rPr>
  </w:style>
  <w:style w:type="character" w:styleId="Hyperlink">
    <w:name w:val="Hyperlink"/>
    <w:basedOn w:val="DefaultParagraphFont"/>
    <w:uiPriority w:val="99"/>
    <w:unhideWhenUsed/>
    <w:rsid w:val="004332D1"/>
    <w:rPr>
      <w:color w:val="0000FF" w:themeColor="hyperlink"/>
      <w:u w:val="single"/>
    </w:rPr>
  </w:style>
  <w:style w:type="character" w:styleId="LineNumber">
    <w:name w:val="line number"/>
    <w:basedOn w:val="DefaultParagraphFont"/>
    <w:uiPriority w:val="99"/>
    <w:semiHidden/>
    <w:unhideWhenUsed/>
    <w:rsid w:val="004332D1"/>
  </w:style>
  <w:style w:type="paragraph" w:styleId="Header">
    <w:name w:val="header"/>
    <w:basedOn w:val="Normal"/>
    <w:link w:val="HeaderChar"/>
    <w:uiPriority w:val="99"/>
    <w:semiHidden/>
    <w:unhideWhenUsed/>
    <w:rsid w:val="004332D1"/>
    <w:pPr>
      <w:tabs>
        <w:tab w:val="center" w:pos="4513"/>
        <w:tab w:val="right" w:pos="9026"/>
      </w:tabs>
    </w:pPr>
  </w:style>
  <w:style w:type="character" w:customStyle="1" w:styleId="HeaderChar">
    <w:name w:val="Header Char"/>
    <w:basedOn w:val="DefaultParagraphFont"/>
    <w:link w:val="Header"/>
    <w:uiPriority w:val="99"/>
    <w:semiHidden/>
    <w:rsid w:val="004332D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332D1"/>
    <w:pPr>
      <w:tabs>
        <w:tab w:val="center" w:pos="4513"/>
        <w:tab w:val="right" w:pos="9026"/>
      </w:tabs>
    </w:pPr>
  </w:style>
  <w:style w:type="character" w:customStyle="1" w:styleId="FooterChar">
    <w:name w:val="Footer Char"/>
    <w:basedOn w:val="DefaultParagraphFont"/>
    <w:link w:val="Footer"/>
    <w:uiPriority w:val="99"/>
    <w:rsid w:val="004332D1"/>
    <w:rPr>
      <w:rFonts w:ascii="Times New Roman" w:eastAsia="Times New Roman" w:hAnsi="Times New Roman" w:cs="Times New Roman"/>
      <w:sz w:val="24"/>
      <w:szCs w:val="24"/>
      <w:lang w:eastAsia="en-GB"/>
    </w:rPr>
  </w:style>
  <w:style w:type="character" w:customStyle="1" w:styleId="referencediv">
    <w:name w:val="referencediv"/>
    <w:basedOn w:val="DefaultParagraphFont"/>
    <w:rsid w:val="0067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1079</Words>
  <Characters>6154</Characters>
  <Application>Microsoft Macintosh Word</Application>
  <DocSecurity>0</DocSecurity>
  <Lines>51</Lines>
  <Paragraphs>14</Paragraphs>
  <ScaleCrop>false</ScaleCrop>
  <Company>University of Bristol</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 Simpson</dc:creator>
  <cp:keywords/>
  <dc:description/>
  <cp:lastModifiedBy>Steve Simpson</cp:lastModifiedBy>
  <cp:revision>3</cp:revision>
  <cp:lastPrinted>2014-08-27T11:56:00Z</cp:lastPrinted>
  <dcterms:created xsi:type="dcterms:W3CDTF">2014-08-27T12:05:00Z</dcterms:created>
  <dcterms:modified xsi:type="dcterms:W3CDTF">2014-08-27T12:06:00Z</dcterms:modified>
</cp:coreProperties>
</file>