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A" w:rsidRPr="00C30909" w:rsidRDefault="004E7BFB" w:rsidP="00652138">
      <w:pPr>
        <w:rPr>
          <w:b/>
        </w:rPr>
      </w:pPr>
      <w:bookmarkStart w:id="0" w:name="_GoBack"/>
      <w:r w:rsidRPr="00C30909">
        <w:rPr>
          <w:b/>
        </w:rPr>
        <w:t>T</w:t>
      </w:r>
      <w:r w:rsidR="00652138" w:rsidRPr="00C30909">
        <w:rPr>
          <w:b/>
        </w:rPr>
        <w:t xml:space="preserve">able </w:t>
      </w:r>
      <w:r w:rsidR="00775067" w:rsidRPr="00C30909">
        <w:rPr>
          <w:rFonts w:hint="eastAsia"/>
          <w:b/>
        </w:rPr>
        <w:t>S</w:t>
      </w:r>
      <w:r w:rsidR="00652138" w:rsidRPr="00C30909">
        <w:rPr>
          <w:b/>
        </w:rPr>
        <w:t>2</w:t>
      </w:r>
      <w:r w:rsidR="00F505A8" w:rsidRPr="00C30909">
        <w:rPr>
          <w:b/>
        </w:rPr>
        <w:t>.</w:t>
      </w:r>
      <w:r w:rsidR="00652138" w:rsidRPr="00C30909">
        <w:rPr>
          <w:rFonts w:hint="eastAsia"/>
          <w:b/>
        </w:rPr>
        <w:t xml:space="preserve"> </w:t>
      </w:r>
      <w:proofErr w:type="gramStart"/>
      <w:r w:rsidR="00507588" w:rsidRPr="00C30909">
        <w:rPr>
          <w:b/>
        </w:rPr>
        <w:t>A full l</w:t>
      </w:r>
      <w:r w:rsidR="00652138" w:rsidRPr="00C30909">
        <w:rPr>
          <w:rFonts w:hint="eastAsia"/>
          <w:b/>
        </w:rPr>
        <w:t xml:space="preserve">ist </w:t>
      </w:r>
      <w:r w:rsidR="00232A68" w:rsidRPr="00C30909">
        <w:rPr>
          <w:rFonts w:hint="eastAsia"/>
          <w:b/>
        </w:rPr>
        <w:t>of</w:t>
      </w:r>
      <w:r w:rsidR="00232A68" w:rsidRPr="00C30909">
        <w:rPr>
          <w:b/>
        </w:rPr>
        <w:t xml:space="preserve"> all the considered sequence and sequence-derived </w:t>
      </w:r>
      <w:r w:rsidR="00652138" w:rsidRPr="00C30909">
        <w:rPr>
          <w:rFonts w:hint="eastAsia"/>
          <w:b/>
        </w:rPr>
        <w:t>featur</w:t>
      </w:r>
      <w:r w:rsidRPr="00C30909">
        <w:rPr>
          <w:rFonts w:hint="eastAsia"/>
          <w:b/>
        </w:rPr>
        <w:t xml:space="preserve">es in </w:t>
      </w:r>
      <w:r w:rsidR="00232A68" w:rsidRPr="00C30909">
        <w:rPr>
          <w:b/>
        </w:rPr>
        <w:t>this</w:t>
      </w:r>
      <w:r w:rsidR="00232A68" w:rsidRPr="00C30909">
        <w:rPr>
          <w:rFonts w:hint="eastAsia"/>
          <w:b/>
        </w:rPr>
        <w:t xml:space="preserve"> </w:t>
      </w:r>
      <w:r w:rsidRPr="00C30909">
        <w:rPr>
          <w:rFonts w:hint="eastAsia"/>
          <w:b/>
        </w:rPr>
        <w:t>study</w:t>
      </w:r>
      <w:r w:rsidR="008B4CA3" w:rsidRPr="00C30909">
        <w:rPr>
          <w:b/>
        </w:rPr>
        <w:t>.</w:t>
      </w:r>
      <w:proofErr w:type="gramEnd"/>
      <w:r w:rsidR="008B4CA3" w:rsidRPr="00C30909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379"/>
      </w:tblGrid>
      <w:tr w:rsidR="00652138" w:rsidRPr="00DA576F" w:rsidTr="00B77E52">
        <w:trPr>
          <w:trHeight w:val="280"/>
        </w:trPr>
        <w:tc>
          <w:tcPr>
            <w:tcW w:w="2235" w:type="dxa"/>
            <w:vAlign w:val="center"/>
          </w:tcPr>
          <w:bookmarkEnd w:id="0"/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Feature class</w:t>
            </w:r>
          </w:p>
        </w:tc>
        <w:tc>
          <w:tcPr>
            <w:tcW w:w="1275" w:type="dxa"/>
            <w:vAlign w:val="center"/>
          </w:tcPr>
          <w:p w:rsidR="00652138" w:rsidRPr="00DA576F" w:rsidRDefault="00CA6FD0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N</w:t>
            </w:r>
            <w:r w:rsidR="00652138" w:rsidRPr="00DA576F">
              <w:rPr>
                <w:szCs w:val="21"/>
              </w:rPr>
              <w:t>umber</w:t>
            </w:r>
          </w:p>
        </w:tc>
        <w:tc>
          <w:tcPr>
            <w:tcW w:w="6379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Feature name and its description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bookmarkStart w:id="1" w:name="_Hlk328390707"/>
            <w:r w:rsidRPr="00DA576F">
              <w:rPr>
                <w:szCs w:val="21"/>
              </w:rPr>
              <w:t>AA type1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20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Frequency of the 20 standard amino acid (AA) types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Buried/Exposed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2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Frequency of exposed/buried amino acids in the sequence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AA type1</w:t>
            </w:r>
          </w:p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&amp; Buried/Exposed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40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 xml:space="preserve">Frequency of the 20 standard amino </w:t>
            </w:r>
            <w:r w:rsidR="007F69F9" w:rsidRPr="00DA576F">
              <w:rPr>
                <w:szCs w:val="21"/>
              </w:rPr>
              <w:t>acid types in all the predicted</w:t>
            </w:r>
            <w:r w:rsidRPr="00DA576F">
              <w:rPr>
                <w:szCs w:val="21"/>
              </w:rPr>
              <w:t xml:space="preserve"> buried/exposed residues in a given sequence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AAindex1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544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average value of physicochemical properties using the amino acids index (AAIndex1) over the whole sequence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AAindex1 &amp; Buried/Exposed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1088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 xml:space="preserve">The average value of physicochemical properties using the amino acids index (AAIndex1) </w:t>
            </w:r>
            <w:r w:rsidR="00DB4282" w:rsidRPr="00DA576F">
              <w:rPr>
                <w:szCs w:val="21"/>
              </w:rPr>
              <w:t>in all the predicted</w:t>
            </w:r>
            <w:r w:rsidRPr="00DA576F">
              <w:rPr>
                <w:szCs w:val="21"/>
              </w:rPr>
              <w:t xml:space="preserve"> buried/exposed residues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AA type2 (hydrophobic/hydrophilic/neutral/position/negative)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5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jc w:val="left"/>
              <w:rPr>
                <w:szCs w:val="21"/>
              </w:rPr>
            </w:pPr>
            <w:r w:rsidRPr="00DA576F">
              <w:rPr>
                <w:szCs w:val="21"/>
              </w:rPr>
              <w:t>Frequency of the hydrophobic (FIWLVMYCA)/hydrophilic (RKNDEP)/neutral (THGSQ)/position (KHR)/negative (DE) amino acids over the whole sequence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AA type2 &amp; Buried/Exposed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10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 xml:space="preserve">Frequency of the hydrophobic/hydrophilic/neutral/position/negative amino acids in all the </w:t>
            </w:r>
            <w:r w:rsidR="002624BE" w:rsidRPr="00DA576F">
              <w:rPr>
                <w:szCs w:val="21"/>
              </w:rPr>
              <w:t>predicted</w:t>
            </w:r>
            <w:r w:rsidRPr="00DA576F">
              <w:rPr>
                <w:szCs w:val="21"/>
              </w:rPr>
              <w:t xml:space="preserve"> buried/exposed residues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AA type3 (10 amino acid group)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10</w:t>
            </w:r>
          </w:p>
        </w:tc>
        <w:tc>
          <w:tcPr>
            <w:tcW w:w="6379" w:type="dxa"/>
          </w:tcPr>
          <w:p w:rsidR="00652138" w:rsidRPr="00DA576F" w:rsidRDefault="00FC3E6B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 xml:space="preserve">Frequency of 10 </w:t>
            </w:r>
            <w:r w:rsidR="00652138" w:rsidRPr="00DA576F">
              <w:rPr>
                <w:szCs w:val="21"/>
              </w:rPr>
              <w:t xml:space="preserve">amino acid </w:t>
            </w:r>
            <w:r w:rsidRPr="00DA576F">
              <w:rPr>
                <w:szCs w:val="21"/>
              </w:rPr>
              <w:t xml:space="preserve">groups </w:t>
            </w:r>
            <w:r w:rsidR="00652138" w:rsidRPr="00DA576F">
              <w:rPr>
                <w:szCs w:val="21"/>
              </w:rPr>
              <w:t>in the sequence. We categorized 20 amino acids into 10 functional groups based on the presence of side chain chemical group such as phenyl (F/W/Y)</w:t>
            </w:r>
            <w:r w:rsidR="00741AEE" w:rsidRPr="00DA576F">
              <w:rPr>
                <w:szCs w:val="21"/>
              </w:rPr>
              <w:t>,</w:t>
            </w:r>
            <w:r w:rsidR="00652138" w:rsidRPr="00DA576F">
              <w:rPr>
                <w:szCs w:val="21"/>
              </w:rPr>
              <w:t xml:space="preserve"> carboxyl (D/E), imidazole (H), primary amine (K), </w:t>
            </w:r>
            <w:r w:rsidR="00574DAE" w:rsidRPr="00DA576F">
              <w:rPr>
                <w:szCs w:val="21"/>
              </w:rPr>
              <w:t>guanidine</w:t>
            </w:r>
            <w:r w:rsidR="00652138" w:rsidRPr="00DA576F">
              <w:rPr>
                <w:szCs w:val="21"/>
              </w:rPr>
              <w:t xml:space="preserve"> (R), </w:t>
            </w:r>
            <w:proofErr w:type="spellStart"/>
            <w:r w:rsidR="00652138" w:rsidRPr="00DA576F">
              <w:rPr>
                <w:szCs w:val="21"/>
              </w:rPr>
              <w:t>thiol</w:t>
            </w:r>
            <w:proofErr w:type="spellEnd"/>
            <w:r w:rsidR="00652138" w:rsidRPr="00DA576F">
              <w:rPr>
                <w:szCs w:val="21"/>
              </w:rPr>
              <w:t xml:space="preserve"> (C), sulfur (M), </w:t>
            </w:r>
            <w:proofErr w:type="spellStart"/>
            <w:r w:rsidR="00652138" w:rsidRPr="00DA576F">
              <w:rPr>
                <w:szCs w:val="21"/>
              </w:rPr>
              <w:t>amido</w:t>
            </w:r>
            <w:proofErr w:type="spellEnd"/>
            <w:r w:rsidR="00652138" w:rsidRPr="00DA576F">
              <w:rPr>
                <w:szCs w:val="21"/>
              </w:rPr>
              <w:t xml:space="preserve"> (Q/N), hydroxyl (S/T) and nonpolar (A/G/I/L/V/P).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AA type3 &amp; Buried/Exposed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20</w:t>
            </w:r>
          </w:p>
        </w:tc>
        <w:tc>
          <w:tcPr>
            <w:tcW w:w="6379" w:type="dxa"/>
          </w:tcPr>
          <w:p w:rsidR="00652138" w:rsidRPr="00DA576F" w:rsidRDefault="000F097B" w:rsidP="002624BE">
            <w:pPr>
              <w:rPr>
                <w:color w:val="FF0000"/>
                <w:szCs w:val="21"/>
              </w:rPr>
            </w:pPr>
            <w:r w:rsidRPr="00DA576F">
              <w:rPr>
                <w:color w:val="FF0000"/>
                <w:kern w:val="0"/>
                <w:szCs w:val="21"/>
                <w:shd w:val="clear" w:color="auto" w:fill="FFFFFF"/>
              </w:rPr>
              <w:t>Frequency of 10 amino acid groups</w:t>
            </w:r>
            <w:r w:rsidRPr="00DA576F">
              <w:rPr>
                <w:rFonts w:hint="eastAsia"/>
                <w:color w:val="FF0000"/>
                <w:kern w:val="0"/>
                <w:szCs w:val="21"/>
                <w:shd w:val="clear" w:color="auto" w:fill="FFFFFF"/>
              </w:rPr>
              <w:t xml:space="preserve"> </w:t>
            </w:r>
            <w:r w:rsidRPr="00DA576F">
              <w:rPr>
                <w:color w:val="FF0000"/>
                <w:kern w:val="0"/>
                <w:szCs w:val="21"/>
                <w:shd w:val="clear" w:color="auto" w:fill="FFFFFF"/>
              </w:rPr>
              <w:t>with predicted buried or exposed residues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B30149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Tri-peptides &amp; AA type2 (hydrophobic/hydrophilic/neutral)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27</w:t>
            </w:r>
          </w:p>
        </w:tc>
        <w:tc>
          <w:tcPr>
            <w:tcW w:w="6379" w:type="dxa"/>
          </w:tcPr>
          <w:p w:rsidR="00652138" w:rsidRPr="00DA576F" w:rsidRDefault="000F097B" w:rsidP="00B43502">
            <w:pPr>
              <w:rPr>
                <w:color w:val="FF0000"/>
                <w:szCs w:val="21"/>
              </w:rPr>
            </w:pPr>
            <w:r w:rsidRPr="00DA576F">
              <w:rPr>
                <w:color w:val="FF0000"/>
                <w:kern w:val="0"/>
                <w:szCs w:val="21"/>
                <w:shd w:val="clear" w:color="auto" w:fill="FFFFFF"/>
              </w:rPr>
              <w:t>Fr</w:t>
            </w:r>
            <w:r w:rsidR="00B43502">
              <w:rPr>
                <w:color w:val="FF0000"/>
                <w:kern w:val="0"/>
                <w:szCs w:val="21"/>
                <w:shd w:val="clear" w:color="auto" w:fill="FFFFFF"/>
              </w:rPr>
              <w:t xml:space="preserve">equency of 27 tri-peptides composed of </w:t>
            </w:r>
            <w:r w:rsidR="00B43502">
              <w:rPr>
                <w:rFonts w:hint="eastAsia"/>
                <w:color w:val="FF0000"/>
                <w:kern w:val="0"/>
                <w:szCs w:val="21"/>
                <w:shd w:val="clear" w:color="auto" w:fill="FFFFFF"/>
              </w:rPr>
              <w:t>three</w:t>
            </w:r>
            <w:r w:rsidR="00B43502">
              <w:rPr>
                <w:color w:val="FF0000"/>
                <w:kern w:val="0"/>
                <w:szCs w:val="21"/>
                <w:shd w:val="clear" w:color="auto" w:fill="FFFFFF"/>
              </w:rPr>
              <w:t xml:space="preserve"> amino acid </w:t>
            </w:r>
            <w:r w:rsidRPr="00DA576F">
              <w:rPr>
                <w:color w:val="FF0000"/>
                <w:kern w:val="0"/>
                <w:szCs w:val="21"/>
                <w:shd w:val="clear" w:color="auto" w:fill="FFFFFF"/>
              </w:rPr>
              <w:t xml:space="preserve">grouping of hydrophobic, </w:t>
            </w:r>
            <w:r w:rsidR="00B43502">
              <w:rPr>
                <w:color w:val="FF0000"/>
                <w:kern w:val="0"/>
                <w:szCs w:val="21"/>
                <w:shd w:val="clear" w:color="auto" w:fill="FFFFFF"/>
              </w:rPr>
              <w:t xml:space="preserve">hydrophilic </w:t>
            </w:r>
            <w:r w:rsidR="009B3592">
              <w:rPr>
                <w:rFonts w:hint="eastAsia"/>
                <w:color w:val="FF0000"/>
                <w:kern w:val="0"/>
                <w:szCs w:val="21"/>
                <w:shd w:val="clear" w:color="auto" w:fill="FFFFFF"/>
              </w:rPr>
              <w:t>and</w:t>
            </w:r>
            <w:r w:rsidR="00B43502">
              <w:rPr>
                <w:color w:val="FF0000"/>
                <w:kern w:val="0"/>
                <w:szCs w:val="21"/>
                <w:shd w:val="clear" w:color="auto" w:fill="FFFFFF"/>
              </w:rPr>
              <w:t xml:space="preserve"> neutral residue</w:t>
            </w:r>
            <w:r w:rsidR="00B43502">
              <w:rPr>
                <w:rFonts w:hint="eastAsia"/>
                <w:color w:val="FF0000"/>
                <w:kern w:val="0"/>
                <w:szCs w:val="21"/>
                <w:shd w:val="clear" w:color="auto" w:fill="FFFFFF"/>
              </w:rPr>
              <w:t>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Tri-peptides &amp; charge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4</w:t>
            </w:r>
          </w:p>
        </w:tc>
        <w:tc>
          <w:tcPr>
            <w:tcW w:w="6379" w:type="dxa"/>
          </w:tcPr>
          <w:p w:rsidR="00652138" w:rsidRPr="00DA576F" w:rsidRDefault="007B078F" w:rsidP="00420C7B">
            <w:pPr>
              <w:rPr>
                <w:color w:val="FF0000"/>
                <w:szCs w:val="21"/>
              </w:rPr>
            </w:pPr>
            <w:r w:rsidRPr="00DA576F">
              <w:rPr>
                <w:color w:val="FF0000"/>
                <w:kern w:val="0"/>
                <w:szCs w:val="21"/>
                <w:shd w:val="clear" w:color="auto" w:fill="FFFFFF"/>
              </w:rPr>
              <w:t>Frequency of tri-peptides with two or three charged amino acids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Sequence length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total number of amino acid numbers in a given sequence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proofErr w:type="spellStart"/>
            <w:r w:rsidRPr="00DA576F">
              <w:rPr>
                <w:szCs w:val="21"/>
              </w:rPr>
              <w:t>pI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isoelectric point of protein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Side chain entropy &amp; Buried/Exposed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3</w:t>
            </w:r>
          </w:p>
        </w:tc>
        <w:tc>
          <w:tcPr>
            <w:tcW w:w="6379" w:type="dxa"/>
          </w:tcPr>
          <w:p w:rsidR="00652138" w:rsidRPr="00DA576F" w:rsidRDefault="00652138" w:rsidP="00D25D70">
            <w:pPr>
              <w:rPr>
                <w:szCs w:val="21"/>
              </w:rPr>
            </w:pPr>
            <w:r w:rsidRPr="00DA576F">
              <w:rPr>
                <w:szCs w:val="21"/>
              </w:rPr>
              <w:t xml:space="preserve">The mean side chain entropy </w:t>
            </w:r>
            <w:r w:rsidR="00D25D70" w:rsidRPr="00DA576F">
              <w:rPr>
                <w:szCs w:val="21"/>
              </w:rPr>
              <w:t>in</w:t>
            </w:r>
            <w:r w:rsidRPr="00DA576F">
              <w:rPr>
                <w:szCs w:val="21"/>
              </w:rPr>
              <w:t xml:space="preserve"> the predict</w:t>
            </w:r>
            <w:r w:rsidR="00D25D70" w:rsidRPr="00DA576F">
              <w:rPr>
                <w:szCs w:val="21"/>
              </w:rPr>
              <w:t>ed</w:t>
            </w:r>
            <w:r w:rsidRPr="00DA576F">
              <w:rPr>
                <w:szCs w:val="21"/>
              </w:rPr>
              <w:t xml:space="preserve"> buried/exposed residues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GRAVY &amp; Buried/Exposed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3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 xml:space="preserve">The average hydrophobicity values (GRAVY) using the </w:t>
            </w:r>
            <w:proofErr w:type="spellStart"/>
            <w:r w:rsidRPr="00DA576F">
              <w:rPr>
                <w:szCs w:val="21"/>
              </w:rPr>
              <w:t>Kyte</w:t>
            </w:r>
            <w:proofErr w:type="spellEnd"/>
            <w:r w:rsidRPr="00DA576F">
              <w:rPr>
                <w:szCs w:val="21"/>
              </w:rPr>
              <w:t xml:space="preserve">-Doolittle </w:t>
            </w:r>
            <w:proofErr w:type="spellStart"/>
            <w:r w:rsidRPr="00DA576F">
              <w:rPr>
                <w:szCs w:val="21"/>
              </w:rPr>
              <w:t>hydropathy</w:t>
            </w:r>
            <w:proofErr w:type="spellEnd"/>
            <w:r w:rsidRPr="00DA576F">
              <w:rPr>
                <w:szCs w:val="21"/>
              </w:rPr>
              <w:t xml:space="preserve"> parameters of the whole sequences</w:t>
            </w:r>
            <w:r w:rsidR="002025D4" w:rsidRPr="00DA576F">
              <w:rPr>
                <w:szCs w:val="21"/>
              </w:rPr>
              <w:t xml:space="preserve"> or the predicted</w:t>
            </w:r>
            <w:r w:rsidRPr="00DA576F">
              <w:rPr>
                <w:szCs w:val="21"/>
              </w:rPr>
              <w:t xml:space="preserve"> buried/exposed residues</w:t>
            </w:r>
          </w:p>
        </w:tc>
      </w:tr>
      <w:bookmarkEnd w:id="1"/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PROFEAT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1060</w:t>
            </w:r>
          </w:p>
        </w:tc>
        <w:tc>
          <w:tcPr>
            <w:tcW w:w="6379" w:type="dxa"/>
          </w:tcPr>
          <w:p w:rsidR="00652138" w:rsidRPr="00DA576F" w:rsidRDefault="00797FD6" w:rsidP="00652138">
            <w:pPr>
              <w:rPr>
                <w:color w:val="FF0000"/>
                <w:szCs w:val="21"/>
              </w:rPr>
            </w:pPr>
            <w:r w:rsidRPr="00DA576F">
              <w:rPr>
                <w:color w:val="FF0000"/>
                <w:kern w:val="0"/>
                <w:szCs w:val="21"/>
                <w:shd w:val="clear" w:color="auto" w:fill="FFFFFF"/>
              </w:rPr>
              <w:t>Structural and physicochemical features of amino acid sequence by PROFEAT (excluding amino acids composition)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SS(C/H/E)_length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3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average length of the predicted second structure (coil/helix/strand) segments divided by the sequence length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SS(C/H/E)_</w:t>
            </w:r>
            <w:proofErr w:type="spellStart"/>
            <w:r w:rsidRPr="00DA576F">
              <w:rPr>
                <w:szCs w:val="21"/>
              </w:rPr>
              <w:t>avg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3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total number of predicted C/H/E segments divided by the sequence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SS(C/H/E)_</w:t>
            </w:r>
            <w:proofErr w:type="spellStart"/>
            <w:r w:rsidRPr="00DA576F">
              <w:rPr>
                <w:szCs w:val="21"/>
              </w:rPr>
              <w:t>max_length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3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maximal length of the predicted coil/helix/strand segments divided by the sequence length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SS(C/H/E)_value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3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average predicted probability of second structure over the whole sequence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lastRenderedPageBreak/>
              <w:t>SS(C/H/E)_length &amp; Exposed/Buried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6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Number of the predicted secondary structure state length divided by the number of exposed/buried residues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SS(C/H/E)_</w:t>
            </w:r>
            <w:proofErr w:type="spellStart"/>
            <w:r w:rsidRPr="00DA576F">
              <w:rPr>
                <w:szCs w:val="21"/>
              </w:rPr>
              <w:t>length_seg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15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Number of the SS (C/H/E) residues in the secondary structures which are at least 1, 2, 4, 8 and 16 residues long, divided by the sequence length.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SS(C/H/E) &amp; AA type3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30</w:t>
            </w:r>
          </w:p>
        </w:tc>
        <w:tc>
          <w:tcPr>
            <w:tcW w:w="6379" w:type="dxa"/>
          </w:tcPr>
          <w:p w:rsidR="00652138" w:rsidRPr="00DA576F" w:rsidRDefault="00EC5CB3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Frequency of 10 amino acid groups with predicted helix, strand and coil structures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2421B3">
            <w:pPr>
              <w:jc w:val="center"/>
              <w:rPr>
                <w:szCs w:val="21"/>
              </w:rPr>
            </w:pPr>
            <w:r w:rsidRPr="00DA576F">
              <w:rPr>
                <w:szCs w:val="21"/>
                <w:lang w:val="de-DE"/>
              </w:rPr>
              <w:t>SS(C/H/E) &amp; AA type2 (hydrophobic/hydrophilic/</w:t>
            </w:r>
            <w:r w:rsidRPr="00DA576F">
              <w:rPr>
                <w:szCs w:val="21"/>
              </w:rPr>
              <w:t>neutral)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9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Frequency of hydrophobic, hydrophilic and neutral amino acids at helix, strand and coil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  <w:lang w:val="de-DE"/>
              </w:rPr>
              <w:t>SS(C/H/E)_seg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</w:t>
            </w:r>
          </w:p>
        </w:tc>
        <w:tc>
          <w:tcPr>
            <w:tcW w:w="6379" w:type="dxa"/>
          </w:tcPr>
          <w:p w:rsidR="00652138" w:rsidRPr="00DA576F" w:rsidRDefault="00652138" w:rsidP="006C4DDF">
            <w:pPr>
              <w:rPr>
                <w:szCs w:val="21"/>
              </w:rPr>
            </w:pPr>
            <w:r w:rsidRPr="00DA576F">
              <w:rPr>
                <w:szCs w:val="21"/>
              </w:rPr>
              <w:t xml:space="preserve">Number of the predicted </w:t>
            </w:r>
            <w:r w:rsidR="006C4DDF" w:rsidRPr="00DA576F">
              <w:rPr>
                <w:szCs w:val="21"/>
              </w:rPr>
              <w:t>secondary structure</w:t>
            </w:r>
            <w:r w:rsidRPr="00DA576F">
              <w:rPr>
                <w:szCs w:val="21"/>
              </w:rPr>
              <w:t xml:space="preserve"> segments, divided by sequence length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  <w:lang w:val="de-DE"/>
              </w:rPr>
            </w:pPr>
            <w:proofErr w:type="spellStart"/>
            <w:r w:rsidRPr="00DA576F">
              <w:rPr>
                <w:szCs w:val="21"/>
              </w:rPr>
              <w:t>Disorder_value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average value of the predicted disorder probabilities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proofErr w:type="spellStart"/>
            <w:r w:rsidRPr="00DA576F">
              <w:rPr>
                <w:szCs w:val="21"/>
              </w:rPr>
              <w:t>Disorder_seg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Number of the predicted disorder segments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proofErr w:type="spellStart"/>
            <w:r w:rsidRPr="00DA576F">
              <w:rPr>
                <w:szCs w:val="21"/>
              </w:rPr>
              <w:t>Disorder_length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average length of the predicted disorder segments divided by the sequence length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proofErr w:type="spellStart"/>
            <w:r w:rsidRPr="00DA576F">
              <w:rPr>
                <w:szCs w:val="21"/>
              </w:rPr>
              <w:t>Disorder_max_seg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1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maximal length of the predicted disorder segment divided by the sequence length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proofErr w:type="spellStart"/>
            <w:r w:rsidRPr="00DA576F">
              <w:rPr>
                <w:szCs w:val="21"/>
              </w:rPr>
              <w:t>Disorder_value</w:t>
            </w:r>
            <w:proofErr w:type="spellEnd"/>
            <w:r w:rsidRPr="00DA576F">
              <w:rPr>
                <w:szCs w:val="21"/>
              </w:rPr>
              <w:t>/length &amp; Exposed/Buried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The average value of the predicted disorder probability or disorder residue number for all the predicted exposed/buried residues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proofErr w:type="spellStart"/>
            <w:r w:rsidRPr="00DA576F">
              <w:rPr>
                <w:szCs w:val="21"/>
              </w:rPr>
              <w:t>Disorder_length_seg</w:t>
            </w:r>
            <w:proofErr w:type="spellEnd"/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</w:rPr>
              <w:t>5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Number of the predicted disorder residues in the disorder segments which are at least 1, 2, 4, 8 and 16 residues long, divided by the sequence length. For segments with at least one residue, this feature represents content of the predicted disorder</w:t>
            </w:r>
          </w:p>
        </w:tc>
      </w:tr>
      <w:tr w:rsidR="00652138" w:rsidRPr="00DA576F" w:rsidTr="00B77E52">
        <w:tc>
          <w:tcPr>
            <w:tcW w:w="223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  <w:lang w:val="pt-BR"/>
              </w:rPr>
              <w:t>Disorder &amp; SS(C/H/E)</w:t>
            </w:r>
          </w:p>
        </w:tc>
        <w:tc>
          <w:tcPr>
            <w:tcW w:w="1275" w:type="dxa"/>
            <w:vAlign w:val="center"/>
          </w:tcPr>
          <w:p w:rsidR="00652138" w:rsidRPr="00DA576F" w:rsidRDefault="00652138" w:rsidP="00CA6FD0">
            <w:pPr>
              <w:jc w:val="center"/>
              <w:rPr>
                <w:szCs w:val="21"/>
              </w:rPr>
            </w:pPr>
            <w:r w:rsidRPr="00DA576F">
              <w:rPr>
                <w:szCs w:val="21"/>
                <w:lang w:val="pt-BR"/>
              </w:rPr>
              <w:t>1</w:t>
            </w:r>
          </w:p>
        </w:tc>
        <w:tc>
          <w:tcPr>
            <w:tcW w:w="6379" w:type="dxa"/>
          </w:tcPr>
          <w:p w:rsidR="00652138" w:rsidRPr="00DA576F" w:rsidRDefault="00652138" w:rsidP="00652138">
            <w:pPr>
              <w:rPr>
                <w:szCs w:val="21"/>
              </w:rPr>
            </w:pPr>
            <w:r w:rsidRPr="00DA576F">
              <w:rPr>
                <w:szCs w:val="21"/>
              </w:rPr>
              <w:t>Frequency of disorder amino acids at helix, strand and coil in the sequence</w:t>
            </w:r>
          </w:p>
        </w:tc>
      </w:tr>
      <w:tr w:rsidR="003909A9" w:rsidRPr="00DA576F" w:rsidTr="00B77E52">
        <w:tc>
          <w:tcPr>
            <w:tcW w:w="2235" w:type="dxa"/>
            <w:vAlign w:val="center"/>
          </w:tcPr>
          <w:p w:rsidR="003909A9" w:rsidRPr="00DA576F" w:rsidRDefault="003909A9" w:rsidP="00CA6FD0">
            <w:pPr>
              <w:jc w:val="center"/>
              <w:rPr>
                <w:szCs w:val="21"/>
                <w:lang w:val="pt-BR"/>
              </w:rPr>
            </w:pPr>
            <w:r w:rsidRPr="00DA576F">
              <w:rPr>
                <w:szCs w:val="21"/>
                <w:lang w:val="pt-BR"/>
              </w:rPr>
              <w:t>Total</w:t>
            </w:r>
          </w:p>
        </w:tc>
        <w:tc>
          <w:tcPr>
            <w:tcW w:w="1275" w:type="dxa"/>
            <w:vAlign w:val="center"/>
          </w:tcPr>
          <w:p w:rsidR="003909A9" w:rsidRPr="00DA576F" w:rsidRDefault="003909A9" w:rsidP="003909A9">
            <w:pPr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3909A9" w:rsidRPr="00DA576F" w:rsidRDefault="00AA70F8" w:rsidP="00AA70F8">
            <w:pPr>
              <w:jc w:val="left"/>
              <w:rPr>
                <w:szCs w:val="21"/>
              </w:rPr>
            </w:pPr>
            <w:r w:rsidRPr="00DA576F">
              <w:rPr>
                <w:szCs w:val="21"/>
                <w:lang w:val="pt-BR"/>
              </w:rPr>
              <w:t>2</w:t>
            </w:r>
            <w:r w:rsidR="003909A9" w:rsidRPr="00DA576F">
              <w:rPr>
                <w:szCs w:val="21"/>
                <w:lang w:val="pt-BR"/>
              </w:rPr>
              <w:t>924 features for 5-class prediction</w:t>
            </w:r>
          </w:p>
        </w:tc>
      </w:tr>
    </w:tbl>
    <w:p w:rsidR="00652138" w:rsidRDefault="00652138" w:rsidP="00652138"/>
    <w:sectPr w:rsidR="00652138" w:rsidSect="0093629C">
      <w:type w:val="continuous"/>
      <w:pgSz w:w="11906" w:h="16838"/>
      <w:pgMar w:top="1418" w:right="1191" w:bottom="1418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54" w:rsidRDefault="00817454" w:rsidP="00375645">
      <w:r>
        <w:separator/>
      </w:r>
    </w:p>
  </w:endnote>
  <w:endnote w:type="continuationSeparator" w:id="0">
    <w:p w:rsidR="00817454" w:rsidRDefault="00817454" w:rsidP="003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54" w:rsidRDefault="00817454" w:rsidP="00375645">
      <w:r>
        <w:separator/>
      </w:r>
    </w:p>
  </w:footnote>
  <w:footnote w:type="continuationSeparator" w:id="0">
    <w:p w:rsidR="00817454" w:rsidRDefault="00817454" w:rsidP="0037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fadt9zelaevr6eft5qpfx9peffrra25a09d&quot;&gt;Plosone&lt;record-ids&gt;&lt;item&gt;13&lt;/item&gt;&lt;item&gt;18&lt;/item&gt;&lt;item&gt;19&lt;/item&gt;&lt;item&gt;20&lt;/item&gt;&lt;item&gt;23&lt;/item&gt;&lt;item&gt;24&lt;/item&gt;&lt;item&gt;28&lt;/item&gt;&lt;item&gt;57&lt;/item&gt;&lt;/record-ids&gt;&lt;/item&gt;&lt;/Libraries&gt;"/>
  </w:docVars>
  <w:rsids>
    <w:rsidRoot w:val="00B24999"/>
    <w:rsid w:val="00011F5F"/>
    <w:rsid w:val="00012AC0"/>
    <w:rsid w:val="000256AB"/>
    <w:rsid w:val="00031321"/>
    <w:rsid w:val="00032233"/>
    <w:rsid w:val="00050E31"/>
    <w:rsid w:val="000641F9"/>
    <w:rsid w:val="00064E7C"/>
    <w:rsid w:val="00073AA4"/>
    <w:rsid w:val="000770FE"/>
    <w:rsid w:val="00096378"/>
    <w:rsid w:val="000A3E04"/>
    <w:rsid w:val="000B14AF"/>
    <w:rsid w:val="000B60ED"/>
    <w:rsid w:val="000C60F5"/>
    <w:rsid w:val="000F097B"/>
    <w:rsid w:val="00101ECE"/>
    <w:rsid w:val="00122D81"/>
    <w:rsid w:val="00127124"/>
    <w:rsid w:val="00135642"/>
    <w:rsid w:val="00144159"/>
    <w:rsid w:val="001652AC"/>
    <w:rsid w:val="001809D5"/>
    <w:rsid w:val="001A585B"/>
    <w:rsid w:val="001B2702"/>
    <w:rsid w:val="001B520F"/>
    <w:rsid w:val="001C34AA"/>
    <w:rsid w:val="001C464A"/>
    <w:rsid w:val="001E5601"/>
    <w:rsid w:val="001F407F"/>
    <w:rsid w:val="00201295"/>
    <w:rsid w:val="00201C7C"/>
    <w:rsid w:val="002025D4"/>
    <w:rsid w:val="00206081"/>
    <w:rsid w:val="00216E80"/>
    <w:rsid w:val="00220EE4"/>
    <w:rsid w:val="00225DA7"/>
    <w:rsid w:val="002309F5"/>
    <w:rsid w:val="00232717"/>
    <w:rsid w:val="00232A68"/>
    <w:rsid w:val="002421B3"/>
    <w:rsid w:val="002624BE"/>
    <w:rsid w:val="00274B78"/>
    <w:rsid w:val="002954C0"/>
    <w:rsid w:val="002B17FD"/>
    <w:rsid w:val="002C32C3"/>
    <w:rsid w:val="002D2C72"/>
    <w:rsid w:val="002D4145"/>
    <w:rsid w:val="002D6DF3"/>
    <w:rsid w:val="002E1252"/>
    <w:rsid w:val="002E7973"/>
    <w:rsid w:val="002F74EB"/>
    <w:rsid w:val="003120F2"/>
    <w:rsid w:val="00316D69"/>
    <w:rsid w:val="00322981"/>
    <w:rsid w:val="00322C65"/>
    <w:rsid w:val="00351E28"/>
    <w:rsid w:val="00367907"/>
    <w:rsid w:val="00375645"/>
    <w:rsid w:val="003909A9"/>
    <w:rsid w:val="003A13CD"/>
    <w:rsid w:val="003C10D9"/>
    <w:rsid w:val="003C1578"/>
    <w:rsid w:val="003C6364"/>
    <w:rsid w:val="0041420E"/>
    <w:rsid w:val="00415FC5"/>
    <w:rsid w:val="00417BDB"/>
    <w:rsid w:val="00420C7B"/>
    <w:rsid w:val="00442DC3"/>
    <w:rsid w:val="00452976"/>
    <w:rsid w:val="0047322F"/>
    <w:rsid w:val="004861EB"/>
    <w:rsid w:val="0048767A"/>
    <w:rsid w:val="00487D01"/>
    <w:rsid w:val="004D6D61"/>
    <w:rsid w:val="004E542C"/>
    <w:rsid w:val="004E7BFB"/>
    <w:rsid w:val="004F1AE8"/>
    <w:rsid w:val="004F64EE"/>
    <w:rsid w:val="004F7B7C"/>
    <w:rsid w:val="00507588"/>
    <w:rsid w:val="00510FE9"/>
    <w:rsid w:val="005110BD"/>
    <w:rsid w:val="0052031A"/>
    <w:rsid w:val="005235E2"/>
    <w:rsid w:val="00526702"/>
    <w:rsid w:val="00530FE3"/>
    <w:rsid w:val="00552750"/>
    <w:rsid w:val="005575D3"/>
    <w:rsid w:val="005632BD"/>
    <w:rsid w:val="00572A75"/>
    <w:rsid w:val="00574DAE"/>
    <w:rsid w:val="005753A8"/>
    <w:rsid w:val="00580568"/>
    <w:rsid w:val="005817B7"/>
    <w:rsid w:val="00585FB0"/>
    <w:rsid w:val="00596297"/>
    <w:rsid w:val="005A34BE"/>
    <w:rsid w:val="005B0368"/>
    <w:rsid w:val="005B56C1"/>
    <w:rsid w:val="005C300B"/>
    <w:rsid w:val="005C71B9"/>
    <w:rsid w:val="005D2D8D"/>
    <w:rsid w:val="005E1015"/>
    <w:rsid w:val="005F2EE7"/>
    <w:rsid w:val="005F3E2D"/>
    <w:rsid w:val="00607E37"/>
    <w:rsid w:val="006318F3"/>
    <w:rsid w:val="00636961"/>
    <w:rsid w:val="00652138"/>
    <w:rsid w:val="00655704"/>
    <w:rsid w:val="00657150"/>
    <w:rsid w:val="00670525"/>
    <w:rsid w:val="00683138"/>
    <w:rsid w:val="00690465"/>
    <w:rsid w:val="00695337"/>
    <w:rsid w:val="00697784"/>
    <w:rsid w:val="006B189B"/>
    <w:rsid w:val="006C0063"/>
    <w:rsid w:val="006C4DDF"/>
    <w:rsid w:val="006C62AF"/>
    <w:rsid w:val="006D6328"/>
    <w:rsid w:val="006F3335"/>
    <w:rsid w:val="006F6B9E"/>
    <w:rsid w:val="00710C8A"/>
    <w:rsid w:val="00731E8E"/>
    <w:rsid w:val="00737590"/>
    <w:rsid w:val="00741AEE"/>
    <w:rsid w:val="00757E5D"/>
    <w:rsid w:val="007642F7"/>
    <w:rsid w:val="00764948"/>
    <w:rsid w:val="00775067"/>
    <w:rsid w:val="00775EB9"/>
    <w:rsid w:val="00776978"/>
    <w:rsid w:val="007811E1"/>
    <w:rsid w:val="00781947"/>
    <w:rsid w:val="00797FD6"/>
    <w:rsid w:val="007B078F"/>
    <w:rsid w:val="007B1D62"/>
    <w:rsid w:val="007B4DB7"/>
    <w:rsid w:val="007B6EAE"/>
    <w:rsid w:val="007C3C41"/>
    <w:rsid w:val="007D58BC"/>
    <w:rsid w:val="007F69F9"/>
    <w:rsid w:val="0080791A"/>
    <w:rsid w:val="0081111E"/>
    <w:rsid w:val="00812BCC"/>
    <w:rsid w:val="00817454"/>
    <w:rsid w:val="008709F2"/>
    <w:rsid w:val="00872233"/>
    <w:rsid w:val="0088179D"/>
    <w:rsid w:val="00881F1C"/>
    <w:rsid w:val="008A7FA5"/>
    <w:rsid w:val="008B4CA3"/>
    <w:rsid w:val="008C7FDF"/>
    <w:rsid w:val="008D1C41"/>
    <w:rsid w:val="008D5938"/>
    <w:rsid w:val="008E0CDE"/>
    <w:rsid w:val="009078C7"/>
    <w:rsid w:val="00915C05"/>
    <w:rsid w:val="0093629C"/>
    <w:rsid w:val="00936C7E"/>
    <w:rsid w:val="00942B19"/>
    <w:rsid w:val="00943F96"/>
    <w:rsid w:val="00951842"/>
    <w:rsid w:val="00966506"/>
    <w:rsid w:val="009715B8"/>
    <w:rsid w:val="00984C92"/>
    <w:rsid w:val="009B3592"/>
    <w:rsid w:val="009C3B7F"/>
    <w:rsid w:val="009D3841"/>
    <w:rsid w:val="009D48D8"/>
    <w:rsid w:val="009E48D1"/>
    <w:rsid w:val="009F30D5"/>
    <w:rsid w:val="00A11126"/>
    <w:rsid w:val="00A17A54"/>
    <w:rsid w:val="00A23B09"/>
    <w:rsid w:val="00A32596"/>
    <w:rsid w:val="00A4041D"/>
    <w:rsid w:val="00A43EAF"/>
    <w:rsid w:val="00A4667B"/>
    <w:rsid w:val="00A547A1"/>
    <w:rsid w:val="00A57D09"/>
    <w:rsid w:val="00A675B7"/>
    <w:rsid w:val="00A90C99"/>
    <w:rsid w:val="00A958A4"/>
    <w:rsid w:val="00A9793A"/>
    <w:rsid w:val="00AA1059"/>
    <w:rsid w:val="00AA2A00"/>
    <w:rsid w:val="00AA6C6D"/>
    <w:rsid w:val="00AA70F8"/>
    <w:rsid w:val="00AB17FE"/>
    <w:rsid w:val="00AC4F4E"/>
    <w:rsid w:val="00AE1A9B"/>
    <w:rsid w:val="00AE6F4C"/>
    <w:rsid w:val="00B20D70"/>
    <w:rsid w:val="00B222DE"/>
    <w:rsid w:val="00B24999"/>
    <w:rsid w:val="00B30149"/>
    <w:rsid w:val="00B37429"/>
    <w:rsid w:val="00B41CD2"/>
    <w:rsid w:val="00B43502"/>
    <w:rsid w:val="00B55327"/>
    <w:rsid w:val="00B57AE3"/>
    <w:rsid w:val="00B77E52"/>
    <w:rsid w:val="00B81D7A"/>
    <w:rsid w:val="00B93C1D"/>
    <w:rsid w:val="00B95853"/>
    <w:rsid w:val="00B9746F"/>
    <w:rsid w:val="00BA5AC8"/>
    <w:rsid w:val="00BB0E04"/>
    <w:rsid w:val="00BB275D"/>
    <w:rsid w:val="00BB7A93"/>
    <w:rsid w:val="00BC5A38"/>
    <w:rsid w:val="00C12E1C"/>
    <w:rsid w:val="00C1543B"/>
    <w:rsid w:val="00C158A8"/>
    <w:rsid w:val="00C23C6F"/>
    <w:rsid w:val="00C30909"/>
    <w:rsid w:val="00C3611A"/>
    <w:rsid w:val="00C41C90"/>
    <w:rsid w:val="00C5072C"/>
    <w:rsid w:val="00C558E3"/>
    <w:rsid w:val="00C72FC6"/>
    <w:rsid w:val="00C805CB"/>
    <w:rsid w:val="00C823FD"/>
    <w:rsid w:val="00C856AC"/>
    <w:rsid w:val="00C91778"/>
    <w:rsid w:val="00C92570"/>
    <w:rsid w:val="00CA6FD0"/>
    <w:rsid w:val="00CA7C5D"/>
    <w:rsid w:val="00CB13DA"/>
    <w:rsid w:val="00CB3174"/>
    <w:rsid w:val="00CB4440"/>
    <w:rsid w:val="00CB7089"/>
    <w:rsid w:val="00CC4136"/>
    <w:rsid w:val="00CD35B8"/>
    <w:rsid w:val="00CD3B74"/>
    <w:rsid w:val="00CD6C7B"/>
    <w:rsid w:val="00CE3E01"/>
    <w:rsid w:val="00CF0D67"/>
    <w:rsid w:val="00CF6E03"/>
    <w:rsid w:val="00D00F0D"/>
    <w:rsid w:val="00D038A0"/>
    <w:rsid w:val="00D104C1"/>
    <w:rsid w:val="00D25D70"/>
    <w:rsid w:val="00D26214"/>
    <w:rsid w:val="00D26809"/>
    <w:rsid w:val="00D40383"/>
    <w:rsid w:val="00D40AAA"/>
    <w:rsid w:val="00D44C28"/>
    <w:rsid w:val="00D45CCA"/>
    <w:rsid w:val="00D55F0A"/>
    <w:rsid w:val="00D8453F"/>
    <w:rsid w:val="00D84827"/>
    <w:rsid w:val="00D86432"/>
    <w:rsid w:val="00D9323F"/>
    <w:rsid w:val="00D97D98"/>
    <w:rsid w:val="00DA576F"/>
    <w:rsid w:val="00DB4282"/>
    <w:rsid w:val="00DD5286"/>
    <w:rsid w:val="00E26F7C"/>
    <w:rsid w:val="00E62338"/>
    <w:rsid w:val="00E64318"/>
    <w:rsid w:val="00E9583C"/>
    <w:rsid w:val="00EC5CB3"/>
    <w:rsid w:val="00EE0D86"/>
    <w:rsid w:val="00EE3F11"/>
    <w:rsid w:val="00EF283B"/>
    <w:rsid w:val="00F47A87"/>
    <w:rsid w:val="00F505A8"/>
    <w:rsid w:val="00F53842"/>
    <w:rsid w:val="00F62156"/>
    <w:rsid w:val="00F6618C"/>
    <w:rsid w:val="00F73ED7"/>
    <w:rsid w:val="00F80998"/>
    <w:rsid w:val="00F80A7A"/>
    <w:rsid w:val="00F872A5"/>
    <w:rsid w:val="00F9017E"/>
    <w:rsid w:val="00FA24AE"/>
    <w:rsid w:val="00FA7DFE"/>
    <w:rsid w:val="00FC3E6B"/>
    <w:rsid w:val="00FC7E74"/>
    <w:rsid w:val="00FD6588"/>
    <w:rsid w:val="00FE0D4A"/>
    <w:rsid w:val="00FE3B9B"/>
    <w:rsid w:val="00FF43D4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645"/>
    <w:rPr>
      <w:sz w:val="18"/>
      <w:szCs w:val="18"/>
    </w:rPr>
  </w:style>
  <w:style w:type="table" w:styleId="a5">
    <w:name w:val="Table Grid"/>
    <w:basedOn w:val="a1"/>
    <w:uiPriority w:val="59"/>
    <w:rsid w:val="00F5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8453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453F"/>
    <w:rPr>
      <w:rFonts w:ascii="Lucida Grande" w:eastAsia="宋体" w:hAnsi="Lucida Grande" w:cs="Lucida Grande"/>
      <w:sz w:val="18"/>
      <w:szCs w:val="18"/>
    </w:rPr>
  </w:style>
  <w:style w:type="character" w:styleId="a7">
    <w:name w:val="Hyperlink"/>
    <w:rsid w:val="0078194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C62A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C62A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C62A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62A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C62AF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645"/>
    <w:rPr>
      <w:sz w:val="18"/>
      <w:szCs w:val="18"/>
    </w:rPr>
  </w:style>
  <w:style w:type="table" w:styleId="a5">
    <w:name w:val="Table Grid"/>
    <w:basedOn w:val="a1"/>
    <w:uiPriority w:val="59"/>
    <w:rsid w:val="00F50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8453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453F"/>
    <w:rPr>
      <w:rFonts w:ascii="Lucida Grande" w:eastAsia="宋体" w:hAnsi="Lucida Grande" w:cs="Lucida Grande"/>
      <w:sz w:val="18"/>
      <w:szCs w:val="18"/>
    </w:rPr>
  </w:style>
  <w:style w:type="character" w:styleId="a7">
    <w:name w:val="Hyperlink"/>
    <w:rsid w:val="0078194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C62A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C62A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C62A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C62A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C62AF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5226-19A9-4757-B3E5-B3953A9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Feeling King</dc:creator>
  <cp:keywords/>
  <dc:description/>
  <cp:lastModifiedBy>feeling</cp:lastModifiedBy>
  <cp:revision>16</cp:revision>
  <dcterms:created xsi:type="dcterms:W3CDTF">2014-07-25T01:30:00Z</dcterms:created>
  <dcterms:modified xsi:type="dcterms:W3CDTF">2014-07-25T10:01:00Z</dcterms:modified>
</cp:coreProperties>
</file>