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4A" w:rsidRPr="00355881" w:rsidRDefault="0082604A" w:rsidP="00301F37">
      <w:pPr>
        <w:jc w:val="both"/>
        <w:rPr>
          <w:rFonts w:ascii="Times" w:hAnsi="Times"/>
        </w:rPr>
      </w:pPr>
    </w:p>
    <w:p w:rsidR="00226CD4" w:rsidRPr="00355881" w:rsidRDefault="00226CD4" w:rsidP="00D22871">
      <w:pPr>
        <w:jc w:val="both"/>
        <w:rPr>
          <w:rFonts w:ascii="Times" w:hAnsi="Times"/>
        </w:rPr>
      </w:pPr>
      <w:r w:rsidRPr="00355881">
        <w:rPr>
          <w:rFonts w:ascii="Times" w:hAnsi="Times"/>
        </w:rPr>
        <w:t xml:space="preserve"> </w:t>
      </w:r>
    </w:p>
    <w:p w:rsidR="008A5C11" w:rsidRPr="00355881" w:rsidRDefault="00C33B2A" w:rsidP="00D22871">
      <w:pPr>
        <w:jc w:val="both"/>
        <w:rPr>
          <w:rFonts w:ascii="Times" w:hAnsi="Times"/>
        </w:rPr>
      </w:pPr>
      <w:r>
        <w:rPr>
          <w:rFonts w:ascii="Times" w:hAnsi="Times"/>
          <w:noProof/>
        </w:rPr>
        <w:drawing>
          <wp:anchor distT="0" distB="0" distL="114300" distR="114300" simplePos="0" relativeHeight="251717632" behindDoc="0" locked="0" layoutInCell="1" allowOverlap="1">
            <wp:simplePos x="0" y="0"/>
            <wp:positionH relativeFrom="column">
              <wp:posOffset>3810</wp:posOffset>
            </wp:positionH>
            <wp:positionV relativeFrom="paragraph">
              <wp:posOffset>2261235</wp:posOffset>
            </wp:positionV>
            <wp:extent cx="3992880" cy="3220720"/>
            <wp:effectExtent l="0" t="0" r="0" b="0"/>
            <wp:wrapTopAndBottom/>
            <wp:docPr id="1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38"/>
                        <a:srcRect/>
                        <a:stretch>
                          <a:fillRect/>
                        </a:stretch>
                      </pic:blipFill>
                    </ve:Fallback>
                  </ve:AlternateContent>
                  <pic:spPr bwMode="auto">
                    <a:xfrm>
                      <a:off x="0" y="0"/>
                      <a:ext cx="3992880" cy="3220720"/>
                    </a:xfrm>
                    <a:prstGeom prst="rect">
                      <a:avLst/>
                    </a:prstGeom>
                    <a:noFill/>
                    <a:ln w="9525">
                      <a:noFill/>
                      <a:miter lim="800000"/>
                      <a:headEnd/>
                      <a:tailEnd/>
                    </a:ln>
                  </pic:spPr>
                </pic:pic>
              </a:graphicData>
            </a:graphic>
          </wp:anchor>
        </w:drawing>
      </w:r>
      <w:r w:rsidRPr="00C33B2A">
        <w:rPr>
          <w:rFonts w:ascii="Times" w:hAnsi="Times"/>
          <w:noProof/>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5269230" cy="2286000"/>
            <wp:effectExtent l="0" t="0" r="0" b="0"/>
            <wp:wrapTight wrapText="bothSides">
              <wp:wrapPolygon edited="0">
                <wp:start x="104" y="1200"/>
                <wp:lineTo x="312" y="9840"/>
                <wp:lineTo x="1145" y="12720"/>
                <wp:lineTo x="312" y="15120"/>
                <wp:lineTo x="312" y="18240"/>
                <wp:lineTo x="1770" y="20400"/>
                <wp:lineTo x="2811" y="20640"/>
                <wp:lineTo x="11037" y="20880"/>
                <wp:lineTo x="13848" y="20880"/>
                <wp:lineTo x="15202" y="20880"/>
                <wp:lineTo x="21553" y="20880"/>
                <wp:lineTo x="21553" y="1440"/>
                <wp:lineTo x="833" y="1200"/>
                <wp:lineTo x="104" y="120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ve:AlternateContent xmlns:ma="http://schemas.microsoft.com/office/mac/drawingml/2008/main">
                    <ve:Choice Requires="ma">
                      <pic:blipFill>
                        <a:blip r:embed="rId39"/>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40"/>
                        <a:srcRect/>
                        <a:stretch>
                          <a:fillRect/>
                        </a:stretch>
                      </pic:blipFill>
                    </ve:Fallback>
                  </ve:AlternateContent>
                  <pic:spPr bwMode="auto">
                    <a:xfrm>
                      <a:off x="0" y="0"/>
                      <a:ext cx="5269230" cy="2286000"/>
                    </a:xfrm>
                    <a:prstGeom prst="rect">
                      <a:avLst/>
                    </a:prstGeom>
                    <a:noFill/>
                    <a:ln w="9525">
                      <a:noFill/>
                      <a:miter lim="800000"/>
                      <a:headEnd/>
                      <a:tailEnd/>
                    </a:ln>
                  </pic:spPr>
                </pic:pic>
              </a:graphicData>
            </a:graphic>
          </wp:anchor>
        </w:drawing>
      </w:r>
      <w:r w:rsidR="00226CD4" w:rsidRPr="00355881">
        <w:rPr>
          <w:rFonts w:ascii="Times" w:hAnsi="Times"/>
        </w:rPr>
        <w:t xml:space="preserve"> </w:t>
      </w:r>
    </w:p>
    <w:p w:rsidR="008A5C11" w:rsidRPr="00261409" w:rsidRDefault="0034142E" w:rsidP="00D22871">
      <w:pPr>
        <w:jc w:val="both"/>
        <w:rPr>
          <w:rFonts w:ascii="Times" w:hAnsi="Times"/>
        </w:rPr>
      </w:pPr>
      <w:r>
        <w:rPr>
          <w:rFonts w:ascii="Times" w:hAnsi="Times"/>
          <w:u w:val="single"/>
        </w:rPr>
        <w:t xml:space="preserve">Figure </w:t>
      </w:r>
      <w:r w:rsidR="00D0015C">
        <w:rPr>
          <w:rFonts w:ascii="Times" w:hAnsi="Times"/>
          <w:u w:val="single"/>
        </w:rPr>
        <w:t>S</w:t>
      </w:r>
      <w:r>
        <w:rPr>
          <w:rFonts w:ascii="Times" w:hAnsi="Times"/>
          <w:u w:val="single"/>
        </w:rPr>
        <w:t>5</w:t>
      </w:r>
      <w:r w:rsidR="008A5C11" w:rsidRPr="00355881">
        <w:rPr>
          <w:rFonts w:ascii="Times" w:hAnsi="Times"/>
          <w:u w:val="single"/>
        </w:rPr>
        <w:t>:</w:t>
      </w:r>
      <w:r w:rsidR="00F31234" w:rsidRPr="00355881">
        <w:rPr>
          <w:rFonts w:ascii="Times" w:hAnsi="Times"/>
          <w:u w:val="single"/>
        </w:rPr>
        <w:t xml:space="preserve"> </w:t>
      </w:r>
      <w:r w:rsidR="00EF4926">
        <w:rPr>
          <w:rFonts w:ascii="Times" w:hAnsi="Times"/>
          <w:u w:val="single"/>
        </w:rPr>
        <w:t>Identification</w:t>
      </w:r>
      <w:r w:rsidR="00610DED">
        <w:rPr>
          <w:rFonts w:ascii="Times" w:hAnsi="Times"/>
          <w:u w:val="single"/>
        </w:rPr>
        <w:t xml:space="preserve"> (a)</w:t>
      </w:r>
      <w:r w:rsidR="00EF4926">
        <w:rPr>
          <w:rFonts w:ascii="Times" w:hAnsi="Times"/>
          <w:u w:val="single"/>
        </w:rPr>
        <w:t xml:space="preserve"> and assessment</w:t>
      </w:r>
      <w:r w:rsidR="00610DED">
        <w:rPr>
          <w:rFonts w:ascii="Times" w:hAnsi="Times"/>
          <w:u w:val="single"/>
        </w:rPr>
        <w:t xml:space="preserve"> (b)</w:t>
      </w:r>
      <w:r w:rsidR="00EF4926">
        <w:rPr>
          <w:rFonts w:ascii="Times" w:hAnsi="Times"/>
          <w:u w:val="single"/>
        </w:rPr>
        <w:t xml:space="preserve"> of activation of microglia and macrophages in the spinal cord during EAE.</w:t>
      </w:r>
      <w:r w:rsidR="00BA618A" w:rsidRPr="00355881">
        <w:rPr>
          <w:rFonts w:ascii="Times" w:hAnsi="Times"/>
        </w:rPr>
        <w:t xml:space="preserve"> </w:t>
      </w:r>
      <w:r w:rsidR="00610DED">
        <w:rPr>
          <w:rFonts w:ascii="Times" w:hAnsi="Times"/>
          <w:b/>
        </w:rPr>
        <w:t>a.</w:t>
      </w:r>
      <w:r w:rsidR="00610DED">
        <w:rPr>
          <w:rFonts w:ascii="Times" w:hAnsi="Times"/>
        </w:rPr>
        <w:t xml:space="preserve"> Gating strategy showing gating for live, single cells using FSC and SSC followed by CD11b</w:t>
      </w:r>
      <w:r w:rsidR="00610DED" w:rsidRPr="00261409">
        <w:rPr>
          <w:rFonts w:ascii="Times" w:hAnsi="Times"/>
          <w:vertAlign w:val="superscript"/>
        </w:rPr>
        <w:t>+</w:t>
      </w:r>
      <w:r w:rsidR="00610DED">
        <w:rPr>
          <w:rFonts w:ascii="Times" w:hAnsi="Times"/>
        </w:rPr>
        <w:t xml:space="preserve"> but Gr-1</w:t>
      </w:r>
      <w:r w:rsidR="00610DED" w:rsidRPr="00261409">
        <w:rPr>
          <w:rFonts w:ascii="Times" w:hAnsi="Times"/>
          <w:vertAlign w:val="superscript"/>
        </w:rPr>
        <w:t>-</w:t>
      </w:r>
      <w:r w:rsidR="00610DED">
        <w:rPr>
          <w:rFonts w:ascii="Times" w:hAnsi="Times"/>
        </w:rPr>
        <w:t xml:space="preserve"> gating for macrophages and microglia. </w:t>
      </w:r>
      <w:r w:rsidR="00261409">
        <w:rPr>
          <w:rFonts w:ascii="Times" w:hAnsi="Times"/>
        </w:rPr>
        <w:t>CD14</w:t>
      </w:r>
      <w:r w:rsidR="00261409" w:rsidRPr="00261409">
        <w:rPr>
          <w:rFonts w:ascii="Times" w:hAnsi="Times"/>
          <w:vertAlign w:val="superscript"/>
        </w:rPr>
        <w:t>+</w:t>
      </w:r>
      <w:r w:rsidR="00261409">
        <w:rPr>
          <w:rFonts w:ascii="Times" w:hAnsi="Times"/>
        </w:rPr>
        <w:t>CD45</w:t>
      </w:r>
      <w:r w:rsidR="00261409" w:rsidRPr="00261409">
        <w:rPr>
          <w:rFonts w:ascii="Times" w:hAnsi="Times"/>
          <w:vertAlign w:val="superscript"/>
        </w:rPr>
        <w:t>high</w:t>
      </w:r>
      <w:r w:rsidR="00261409">
        <w:rPr>
          <w:rFonts w:ascii="Times" w:hAnsi="Times"/>
        </w:rPr>
        <w:t xml:space="preserve"> were considered macrophages and CD14</w:t>
      </w:r>
      <w:r w:rsidR="00261409" w:rsidRPr="00261409">
        <w:rPr>
          <w:rFonts w:ascii="Times" w:hAnsi="Times"/>
          <w:vertAlign w:val="superscript"/>
        </w:rPr>
        <w:t>-</w:t>
      </w:r>
      <w:r w:rsidR="00261409">
        <w:rPr>
          <w:rFonts w:ascii="Times" w:hAnsi="Times"/>
        </w:rPr>
        <w:t>CD45</w:t>
      </w:r>
      <w:r w:rsidR="00261409" w:rsidRPr="00261409">
        <w:rPr>
          <w:rFonts w:ascii="Times" w:hAnsi="Times"/>
          <w:vertAlign w:val="superscript"/>
        </w:rPr>
        <w:t>int</w:t>
      </w:r>
      <w:r w:rsidR="00261409">
        <w:rPr>
          <w:rFonts w:ascii="Times" w:hAnsi="Times"/>
        </w:rPr>
        <w:t xml:space="preserve"> were considered microglia. Shown are representative plots from vehicle-treated, immunized (top) and unimmunized (bottom) mice. </w:t>
      </w:r>
      <w:r w:rsidR="00261409">
        <w:rPr>
          <w:rFonts w:ascii="Times" w:hAnsi="Times"/>
          <w:b/>
        </w:rPr>
        <w:t>b.</w:t>
      </w:r>
      <w:r w:rsidR="00261409">
        <w:rPr>
          <w:rFonts w:ascii="Times" w:hAnsi="Times"/>
        </w:rPr>
        <w:t xml:space="preserve"> Representative plots indicate that microglia and macrophages express CD40 (top) and I-A (bottom) after but not before immunization. Dark lines indicate specific staining while the shaded histograms indicate the isotype control for this population. The change in MFI is shown for each plot (MFI of specific antibody – MFI of isotype).</w:t>
      </w:r>
    </w:p>
    <w:p w:rsidR="008A5C11" w:rsidRPr="00355881" w:rsidRDefault="008A5C11" w:rsidP="00D22871">
      <w:pPr>
        <w:jc w:val="both"/>
        <w:rPr>
          <w:rFonts w:ascii="Times" w:hAnsi="Times"/>
          <w:u w:val="single"/>
        </w:rPr>
      </w:pPr>
    </w:p>
    <w:p w:rsidR="008A5C11" w:rsidRPr="00355881" w:rsidRDefault="008A5C11" w:rsidP="00D22871">
      <w:pPr>
        <w:jc w:val="both"/>
        <w:rPr>
          <w:rFonts w:ascii="Times" w:hAnsi="Times"/>
          <w:u w:val="single"/>
        </w:rPr>
      </w:pPr>
    </w:p>
    <w:p w:rsidR="00836418" w:rsidRPr="00355881" w:rsidRDefault="00836418" w:rsidP="00D22871">
      <w:pPr>
        <w:jc w:val="both"/>
        <w:rPr>
          <w:rFonts w:ascii="Times" w:hAnsi="Times"/>
        </w:rPr>
      </w:pPr>
    </w:p>
    <w:sectPr w:rsidR="00836418" w:rsidRPr="00355881" w:rsidSect="0083641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FE1835"/>
    <w:rsid w:val="00011E69"/>
    <w:rsid w:val="00024C3E"/>
    <w:rsid w:val="00040D9B"/>
    <w:rsid w:val="00052F85"/>
    <w:rsid w:val="00054232"/>
    <w:rsid w:val="000C2F4F"/>
    <w:rsid w:val="000F1371"/>
    <w:rsid w:val="001103D8"/>
    <w:rsid w:val="00137231"/>
    <w:rsid w:val="00143A15"/>
    <w:rsid w:val="001638F5"/>
    <w:rsid w:val="001B2F88"/>
    <w:rsid w:val="001C7AE6"/>
    <w:rsid w:val="00203196"/>
    <w:rsid w:val="002165AB"/>
    <w:rsid w:val="00226CD4"/>
    <w:rsid w:val="00237B88"/>
    <w:rsid w:val="00251288"/>
    <w:rsid w:val="00254DB7"/>
    <w:rsid w:val="00261409"/>
    <w:rsid w:val="00285A63"/>
    <w:rsid w:val="00296126"/>
    <w:rsid w:val="00297810"/>
    <w:rsid w:val="002E6586"/>
    <w:rsid w:val="002F776A"/>
    <w:rsid w:val="00301A30"/>
    <w:rsid w:val="00301F37"/>
    <w:rsid w:val="00303EC2"/>
    <w:rsid w:val="0034142E"/>
    <w:rsid w:val="003555B3"/>
    <w:rsid w:val="00355881"/>
    <w:rsid w:val="00394E6A"/>
    <w:rsid w:val="00462628"/>
    <w:rsid w:val="00467EE3"/>
    <w:rsid w:val="00471E46"/>
    <w:rsid w:val="004810C0"/>
    <w:rsid w:val="00485978"/>
    <w:rsid w:val="004E1D89"/>
    <w:rsid w:val="004E48C8"/>
    <w:rsid w:val="004F5600"/>
    <w:rsid w:val="005100D7"/>
    <w:rsid w:val="00515AB8"/>
    <w:rsid w:val="005237CB"/>
    <w:rsid w:val="00542336"/>
    <w:rsid w:val="00560723"/>
    <w:rsid w:val="005635E4"/>
    <w:rsid w:val="00565AF7"/>
    <w:rsid w:val="0058025F"/>
    <w:rsid w:val="005939F7"/>
    <w:rsid w:val="005A6A05"/>
    <w:rsid w:val="005B6821"/>
    <w:rsid w:val="005E0CF7"/>
    <w:rsid w:val="005F213C"/>
    <w:rsid w:val="00610DED"/>
    <w:rsid w:val="00621150"/>
    <w:rsid w:val="006643A4"/>
    <w:rsid w:val="006B4BC6"/>
    <w:rsid w:val="007152D1"/>
    <w:rsid w:val="00723BEA"/>
    <w:rsid w:val="00727EBF"/>
    <w:rsid w:val="0075679C"/>
    <w:rsid w:val="00771E4D"/>
    <w:rsid w:val="00782332"/>
    <w:rsid w:val="00786711"/>
    <w:rsid w:val="0079375D"/>
    <w:rsid w:val="007948AF"/>
    <w:rsid w:val="00812E59"/>
    <w:rsid w:val="00814A3A"/>
    <w:rsid w:val="008206C3"/>
    <w:rsid w:val="0082604A"/>
    <w:rsid w:val="00836418"/>
    <w:rsid w:val="008908E2"/>
    <w:rsid w:val="00894F9B"/>
    <w:rsid w:val="008A5C11"/>
    <w:rsid w:val="008B61CB"/>
    <w:rsid w:val="008C46C0"/>
    <w:rsid w:val="008C673C"/>
    <w:rsid w:val="008D2D44"/>
    <w:rsid w:val="00957FE4"/>
    <w:rsid w:val="00963A46"/>
    <w:rsid w:val="00976BB5"/>
    <w:rsid w:val="009A30B7"/>
    <w:rsid w:val="009E183B"/>
    <w:rsid w:val="00A1204E"/>
    <w:rsid w:val="00A51FD0"/>
    <w:rsid w:val="00A67222"/>
    <w:rsid w:val="00A74696"/>
    <w:rsid w:val="00AA700F"/>
    <w:rsid w:val="00AE3D35"/>
    <w:rsid w:val="00AF563E"/>
    <w:rsid w:val="00B160FF"/>
    <w:rsid w:val="00B3046A"/>
    <w:rsid w:val="00B54544"/>
    <w:rsid w:val="00B865DF"/>
    <w:rsid w:val="00BA618A"/>
    <w:rsid w:val="00BD3CD8"/>
    <w:rsid w:val="00BE586F"/>
    <w:rsid w:val="00C33B2A"/>
    <w:rsid w:val="00C53390"/>
    <w:rsid w:val="00C80BB2"/>
    <w:rsid w:val="00C972AD"/>
    <w:rsid w:val="00D0015C"/>
    <w:rsid w:val="00D22871"/>
    <w:rsid w:val="00D43F21"/>
    <w:rsid w:val="00D45E9C"/>
    <w:rsid w:val="00D622E7"/>
    <w:rsid w:val="00D713FE"/>
    <w:rsid w:val="00D855EC"/>
    <w:rsid w:val="00DD5B6F"/>
    <w:rsid w:val="00DD7E01"/>
    <w:rsid w:val="00DE67DD"/>
    <w:rsid w:val="00E252D6"/>
    <w:rsid w:val="00E34662"/>
    <w:rsid w:val="00E50549"/>
    <w:rsid w:val="00E7627F"/>
    <w:rsid w:val="00EA0DD5"/>
    <w:rsid w:val="00EA5BA5"/>
    <w:rsid w:val="00EB529E"/>
    <w:rsid w:val="00EC0020"/>
    <w:rsid w:val="00EC7BF9"/>
    <w:rsid w:val="00EE65B5"/>
    <w:rsid w:val="00EF222C"/>
    <w:rsid w:val="00EF4926"/>
    <w:rsid w:val="00EF7F0E"/>
    <w:rsid w:val="00F24B6F"/>
    <w:rsid w:val="00F31234"/>
    <w:rsid w:val="00F91851"/>
    <w:rsid w:val="00F9205C"/>
    <w:rsid w:val="00FD585E"/>
    <w:rsid w:val="00FE1835"/>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1"/>
        <o:entry new="3"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35E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E18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B529E"/>
    <w:pPr>
      <w:tabs>
        <w:tab w:val="center" w:pos="4320"/>
        <w:tab w:val="right" w:pos="8640"/>
      </w:tabs>
    </w:pPr>
  </w:style>
  <w:style w:type="character" w:customStyle="1" w:styleId="HeaderChar">
    <w:name w:val="Header Char"/>
    <w:basedOn w:val="DefaultParagraphFont"/>
    <w:link w:val="Header"/>
    <w:rsid w:val="00EB529E"/>
  </w:style>
  <w:style w:type="paragraph" w:styleId="Footer">
    <w:name w:val="footer"/>
    <w:basedOn w:val="Normal"/>
    <w:link w:val="FooterChar"/>
    <w:rsid w:val="00EB529E"/>
    <w:pPr>
      <w:tabs>
        <w:tab w:val="center" w:pos="4320"/>
        <w:tab w:val="right" w:pos="8640"/>
      </w:tabs>
    </w:pPr>
  </w:style>
  <w:style w:type="character" w:customStyle="1" w:styleId="FooterChar">
    <w:name w:val="Footer Char"/>
    <w:basedOn w:val="DefaultParagraphFont"/>
    <w:link w:val="Footer"/>
    <w:rsid w:val="00EB529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38" Type="http://schemas.openxmlformats.org/officeDocument/2006/relationships/image" Target="media/image18.png"/><Relationship Id="rId39" Type="http://schemas.openxmlformats.org/officeDocument/2006/relationships/image" Target="media/image2.pdf"/><Relationship Id="rId40" Type="http://schemas.openxmlformats.org/officeDocument/2006/relationships/image" Target="media/image20.png"/><Relationship Id="rId41" Type="http://schemas.openxmlformats.org/officeDocument/2006/relationships/fontTable" Target="fontTable.xml"/><Relationship Id="rId4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117</Words>
  <Characters>668</Characters>
  <Application>Microsoft Macintosh Word</Application>
  <DocSecurity>0</DocSecurity>
  <Lines>5</Lines>
  <Paragraphs>1</Paragraphs>
  <ScaleCrop>false</ScaleCrop>
  <Company>Victoria University</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 Flamme</dc:creator>
  <cp:keywords/>
  <cp:lastModifiedBy>Anne La Flamme</cp:lastModifiedBy>
  <cp:revision>102</cp:revision>
  <dcterms:created xsi:type="dcterms:W3CDTF">2012-05-14T03:24:00Z</dcterms:created>
  <dcterms:modified xsi:type="dcterms:W3CDTF">2014-07-21T01:34:00Z</dcterms:modified>
</cp:coreProperties>
</file>