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D3" w:rsidRPr="005178B8" w:rsidRDefault="000663D3" w:rsidP="000663D3">
      <w:pPr>
        <w:spacing w:after="0" w:line="360" w:lineRule="auto"/>
        <w:rPr>
          <w:iCs/>
        </w:rPr>
      </w:pPr>
      <w:r w:rsidRPr="005178B8">
        <w:rPr>
          <w:iCs/>
        </w:rPr>
        <w:t xml:space="preserve">Table </w:t>
      </w:r>
      <w:r>
        <w:rPr>
          <w:iCs/>
        </w:rPr>
        <w:t>S</w:t>
      </w:r>
      <w:r w:rsidRPr="005178B8">
        <w:rPr>
          <w:iCs/>
        </w:rPr>
        <w:t xml:space="preserve">1: </w:t>
      </w:r>
      <w:r>
        <w:rPr>
          <w:iCs/>
        </w:rPr>
        <w:t xml:space="preserve">Additional descriptive statistics of the </w:t>
      </w:r>
      <w:r w:rsidR="00FA27EB">
        <w:rPr>
          <w:iCs/>
        </w:rPr>
        <w:t xml:space="preserve">patient </w:t>
      </w:r>
      <w:bookmarkStart w:id="0" w:name="_GoBack"/>
      <w:bookmarkEnd w:id="0"/>
      <w:r>
        <w:rPr>
          <w:iCs/>
        </w:rPr>
        <w:t>sample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544"/>
        <w:gridCol w:w="1418"/>
      </w:tblGrid>
      <w:tr w:rsidR="00D9210A" w:rsidRPr="00E07B70" w:rsidTr="00D74893">
        <w:trPr>
          <w:trHeight w:val="350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7B70">
              <w:rPr>
                <w:rFonts w:cs="Calibri"/>
                <w:b/>
                <w:sz w:val="20"/>
                <w:szCs w:val="20"/>
              </w:rPr>
              <w:t>Patient characteristic</w:t>
            </w:r>
            <w:r>
              <w:rPr>
                <w:rFonts w:cs="Calibri"/>
                <w:b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E07B70">
              <w:rPr>
                <w:rFonts w:cs="Calibri"/>
                <w:b/>
                <w:sz w:val="20"/>
                <w:szCs w:val="20"/>
              </w:rPr>
              <w:t>N (%)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Ethnicity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White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259 (86.3%)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Non-white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41 (13.7%)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Occupational class</w:t>
            </w:r>
            <w:r w:rsidRPr="00E07B70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1 (highest)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30 (10.0%)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53 (17.7%)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40 (13.3%)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47 (15.7%)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42 (14.0%)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35 (11.7%)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53 (17.7%)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 w:val="restart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Highest qualification</w:t>
            </w:r>
            <w:r w:rsidRPr="00E07B70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No qualification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75 (25.0%)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School qualifications (</w:t>
            </w:r>
            <w:proofErr w:type="spellStart"/>
            <w:r w:rsidRPr="00E07B7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E07B70">
              <w:rPr>
                <w:rFonts w:cs="Calibri"/>
                <w:sz w:val="20"/>
                <w:szCs w:val="20"/>
              </w:rPr>
              <w:t xml:space="preserve"> ‘O’ level, GCSE)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54 (18.0%)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College qualifications (</w:t>
            </w:r>
            <w:proofErr w:type="spellStart"/>
            <w:r w:rsidRPr="00E07B7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E07B70">
              <w:rPr>
                <w:rFonts w:cs="Calibri"/>
                <w:sz w:val="20"/>
                <w:szCs w:val="20"/>
              </w:rPr>
              <w:t xml:space="preserve"> ‘A’ level)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59 (19.7%)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Vocational (</w:t>
            </w:r>
            <w:proofErr w:type="spellStart"/>
            <w:r w:rsidRPr="00E07B7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E07B70">
              <w:rPr>
                <w:rFonts w:cs="Calibri"/>
                <w:sz w:val="20"/>
                <w:szCs w:val="20"/>
              </w:rPr>
              <w:t xml:space="preserve"> NVQ, HNC, HND)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39 (13.0%)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Degree or professional</w:t>
            </w:r>
            <w:r>
              <w:rPr>
                <w:rFonts w:cs="Calibri"/>
                <w:sz w:val="20"/>
                <w:szCs w:val="20"/>
              </w:rPr>
              <w:t xml:space="preserve"> qualification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54 (18.0%)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Higher degree (</w:t>
            </w:r>
            <w:proofErr w:type="spellStart"/>
            <w:r w:rsidRPr="00E07B70">
              <w:rPr>
                <w:rFonts w:cs="Calibri"/>
                <w:sz w:val="20"/>
                <w:szCs w:val="20"/>
              </w:rPr>
              <w:t>eg</w:t>
            </w:r>
            <w:proofErr w:type="spellEnd"/>
            <w:r w:rsidRPr="00E07B70">
              <w:rPr>
                <w:rFonts w:cs="Calibri"/>
                <w:sz w:val="20"/>
                <w:szCs w:val="20"/>
              </w:rPr>
              <w:t xml:space="preserve"> MA, PhD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19 (6.3%)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 w:val="restart"/>
            <w:vAlign w:val="center"/>
          </w:tcPr>
          <w:p w:rsidR="00D9210A" w:rsidRPr="00D9210A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07B70">
              <w:rPr>
                <w:rFonts w:cs="Calibri"/>
                <w:sz w:val="20"/>
                <w:szCs w:val="20"/>
              </w:rPr>
              <w:t>Income</w:t>
            </w:r>
            <w:r w:rsidRPr="00E07B70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Up to £5,199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17 (5.7%)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£5,200-£10,399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82 (27.3%)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£10,400-£15,599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78 (26.0%)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£15,600-£20,799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49 (16.3%)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£20,800-£25,999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25 (8.3%)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£26,000-£31,999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19 (6.3%)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£32,000-£51,999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21 (7.0%)</w:t>
            </w:r>
          </w:p>
        </w:tc>
      </w:tr>
      <w:tr w:rsidR="00D9210A" w:rsidRPr="00E07B70" w:rsidTr="00D74893">
        <w:trPr>
          <w:trHeight w:val="350"/>
        </w:trPr>
        <w:tc>
          <w:tcPr>
            <w:tcW w:w="2093" w:type="dxa"/>
            <w:vMerge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£52,000 or more</w:t>
            </w:r>
          </w:p>
        </w:tc>
        <w:tc>
          <w:tcPr>
            <w:tcW w:w="1418" w:type="dxa"/>
            <w:vAlign w:val="center"/>
          </w:tcPr>
          <w:p w:rsidR="00D9210A" w:rsidRPr="00E07B70" w:rsidRDefault="00D9210A" w:rsidP="00D74893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07B70">
              <w:rPr>
                <w:color w:val="000000"/>
                <w:sz w:val="20"/>
                <w:szCs w:val="20"/>
              </w:rPr>
              <w:t>9 (3.0%)</w:t>
            </w:r>
          </w:p>
        </w:tc>
      </w:tr>
    </w:tbl>
    <w:p w:rsidR="000663D3" w:rsidRDefault="000663D3" w:rsidP="000663D3">
      <w:pPr>
        <w:spacing w:after="0" w:line="360" w:lineRule="auto"/>
        <w:rPr>
          <w:sz w:val="24"/>
          <w:szCs w:val="24"/>
        </w:rPr>
      </w:pPr>
      <w:r w:rsidRPr="00E07B70">
        <w:rPr>
          <w:rFonts w:cs="Calibri"/>
          <w:sz w:val="20"/>
          <w:szCs w:val="20"/>
          <w:vertAlign w:val="superscript"/>
        </w:rPr>
        <w:t>1</w:t>
      </w:r>
      <w:r w:rsidRPr="00E07B70">
        <w:rPr>
          <w:rFonts w:cs="Calibri"/>
          <w:sz w:val="20"/>
          <w:szCs w:val="20"/>
        </w:rPr>
        <w:t>Used as a continuous variable in regression analysis</w:t>
      </w:r>
    </w:p>
    <w:p w:rsidR="000663D3" w:rsidRDefault="000663D3" w:rsidP="000663D3">
      <w:r>
        <w:br w:type="page"/>
      </w:r>
    </w:p>
    <w:p w:rsidR="00EA6B58" w:rsidRPr="00EA6B58" w:rsidRDefault="00EA6B58" w:rsidP="00EA6B58">
      <w:pPr>
        <w:spacing w:after="0"/>
        <w:rPr>
          <w:rFonts w:asciiTheme="minorHAnsi" w:eastAsiaTheme="minorHAnsi" w:hAnsiTheme="minorHAnsi" w:cstheme="minorBidi"/>
          <w:lang w:eastAsia="en-US"/>
        </w:rPr>
      </w:pPr>
      <w:r w:rsidRPr="00EA6B58">
        <w:rPr>
          <w:rFonts w:asciiTheme="minorHAnsi" w:eastAsiaTheme="minorHAnsi" w:hAnsiTheme="minorHAnsi" w:cstheme="minorBidi"/>
          <w:lang w:eastAsia="en-US"/>
        </w:rPr>
        <w:lastRenderedPageBreak/>
        <w:t>Table S2: Summary of regression analysis of outcomes at Time 1 by patient characteristics</w:t>
      </w:r>
    </w:p>
    <w:tbl>
      <w:tblPr>
        <w:tblW w:w="524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1391"/>
        <w:gridCol w:w="1442"/>
        <w:gridCol w:w="1308"/>
        <w:gridCol w:w="1269"/>
        <w:gridCol w:w="1416"/>
        <w:gridCol w:w="1416"/>
        <w:gridCol w:w="1252"/>
      </w:tblGrid>
      <w:tr w:rsidR="009D5A88" w:rsidRPr="00EA6B58" w:rsidTr="00050CDF">
        <w:trPr>
          <w:trHeight w:val="439"/>
        </w:trPr>
        <w:tc>
          <w:tcPr>
            <w:tcW w:w="1189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160D2F" w:rsidRPr="00016F64" w:rsidRDefault="00160D2F" w:rsidP="00050CDF">
            <w:pPr>
              <w:spacing w:after="0" w:line="36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Explanatory variable</w:t>
            </w:r>
          </w:p>
        </w:tc>
        <w:tc>
          <w:tcPr>
            <w:tcW w:w="678" w:type="pct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Self-management</w:t>
            </w:r>
          </w:p>
        </w:tc>
        <w:tc>
          <w:tcPr>
            <w:tcW w:w="615" w:type="pct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Healthy behaviours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Physical health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Emotional well-being</w:t>
            </w:r>
          </w:p>
        </w:tc>
        <w:tc>
          <w:tcPr>
            <w:tcW w:w="666" w:type="pct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QALYs</w:t>
            </w:r>
          </w:p>
        </w:tc>
        <w:tc>
          <w:tcPr>
            <w:tcW w:w="589" w:type="pct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Service costs</w:t>
            </w: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vMerge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8" w:type="pct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  <w:tc>
          <w:tcPr>
            <w:tcW w:w="615" w:type="pct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  <w:tc>
          <w:tcPr>
            <w:tcW w:w="666" w:type="pct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  <w:tc>
          <w:tcPr>
            <w:tcW w:w="666" w:type="pct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  <w:tc>
          <w:tcPr>
            <w:tcW w:w="589" w:type="pct"/>
            <w:vAlign w:val="center"/>
          </w:tcPr>
          <w:p w:rsidR="00160D2F" w:rsidRPr="00EA6B58" w:rsidRDefault="00160D2F" w:rsidP="00050CDF">
            <w:pPr>
              <w:spacing w:after="0"/>
              <w:rPr>
                <w:rFonts w:asciiTheme="minorHAnsi" w:eastAsiaTheme="minorHAnsi" w:hAnsiTheme="minorHAnsi" w:cstheme="minorBidi"/>
                <w:lang w:eastAsia="en-US"/>
              </w:rPr>
            </w:pPr>
            <w:proofErr w:type="spellStart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Coeff</w:t>
            </w:r>
            <w:proofErr w:type="spellEnd"/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 (SE)</w:t>
            </w:r>
          </w:p>
        </w:tc>
      </w:tr>
      <w:tr w:rsidR="00160D2F" w:rsidRPr="00EA6B58" w:rsidTr="00050CDF">
        <w:trPr>
          <w:trHeight w:val="439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EA6B58">
              <w:rPr>
                <w:rFonts w:asciiTheme="minorHAnsi" w:eastAsiaTheme="minorHAnsi" w:hAnsiTheme="minorHAnsi" w:cs="Calibri"/>
                <w:b/>
                <w:bCs/>
                <w:iCs/>
                <w:sz w:val="18"/>
                <w:szCs w:val="18"/>
                <w:lang w:eastAsia="en-US"/>
              </w:rPr>
              <w:t>Sociodemographic</w:t>
            </w:r>
            <w:proofErr w:type="spellEnd"/>
            <w:r w:rsidRPr="00EA6B58">
              <w:rPr>
                <w:rFonts w:asciiTheme="minorHAnsi" w:eastAsiaTheme="minorHAnsi" w:hAnsiTheme="minorHAnsi" w:cs="Calibri"/>
                <w:b/>
                <w:bCs/>
                <w:iCs/>
                <w:sz w:val="18"/>
                <w:szCs w:val="18"/>
                <w:lang w:eastAsia="en-US"/>
              </w:rPr>
              <w:t xml:space="preserve"> characteristics </w:t>
            </w: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Age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.013* (.006)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.42*** (.13)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.71** (.24)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Gender (Female)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.12* (.057)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.34* (.15)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Ethnicity (non-white)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.51* (.20)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Deprivation (IMD)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-.053* (.027)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-.35* (.15)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Occupational class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Qualifications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 xml:space="preserve">Income 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1.11*** (.29)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1.75* (.87)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6.02*** (1.67)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60D2F" w:rsidRPr="00EA6B58" w:rsidTr="00050CDF">
        <w:trPr>
          <w:trHeight w:val="439"/>
        </w:trPr>
        <w:tc>
          <w:tcPr>
            <w:tcW w:w="5000" w:type="pct"/>
            <w:gridSpan w:val="8"/>
            <w:shd w:val="clear" w:color="auto" w:fill="auto"/>
            <w:noWrap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/>
                <w:color w:val="000000"/>
                <w:sz w:val="18"/>
                <w:szCs w:val="18"/>
                <w:lang w:eastAsia="en-US"/>
              </w:rPr>
              <w:t>Disease burden</w:t>
            </w:r>
          </w:p>
        </w:tc>
      </w:tr>
      <w:tr w:rsidR="009D5A88" w:rsidRPr="00EA6B58" w:rsidTr="00050CDF">
        <w:trPr>
          <w:trHeight w:val="439"/>
        </w:trPr>
        <w:tc>
          <w:tcPr>
            <w:tcW w:w="1189" w:type="pct"/>
            <w:gridSpan w:val="2"/>
            <w:shd w:val="clear" w:color="auto" w:fill="auto"/>
            <w:noWrap/>
            <w:vAlign w:val="center"/>
            <w:hideMark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N of conditions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-.087*** (.026)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-.26*** (.067)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-4.57*** (.44)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-8.69*** (1.28)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  <w:t>-23.1*** (2.35)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160D2F" w:rsidRPr="00EA6B58" w:rsidRDefault="00160D2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050CDF" w:rsidRPr="00EA6B58" w:rsidTr="00050CDF">
        <w:trPr>
          <w:trHeight w:val="439"/>
        </w:trPr>
        <w:tc>
          <w:tcPr>
            <w:tcW w:w="535" w:type="pct"/>
            <w:vMerge w:val="restart"/>
            <w:shd w:val="clear" w:color="auto" w:fill="auto"/>
            <w:noWrap/>
            <w:vAlign w:val="center"/>
            <w:hideMark/>
          </w:tcPr>
          <w:p w:rsidR="00050CDF" w:rsidRPr="009D5A8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vertAlign w:val="superscript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Main conditions</w:t>
            </w: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654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CHD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-.16*** (.22)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-1.26* (1.35)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-.75** (3.50)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-16.9*** (7.78)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050CDF" w:rsidRPr="00EA6B58" w:rsidTr="00050CDF">
        <w:trPr>
          <w:trHeight w:val="439"/>
        </w:trPr>
        <w:tc>
          <w:tcPr>
            <w:tcW w:w="535" w:type="pct"/>
            <w:vMerge/>
            <w:shd w:val="clear" w:color="auto" w:fill="auto"/>
            <w:noWrap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CHD + diabetes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.58 (.23)</w:t>
            </w:r>
          </w:p>
        </w:tc>
        <w:tc>
          <w:tcPr>
            <w:tcW w:w="597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3.29 (1.44)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10.25 (3.71)</w:t>
            </w:r>
          </w:p>
        </w:tc>
        <w:tc>
          <w:tcPr>
            <w:tcW w:w="66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</w:pPr>
            <w:r w:rsidRPr="00EA6B58">
              <w:rPr>
                <w:rFonts w:asciiTheme="minorHAnsi" w:eastAsia="Times New Roman" w:hAnsiTheme="minorHAnsi" w:cs="Calibri"/>
                <w:color w:val="000000"/>
                <w:sz w:val="18"/>
                <w:szCs w:val="18"/>
                <w:lang w:eastAsia="en-US"/>
              </w:rPr>
              <w:t>6.53 (8.48)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0CDF" w:rsidRPr="00EA6B58" w:rsidRDefault="00050CDF" w:rsidP="00050CDF">
            <w:pPr>
              <w:spacing w:after="0" w:line="240" w:lineRule="auto"/>
              <w:rPr>
                <w:rFonts w:asciiTheme="minorHAnsi" w:eastAsia="Times New Roman" w:hAnsiTheme="minorHAnsi" w:cs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EA6B58" w:rsidRPr="00EA6B58" w:rsidRDefault="00EA6B58" w:rsidP="00EA6B58">
      <w:pPr>
        <w:spacing w:after="0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EA6B58">
        <w:rPr>
          <w:rFonts w:asciiTheme="minorHAnsi" w:eastAsiaTheme="minorHAnsi" w:hAnsiTheme="minorHAnsi" w:cstheme="minorBidi"/>
          <w:sz w:val="18"/>
          <w:szCs w:val="18"/>
          <w:lang w:eastAsia="en-US"/>
        </w:rPr>
        <w:t>*p&lt;=0.05; **p&lt;0.01; ***p&lt;=0.001</w:t>
      </w:r>
    </w:p>
    <w:p w:rsidR="00EA6B58" w:rsidRPr="00EA6B58" w:rsidRDefault="00EA6B58" w:rsidP="00EA6B58">
      <w:pPr>
        <w:spacing w:after="0"/>
        <w:rPr>
          <w:rFonts w:asciiTheme="minorHAnsi" w:eastAsia="Times New Roman" w:hAnsiTheme="minorHAnsi" w:cs="Calibri"/>
          <w:color w:val="000000"/>
          <w:sz w:val="18"/>
          <w:szCs w:val="18"/>
          <w:lang w:eastAsia="en-US"/>
        </w:rPr>
      </w:pPr>
      <w:r w:rsidRPr="00EA6B58">
        <w:rPr>
          <w:rFonts w:asciiTheme="minorHAnsi" w:eastAsia="Times New Roman" w:hAnsiTheme="minorHAnsi" w:cs="Calibri"/>
          <w:color w:val="000000"/>
          <w:sz w:val="18"/>
          <w:szCs w:val="18"/>
          <w:vertAlign w:val="superscript"/>
          <w:lang w:eastAsia="en-US"/>
        </w:rPr>
        <w:t>1</w:t>
      </w:r>
      <w:r w:rsidRPr="00EA6B58">
        <w:rPr>
          <w:rFonts w:asciiTheme="minorHAnsi" w:eastAsia="Times New Roman" w:hAnsiTheme="minorHAnsi" w:cs="Calibri"/>
          <w:color w:val="000000"/>
          <w:sz w:val="18"/>
          <w:szCs w:val="18"/>
          <w:lang w:eastAsia="en-US"/>
        </w:rPr>
        <w:t>Compared to diabetes</w:t>
      </w:r>
    </w:p>
    <w:p w:rsidR="00EA6B58" w:rsidRPr="00EA6B58" w:rsidRDefault="00EA6B58" w:rsidP="00EA6B58">
      <w:pPr>
        <w:spacing w:after="0"/>
        <w:rPr>
          <w:rFonts w:asciiTheme="minorHAnsi" w:eastAsia="Times New Roman" w:hAnsiTheme="minorHAnsi" w:cs="Calibri"/>
          <w:color w:val="000000"/>
          <w:sz w:val="18"/>
          <w:szCs w:val="18"/>
          <w:lang w:eastAsia="en-US"/>
        </w:rPr>
      </w:pPr>
      <w:r w:rsidRPr="00EA6B58">
        <w:rPr>
          <w:rFonts w:asciiTheme="minorHAnsi" w:eastAsia="Times New Roman" w:hAnsiTheme="minorHAnsi" w:cs="Calibri"/>
          <w:color w:val="000000"/>
          <w:sz w:val="18"/>
          <w:szCs w:val="18"/>
          <w:vertAlign w:val="superscript"/>
          <w:lang w:eastAsia="en-US"/>
        </w:rPr>
        <w:t>2</w:t>
      </w:r>
      <w:r w:rsidRPr="00EA6B58">
        <w:rPr>
          <w:rFonts w:asciiTheme="minorHAnsi" w:eastAsia="Times New Roman" w:hAnsiTheme="minorHAnsi" w:cs="Calibri"/>
          <w:color w:val="000000"/>
          <w:sz w:val="18"/>
          <w:szCs w:val="18"/>
          <w:lang w:eastAsia="en-US"/>
        </w:rPr>
        <w:t>Significance refers to joint test across all three levels</w:t>
      </w:r>
    </w:p>
    <w:p w:rsidR="00EA6B58" w:rsidRPr="00EA6B58" w:rsidRDefault="00EA6B58" w:rsidP="00EA6B58">
      <w:pPr>
        <w:spacing w:after="0"/>
        <w:rPr>
          <w:rFonts w:asciiTheme="minorHAnsi" w:eastAsiaTheme="minorHAnsi" w:hAnsiTheme="minorHAnsi" w:cstheme="minorBidi"/>
          <w:lang w:eastAsia="en-US"/>
        </w:rPr>
      </w:pPr>
      <w:r w:rsidRPr="00EA6B58">
        <w:rPr>
          <w:rFonts w:asciiTheme="minorHAnsi" w:eastAsia="Times New Roman" w:hAnsiTheme="minorHAnsi" w:cs="Calibri"/>
          <w:color w:val="000000"/>
          <w:sz w:val="18"/>
          <w:szCs w:val="18"/>
          <w:vertAlign w:val="superscript"/>
          <w:lang w:eastAsia="en-US"/>
        </w:rPr>
        <w:t>3</w:t>
      </w:r>
      <w:r w:rsidRPr="00EA6B58">
        <w:rPr>
          <w:rFonts w:asciiTheme="minorHAnsi" w:eastAsia="Times New Roman" w:hAnsiTheme="minorHAnsi" w:cs="Calibri"/>
          <w:color w:val="000000"/>
          <w:sz w:val="18"/>
          <w:szCs w:val="18"/>
          <w:lang w:eastAsia="en-US"/>
        </w:rPr>
        <w:t>No significant relationship found with any explanatory variable</w:t>
      </w:r>
    </w:p>
    <w:p w:rsidR="00AD675E" w:rsidRPr="000663D3" w:rsidRDefault="00AD675E" w:rsidP="000663D3"/>
    <w:sectPr w:rsidR="00AD675E" w:rsidRPr="000663D3" w:rsidSect="00770A13">
      <w:pgSz w:w="11906" w:h="16838"/>
      <w:pgMar w:top="1440" w:right="851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577"/>
    <w:rsid w:val="000024DC"/>
    <w:rsid w:val="00002684"/>
    <w:rsid w:val="00003645"/>
    <w:rsid w:val="0000552A"/>
    <w:rsid w:val="00010F96"/>
    <w:rsid w:val="00017FD6"/>
    <w:rsid w:val="000304E3"/>
    <w:rsid w:val="000446FB"/>
    <w:rsid w:val="0004629B"/>
    <w:rsid w:val="00050CDF"/>
    <w:rsid w:val="00051FDA"/>
    <w:rsid w:val="00053B9A"/>
    <w:rsid w:val="0005588C"/>
    <w:rsid w:val="000663D3"/>
    <w:rsid w:val="0007000F"/>
    <w:rsid w:val="000700A9"/>
    <w:rsid w:val="00072C13"/>
    <w:rsid w:val="0009374E"/>
    <w:rsid w:val="00093AC0"/>
    <w:rsid w:val="00093D96"/>
    <w:rsid w:val="000A3BC6"/>
    <w:rsid w:val="000A7031"/>
    <w:rsid w:val="000B1F25"/>
    <w:rsid w:val="000C31BA"/>
    <w:rsid w:val="000C678C"/>
    <w:rsid w:val="000C6ECC"/>
    <w:rsid w:val="000E3711"/>
    <w:rsid w:val="000E480E"/>
    <w:rsid w:val="000E5D14"/>
    <w:rsid w:val="000F1136"/>
    <w:rsid w:val="000F572B"/>
    <w:rsid w:val="000F75B8"/>
    <w:rsid w:val="0010075C"/>
    <w:rsid w:val="00103595"/>
    <w:rsid w:val="001053E8"/>
    <w:rsid w:val="001056A2"/>
    <w:rsid w:val="0011381E"/>
    <w:rsid w:val="00123A8C"/>
    <w:rsid w:val="00125101"/>
    <w:rsid w:val="001315A0"/>
    <w:rsid w:val="00131B30"/>
    <w:rsid w:val="001334E4"/>
    <w:rsid w:val="001342D2"/>
    <w:rsid w:val="0014127B"/>
    <w:rsid w:val="0014236B"/>
    <w:rsid w:val="001467B8"/>
    <w:rsid w:val="001528FB"/>
    <w:rsid w:val="00152E82"/>
    <w:rsid w:val="00154CDD"/>
    <w:rsid w:val="00155569"/>
    <w:rsid w:val="00160D2F"/>
    <w:rsid w:val="00165407"/>
    <w:rsid w:val="0016580C"/>
    <w:rsid w:val="00172905"/>
    <w:rsid w:val="00173D95"/>
    <w:rsid w:val="0017509A"/>
    <w:rsid w:val="00181916"/>
    <w:rsid w:val="00182062"/>
    <w:rsid w:val="001825BE"/>
    <w:rsid w:val="001853EA"/>
    <w:rsid w:val="00196AA7"/>
    <w:rsid w:val="001A1B69"/>
    <w:rsid w:val="001A3A7C"/>
    <w:rsid w:val="001A64B6"/>
    <w:rsid w:val="001B0F80"/>
    <w:rsid w:val="001C12E1"/>
    <w:rsid w:val="001C1FE0"/>
    <w:rsid w:val="001C39B7"/>
    <w:rsid w:val="001C7CAF"/>
    <w:rsid w:val="001E7EF3"/>
    <w:rsid w:val="001F2F12"/>
    <w:rsid w:val="001F458D"/>
    <w:rsid w:val="001F4DC8"/>
    <w:rsid w:val="001F4F93"/>
    <w:rsid w:val="00207594"/>
    <w:rsid w:val="00207C62"/>
    <w:rsid w:val="00212151"/>
    <w:rsid w:val="0021481D"/>
    <w:rsid w:val="00223989"/>
    <w:rsid w:val="00230A44"/>
    <w:rsid w:val="00230DF0"/>
    <w:rsid w:val="00232577"/>
    <w:rsid w:val="00233616"/>
    <w:rsid w:val="00235519"/>
    <w:rsid w:val="00237C1E"/>
    <w:rsid w:val="002469EE"/>
    <w:rsid w:val="00250D89"/>
    <w:rsid w:val="00250F68"/>
    <w:rsid w:val="00256DA5"/>
    <w:rsid w:val="002603F4"/>
    <w:rsid w:val="0026439E"/>
    <w:rsid w:val="002666BC"/>
    <w:rsid w:val="0029249B"/>
    <w:rsid w:val="00296126"/>
    <w:rsid w:val="002975B3"/>
    <w:rsid w:val="002A1283"/>
    <w:rsid w:val="002B105A"/>
    <w:rsid w:val="002C5345"/>
    <w:rsid w:val="002C6D54"/>
    <w:rsid w:val="002D0F7A"/>
    <w:rsid w:val="002D2056"/>
    <w:rsid w:val="003042A0"/>
    <w:rsid w:val="00304A12"/>
    <w:rsid w:val="00311618"/>
    <w:rsid w:val="00312214"/>
    <w:rsid w:val="00315017"/>
    <w:rsid w:val="00322281"/>
    <w:rsid w:val="003230FF"/>
    <w:rsid w:val="0032647E"/>
    <w:rsid w:val="00326C46"/>
    <w:rsid w:val="00331FF0"/>
    <w:rsid w:val="00344610"/>
    <w:rsid w:val="00361139"/>
    <w:rsid w:val="00362A90"/>
    <w:rsid w:val="00365B36"/>
    <w:rsid w:val="00367019"/>
    <w:rsid w:val="00374302"/>
    <w:rsid w:val="00376979"/>
    <w:rsid w:val="00383381"/>
    <w:rsid w:val="003901DC"/>
    <w:rsid w:val="00396ABA"/>
    <w:rsid w:val="00396CF6"/>
    <w:rsid w:val="003A1B4A"/>
    <w:rsid w:val="003B2010"/>
    <w:rsid w:val="003B3F77"/>
    <w:rsid w:val="003B4F09"/>
    <w:rsid w:val="003D1D51"/>
    <w:rsid w:val="003D5FA5"/>
    <w:rsid w:val="003D67C2"/>
    <w:rsid w:val="003D6AE9"/>
    <w:rsid w:val="003E1F0E"/>
    <w:rsid w:val="003E37E7"/>
    <w:rsid w:val="003E6919"/>
    <w:rsid w:val="003E73B4"/>
    <w:rsid w:val="003E7F21"/>
    <w:rsid w:val="003F4133"/>
    <w:rsid w:val="003F6D42"/>
    <w:rsid w:val="00407A8C"/>
    <w:rsid w:val="0042304D"/>
    <w:rsid w:val="004324D6"/>
    <w:rsid w:val="0043331B"/>
    <w:rsid w:val="00442A1D"/>
    <w:rsid w:val="0044692E"/>
    <w:rsid w:val="00450090"/>
    <w:rsid w:val="00452C4F"/>
    <w:rsid w:val="00453ED0"/>
    <w:rsid w:val="0045437E"/>
    <w:rsid w:val="00457068"/>
    <w:rsid w:val="00457BB0"/>
    <w:rsid w:val="004631F9"/>
    <w:rsid w:val="004653BC"/>
    <w:rsid w:val="00465EA2"/>
    <w:rsid w:val="00475CF4"/>
    <w:rsid w:val="0048050F"/>
    <w:rsid w:val="004851AC"/>
    <w:rsid w:val="0049556A"/>
    <w:rsid w:val="004961AC"/>
    <w:rsid w:val="004A185B"/>
    <w:rsid w:val="004A2FDD"/>
    <w:rsid w:val="004B4287"/>
    <w:rsid w:val="004B7B4F"/>
    <w:rsid w:val="004C4A05"/>
    <w:rsid w:val="004C4C44"/>
    <w:rsid w:val="004D07EB"/>
    <w:rsid w:val="004D7BB5"/>
    <w:rsid w:val="004E47AC"/>
    <w:rsid w:val="004E6116"/>
    <w:rsid w:val="004F21C4"/>
    <w:rsid w:val="004F2D27"/>
    <w:rsid w:val="004F4D8E"/>
    <w:rsid w:val="0051233D"/>
    <w:rsid w:val="00514FEE"/>
    <w:rsid w:val="00525C83"/>
    <w:rsid w:val="00526A73"/>
    <w:rsid w:val="00531415"/>
    <w:rsid w:val="00532104"/>
    <w:rsid w:val="00534E1B"/>
    <w:rsid w:val="005421D3"/>
    <w:rsid w:val="00546B2C"/>
    <w:rsid w:val="0055356B"/>
    <w:rsid w:val="00555FE7"/>
    <w:rsid w:val="0057290B"/>
    <w:rsid w:val="0057343D"/>
    <w:rsid w:val="00580E24"/>
    <w:rsid w:val="005827E8"/>
    <w:rsid w:val="0058403A"/>
    <w:rsid w:val="00587713"/>
    <w:rsid w:val="005A21B9"/>
    <w:rsid w:val="005A61C8"/>
    <w:rsid w:val="005B4786"/>
    <w:rsid w:val="005B78BB"/>
    <w:rsid w:val="005C000C"/>
    <w:rsid w:val="005D3707"/>
    <w:rsid w:val="005D5435"/>
    <w:rsid w:val="005D566E"/>
    <w:rsid w:val="005D7AAA"/>
    <w:rsid w:val="005F09D8"/>
    <w:rsid w:val="005F50B9"/>
    <w:rsid w:val="00603A14"/>
    <w:rsid w:val="00604791"/>
    <w:rsid w:val="006079ED"/>
    <w:rsid w:val="00612EC5"/>
    <w:rsid w:val="00614C51"/>
    <w:rsid w:val="00617C07"/>
    <w:rsid w:val="00625902"/>
    <w:rsid w:val="00631B4C"/>
    <w:rsid w:val="00644BEC"/>
    <w:rsid w:val="00645E25"/>
    <w:rsid w:val="00650A69"/>
    <w:rsid w:val="0065354B"/>
    <w:rsid w:val="006629B8"/>
    <w:rsid w:val="0066559D"/>
    <w:rsid w:val="00667DF7"/>
    <w:rsid w:val="00677CA9"/>
    <w:rsid w:val="00677FB5"/>
    <w:rsid w:val="00682036"/>
    <w:rsid w:val="00684053"/>
    <w:rsid w:val="006900F4"/>
    <w:rsid w:val="0069605D"/>
    <w:rsid w:val="006A43CF"/>
    <w:rsid w:val="006A5EFF"/>
    <w:rsid w:val="006A63D4"/>
    <w:rsid w:val="006A7260"/>
    <w:rsid w:val="006A7CF4"/>
    <w:rsid w:val="006B7FF1"/>
    <w:rsid w:val="006C28D6"/>
    <w:rsid w:val="006C431E"/>
    <w:rsid w:val="006C4CCC"/>
    <w:rsid w:val="006C72E3"/>
    <w:rsid w:val="006D22E5"/>
    <w:rsid w:val="006D457C"/>
    <w:rsid w:val="006D4C6A"/>
    <w:rsid w:val="006E1BEE"/>
    <w:rsid w:val="006F0C7E"/>
    <w:rsid w:val="006F2467"/>
    <w:rsid w:val="007027B0"/>
    <w:rsid w:val="00731AF3"/>
    <w:rsid w:val="00732313"/>
    <w:rsid w:val="00736294"/>
    <w:rsid w:val="007367F0"/>
    <w:rsid w:val="007477F1"/>
    <w:rsid w:val="00747C80"/>
    <w:rsid w:val="00757459"/>
    <w:rsid w:val="00762568"/>
    <w:rsid w:val="00763861"/>
    <w:rsid w:val="00763BB1"/>
    <w:rsid w:val="007674F8"/>
    <w:rsid w:val="0077027D"/>
    <w:rsid w:val="007725DE"/>
    <w:rsid w:val="0078577B"/>
    <w:rsid w:val="00790678"/>
    <w:rsid w:val="007A5CAF"/>
    <w:rsid w:val="007A73B4"/>
    <w:rsid w:val="007B0280"/>
    <w:rsid w:val="007B2A29"/>
    <w:rsid w:val="007B3CD4"/>
    <w:rsid w:val="007C5910"/>
    <w:rsid w:val="007D550D"/>
    <w:rsid w:val="007E52A5"/>
    <w:rsid w:val="007F6149"/>
    <w:rsid w:val="00803D97"/>
    <w:rsid w:val="00804409"/>
    <w:rsid w:val="00805019"/>
    <w:rsid w:val="0081568E"/>
    <w:rsid w:val="00821617"/>
    <w:rsid w:val="00823715"/>
    <w:rsid w:val="008245A4"/>
    <w:rsid w:val="00835B94"/>
    <w:rsid w:val="00835C17"/>
    <w:rsid w:val="008370F0"/>
    <w:rsid w:val="00850A12"/>
    <w:rsid w:val="00850E11"/>
    <w:rsid w:val="0085735A"/>
    <w:rsid w:val="00860F6D"/>
    <w:rsid w:val="008657CB"/>
    <w:rsid w:val="0087082D"/>
    <w:rsid w:val="0087449D"/>
    <w:rsid w:val="00883787"/>
    <w:rsid w:val="008868C6"/>
    <w:rsid w:val="008971B0"/>
    <w:rsid w:val="00897F3C"/>
    <w:rsid w:val="008A10E7"/>
    <w:rsid w:val="008A4836"/>
    <w:rsid w:val="008A4E8F"/>
    <w:rsid w:val="008B26A7"/>
    <w:rsid w:val="008B41F3"/>
    <w:rsid w:val="008B52E5"/>
    <w:rsid w:val="008C4022"/>
    <w:rsid w:val="008C7292"/>
    <w:rsid w:val="008D1CD7"/>
    <w:rsid w:val="008D7FA9"/>
    <w:rsid w:val="008E2918"/>
    <w:rsid w:val="008E4820"/>
    <w:rsid w:val="008E6AB4"/>
    <w:rsid w:val="008E6F23"/>
    <w:rsid w:val="008F03B3"/>
    <w:rsid w:val="008F04C5"/>
    <w:rsid w:val="008F5CBB"/>
    <w:rsid w:val="008F7E61"/>
    <w:rsid w:val="00902E6F"/>
    <w:rsid w:val="00903508"/>
    <w:rsid w:val="00916B77"/>
    <w:rsid w:val="00917CD4"/>
    <w:rsid w:val="009204AC"/>
    <w:rsid w:val="009226FC"/>
    <w:rsid w:val="0092507A"/>
    <w:rsid w:val="00926CAC"/>
    <w:rsid w:val="00942CA5"/>
    <w:rsid w:val="009447D5"/>
    <w:rsid w:val="009451FD"/>
    <w:rsid w:val="009457F0"/>
    <w:rsid w:val="0094759B"/>
    <w:rsid w:val="009508A9"/>
    <w:rsid w:val="00954628"/>
    <w:rsid w:val="00962E86"/>
    <w:rsid w:val="00963FBD"/>
    <w:rsid w:val="00965908"/>
    <w:rsid w:val="00970497"/>
    <w:rsid w:val="0097055D"/>
    <w:rsid w:val="009742E8"/>
    <w:rsid w:val="00982A98"/>
    <w:rsid w:val="00983379"/>
    <w:rsid w:val="00983987"/>
    <w:rsid w:val="009860E9"/>
    <w:rsid w:val="00994A43"/>
    <w:rsid w:val="009962D2"/>
    <w:rsid w:val="00997BA9"/>
    <w:rsid w:val="009A490C"/>
    <w:rsid w:val="009A549E"/>
    <w:rsid w:val="009A7C9B"/>
    <w:rsid w:val="009B3600"/>
    <w:rsid w:val="009B6B35"/>
    <w:rsid w:val="009C0266"/>
    <w:rsid w:val="009C6898"/>
    <w:rsid w:val="009D5A88"/>
    <w:rsid w:val="009D5D19"/>
    <w:rsid w:val="009D78FA"/>
    <w:rsid w:val="009E155A"/>
    <w:rsid w:val="009E3C9F"/>
    <w:rsid w:val="009F4206"/>
    <w:rsid w:val="009F5031"/>
    <w:rsid w:val="009F6C3D"/>
    <w:rsid w:val="00A06BF1"/>
    <w:rsid w:val="00A1278C"/>
    <w:rsid w:val="00A13A81"/>
    <w:rsid w:val="00A178CA"/>
    <w:rsid w:val="00A23B53"/>
    <w:rsid w:val="00A25B05"/>
    <w:rsid w:val="00A25D6F"/>
    <w:rsid w:val="00A274F8"/>
    <w:rsid w:val="00A3081A"/>
    <w:rsid w:val="00A34DC1"/>
    <w:rsid w:val="00A54BB0"/>
    <w:rsid w:val="00A6346D"/>
    <w:rsid w:val="00A65A89"/>
    <w:rsid w:val="00A707F6"/>
    <w:rsid w:val="00A73656"/>
    <w:rsid w:val="00A85596"/>
    <w:rsid w:val="00A855A9"/>
    <w:rsid w:val="00A86D45"/>
    <w:rsid w:val="00A9652F"/>
    <w:rsid w:val="00A977B3"/>
    <w:rsid w:val="00AA6CE9"/>
    <w:rsid w:val="00AA75B3"/>
    <w:rsid w:val="00AB2AF0"/>
    <w:rsid w:val="00AC507F"/>
    <w:rsid w:val="00AD675E"/>
    <w:rsid w:val="00AE6F85"/>
    <w:rsid w:val="00AF3C8B"/>
    <w:rsid w:val="00B101A4"/>
    <w:rsid w:val="00B16ACC"/>
    <w:rsid w:val="00B2367F"/>
    <w:rsid w:val="00B33B2C"/>
    <w:rsid w:val="00B36C8D"/>
    <w:rsid w:val="00B440E3"/>
    <w:rsid w:val="00B47DF7"/>
    <w:rsid w:val="00B51753"/>
    <w:rsid w:val="00B64CD9"/>
    <w:rsid w:val="00B70309"/>
    <w:rsid w:val="00B7150A"/>
    <w:rsid w:val="00B71A98"/>
    <w:rsid w:val="00B733BF"/>
    <w:rsid w:val="00B7463C"/>
    <w:rsid w:val="00B76115"/>
    <w:rsid w:val="00B83345"/>
    <w:rsid w:val="00B83EE5"/>
    <w:rsid w:val="00B849E4"/>
    <w:rsid w:val="00B906D1"/>
    <w:rsid w:val="00BA60BB"/>
    <w:rsid w:val="00BB088B"/>
    <w:rsid w:val="00BB7A17"/>
    <w:rsid w:val="00BB7A24"/>
    <w:rsid w:val="00BB7AA9"/>
    <w:rsid w:val="00BC1E19"/>
    <w:rsid w:val="00BC2DC0"/>
    <w:rsid w:val="00BC2FAC"/>
    <w:rsid w:val="00BC32BA"/>
    <w:rsid w:val="00BC3852"/>
    <w:rsid w:val="00BD046C"/>
    <w:rsid w:val="00BE4E73"/>
    <w:rsid w:val="00BF0FE2"/>
    <w:rsid w:val="00BF4695"/>
    <w:rsid w:val="00C03409"/>
    <w:rsid w:val="00C12E9B"/>
    <w:rsid w:val="00C17780"/>
    <w:rsid w:val="00C17EFB"/>
    <w:rsid w:val="00C2385C"/>
    <w:rsid w:val="00C238D0"/>
    <w:rsid w:val="00C26B22"/>
    <w:rsid w:val="00C32246"/>
    <w:rsid w:val="00C34155"/>
    <w:rsid w:val="00C403CB"/>
    <w:rsid w:val="00C50313"/>
    <w:rsid w:val="00C52D60"/>
    <w:rsid w:val="00C65844"/>
    <w:rsid w:val="00C65949"/>
    <w:rsid w:val="00C65E59"/>
    <w:rsid w:val="00C67F1A"/>
    <w:rsid w:val="00C74BA7"/>
    <w:rsid w:val="00C93636"/>
    <w:rsid w:val="00C9450A"/>
    <w:rsid w:val="00C95A5A"/>
    <w:rsid w:val="00CB56AF"/>
    <w:rsid w:val="00CB6F6B"/>
    <w:rsid w:val="00CC2930"/>
    <w:rsid w:val="00CC3E3F"/>
    <w:rsid w:val="00CC67AF"/>
    <w:rsid w:val="00CC7673"/>
    <w:rsid w:val="00CD2D12"/>
    <w:rsid w:val="00CE4717"/>
    <w:rsid w:val="00CE748A"/>
    <w:rsid w:val="00CE7DD0"/>
    <w:rsid w:val="00CF4524"/>
    <w:rsid w:val="00CF489D"/>
    <w:rsid w:val="00CF764D"/>
    <w:rsid w:val="00D03638"/>
    <w:rsid w:val="00D10647"/>
    <w:rsid w:val="00D11F08"/>
    <w:rsid w:val="00D1651F"/>
    <w:rsid w:val="00D2083A"/>
    <w:rsid w:val="00D229E1"/>
    <w:rsid w:val="00D22A81"/>
    <w:rsid w:val="00D23DF6"/>
    <w:rsid w:val="00D259B4"/>
    <w:rsid w:val="00D345C7"/>
    <w:rsid w:val="00D43EF9"/>
    <w:rsid w:val="00D45171"/>
    <w:rsid w:val="00D463C6"/>
    <w:rsid w:val="00D617FD"/>
    <w:rsid w:val="00D628DF"/>
    <w:rsid w:val="00D62B31"/>
    <w:rsid w:val="00D72265"/>
    <w:rsid w:val="00D74893"/>
    <w:rsid w:val="00D86D06"/>
    <w:rsid w:val="00D87C83"/>
    <w:rsid w:val="00D9210A"/>
    <w:rsid w:val="00D960F2"/>
    <w:rsid w:val="00D96590"/>
    <w:rsid w:val="00DA1327"/>
    <w:rsid w:val="00DA15C0"/>
    <w:rsid w:val="00DA6B38"/>
    <w:rsid w:val="00DA767F"/>
    <w:rsid w:val="00DB5299"/>
    <w:rsid w:val="00DC3950"/>
    <w:rsid w:val="00DC4EF2"/>
    <w:rsid w:val="00DC5095"/>
    <w:rsid w:val="00DD175B"/>
    <w:rsid w:val="00DD257C"/>
    <w:rsid w:val="00DD2F54"/>
    <w:rsid w:val="00DE26D1"/>
    <w:rsid w:val="00DE393B"/>
    <w:rsid w:val="00DF6406"/>
    <w:rsid w:val="00DF77B7"/>
    <w:rsid w:val="00E06019"/>
    <w:rsid w:val="00E10380"/>
    <w:rsid w:val="00E108FE"/>
    <w:rsid w:val="00E15DEE"/>
    <w:rsid w:val="00E42ADB"/>
    <w:rsid w:val="00E42DB7"/>
    <w:rsid w:val="00E43996"/>
    <w:rsid w:val="00E43B4D"/>
    <w:rsid w:val="00E47F94"/>
    <w:rsid w:val="00E5177E"/>
    <w:rsid w:val="00E6107D"/>
    <w:rsid w:val="00E642FF"/>
    <w:rsid w:val="00E74558"/>
    <w:rsid w:val="00E82C8A"/>
    <w:rsid w:val="00E8404F"/>
    <w:rsid w:val="00E87BBC"/>
    <w:rsid w:val="00E96FBA"/>
    <w:rsid w:val="00EA274D"/>
    <w:rsid w:val="00EA6B58"/>
    <w:rsid w:val="00EB5774"/>
    <w:rsid w:val="00EC28BA"/>
    <w:rsid w:val="00EC2BD0"/>
    <w:rsid w:val="00ED2696"/>
    <w:rsid w:val="00EE3E9F"/>
    <w:rsid w:val="00EE4DD8"/>
    <w:rsid w:val="00F13A00"/>
    <w:rsid w:val="00F14BCE"/>
    <w:rsid w:val="00F150B1"/>
    <w:rsid w:val="00F243C5"/>
    <w:rsid w:val="00F2654B"/>
    <w:rsid w:val="00F41CFB"/>
    <w:rsid w:val="00F41D68"/>
    <w:rsid w:val="00F55F27"/>
    <w:rsid w:val="00F57FEB"/>
    <w:rsid w:val="00F603A2"/>
    <w:rsid w:val="00F64515"/>
    <w:rsid w:val="00F833FA"/>
    <w:rsid w:val="00F90C31"/>
    <w:rsid w:val="00FA27EB"/>
    <w:rsid w:val="00FA3AD1"/>
    <w:rsid w:val="00FA70B5"/>
    <w:rsid w:val="00FB4F5E"/>
    <w:rsid w:val="00FC115E"/>
    <w:rsid w:val="00FC4925"/>
    <w:rsid w:val="00FD4319"/>
    <w:rsid w:val="00FD6CE1"/>
    <w:rsid w:val="00FD7789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7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93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577"/>
    <w:rPr>
      <w:rFonts w:ascii="Calibri" w:eastAsia="SimSun" w:hAnsi="Calibri" w:cs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9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Incognito</cp:lastModifiedBy>
  <cp:revision>4</cp:revision>
  <cp:lastPrinted>2013-11-15T12:26:00Z</cp:lastPrinted>
  <dcterms:created xsi:type="dcterms:W3CDTF">2014-05-07T15:12:00Z</dcterms:created>
  <dcterms:modified xsi:type="dcterms:W3CDTF">2014-05-07T16:42:00Z</dcterms:modified>
</cp:coreProperties>
</file>