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6B" w:rsidRPr="00782AAE" w:rsidRDefault="00782AAE">
      <w:pPr>
        <w:rPr>
          <w:rFonts w:ascii="Arial" w:hAnsi="Arial" w:cs="Arial"/>
          <w:b/>
          <w:sz w:val="24"/>
          <w:szCs w:val="24"/>
        </w:rPr>
      </w:pPr>
      <w:r w:rsidRPr="00782AAE">
        <w:rPr>
          <w:rFonts w:ascii="Arial" w:hAnsi="Arial" w:cs="Arial"/>
          <w:b/>
          <w:sz w:val="24"/>
          <w:szCs w:val="24"/>
        </w:rPr>
        <w:t>Figure S1</w:t>
      </w:r>
    </w:p>
    <w:p w:rsidR="00EF7276" w:rsidRDefault="00EF7276">
      <w:pPr>
        <w:rPr>
          <w:rFonts w:ascii="Arial" w:hAnsi="Arial" w:cs="Arial"/>
          <w:sz w:val="24"/>
          <w:szCs w:val="24"/>
        </w:rPr>
      </w:pPr>
      <w:r w:rsidRPr="00EF727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AB8D" wp14:editId="64243A6E">
                <wp:simplePos x="0" y="0"/>
                <wp:positionH relativeFrom="column">
                  <wp:posOffset>-50165</wp:posOffset>
                </wp:positionH>
                <wp:positionV relativeFrom="paragraph">
                  <wp:posOffset>2661021</wp:posOffset>
                </wp:positionV>
                <wp:extent cx="263661" cy="45439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61" cy="45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276" w:rsidRPr="00EF7276" w:rsidRDefault="00EF7276" w:rsidP="00EF727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209.55pt;width:20.7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" filled="f" stroked="f">
                <v:textbox>
                  <w:txbxContent>
                    <w:p w:rsidR="00EF7276" w:rsidRPr="00EF7276" w:rsidRDefault="00EF7276" w:rsidP="00EF727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F727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71B0" wp14:editId="76306412">
                <wp:simplePos x="0" y="0"/>
                <wp:positionH relativeFrom="column">
                  <wp:posOffset>-56410</wp:posOffset>
                </wp:positionH>
                <wp:positionV relativeFrom="paragraph">
                  <wp:posOffset>-78105</wp:posOffset>
                </wp:positionV>
                <wp:extent cx="263661" cy="45439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61" cy="45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276" w:rsidRPr="00EF7276" w:rsidRDefault="00EF727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7276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45pt;margin-top:-6.15pt;width:20.7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" filled="f" stroked="f">
                <v:textbox>
                  <w:txbxContent>
                    <w:p w:rsidR="00EF7276" w:rsidRPr="00EF7276" w:rsidRDefault="00EF727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F7276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97BFF66" wp14:editId="6501C571">
            <wp:extent cx="3851110" cy="535030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110" cy="5350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56B" w:rsidRPr="00F2256B" w:rsidRDefault="00F2256B">
      <w:pPr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en-GB"/>
        </w:rPr>
        <w:t xml:space="preserve"> </w:t>
      </w:r>
      <w:r w:rsidRPr="00F2256B">
        <w:rPr>
          <w:rFonts w:cs="Arial"/>
          <w:b/>
          <w:noProof/>
          <w:sz w:val="36"/>
          <w:szCs w:val="36"/>
          <w:lang w:eastAsia="en-GB"/>
        </w:rPr>
        <w:t>C</w:t>
      </w:r>
    </w:p>
    <w:p w:rsidR="00F2256B" w:rsidRDefault="00F2256B" w:rsidP="00FC3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934120" cy="3125100"/>
            <wp:effectExtent l="0" t="0" r="0" b="0"/>
            <wp:docPr id="3" name="Picture 3" descr="C:\Users\thompsoa\AppData\Local\Microsoft\Windows\Temporary Internet Files\Content.Outlook\EJYVJYHG\Glycer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psoa\AppData\Local\Microsoft\Windows\Temporary Internet Files\Content.Outlook\EJYVJYHG\Glycer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50" cy="31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85F8C65" wp14:editId="1499DC6E">
            <wp:extent cx="3122608" cy="311140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49" cy="312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56B" w:rsidRDefault="00F2256B" w:rsidP="00FB0F09">
      <w:pPr>
        <w:spacing w:after="120" w:line="480" w:lineRule="auto"/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F2256B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t xml:space="preserve">Growth phenotypes of 4/74 parental strain and </w:t>
      </w:r>
      <w:r w:rsidRPr="00F2256B">
        <w:rPr>
          <w:rFonts w:ascii="Arial" w:hAnsi="Arial" w:cs="Arial"/>
          <w:b/>
          <w:noProof/>
          <w:sz w:val="24"/>
          <w:szCs w:val="24"/>
          <w:lang w:val="en-US" w:eastAsia="en-GB"/>
        </w:rPr>
        <w:t>Δ</w:t>
      </w:r>
      <w:r w:rsidRPr="00F2256B">
        <w:rPr>
          <w:rFonts w:ascii="Arial" w:hAnsi="Arial" w:cs="Arial"/>
          <w:b/>
          <w:i/>
          <w:noProof/>
          <w:sz w:val="24"/>
          <w:szCs w:val="24"/>
          <w:lang w:val="en-US" w:eastAsia="en-GB"/>
        </w:rPr>
        <w:t>ptsHI crr</w:t>
      </w:r>
      <w:r w:rsidRPr="00F2256B">
        <w:rPr>
          <w:rFonts w:ascii="Arial" w:hAnsi="Arial" w:cs="Arial"/>
          <w:b/>
          <w:noProof/>
          <w:sz w:val="24"/>
          <w:szCs w:val="24"/>
          <w:vertAlign w:val="superscript"/>
          <w:lang w:val="en-US" w:eastAsia="en-GB"/>
        </w:rPr>
        <w:t>+</w:t>
      </w:r>
      <w:r w:rsidRPr="00F2256B">
        <w:rPr>
          <w:rFonts w:ascii="Arial" w:hAnsi="Arial" w:cs="Arial"/>
          <w:b/>
          <w:noProof/>
          <w:sz w:val="24"/>
          <w:szCs w:val="24"/>
          <w:lang w:val="en-US" w:eastAsia="en-GB"/>
        </w:rPr>
        <w:t>, Δ</w:t>
      </w:r>
      <w:r w:rsidRPr="00F2256B">
        <w:rPr>
          <w:rFonts w:ascii="Arial" w:hAnsi="Arial" w:cs="Arial"/>
          <w:b/>
          <w:i/>
          <w:noProof/>
          <w:sz w:val="24"/>
          <w:szCs w:val="24"/>
          <w:lang w:val="en-US" w:eastAsia="en-GB"/>
        </w:rPr>
        <w:t>ptsHI</w:t>
      </w:r>
      <w:r w:rsidRPr="00F2256B">
        <w:rPr>
          <w:rFonts w:ascii="Arial" w:hAnsi="Arial" w:cs="Arial"/>
          <w:b/>
          <w:noProof/>
          <w:sz w:val="24"/>
          <w:szCs w:val="24"/>
          <w:lang w:val="en-US" w:eastAsia="en-GB"/>
        </w:rPr>
        <w:t>Δ</w:t>
      </w:r>
      <w:r w:rsidRPr="00F2256B">
        <w:rPr>
          <w:rFonts w:ascii="Arial" w:hAnsi="Arial" w:cs="Arial"/>
          <w:b/>
          <w:i/>
          <w:noProof/>
          <w:sz w:val="24"/>
          <w:szCs w:val="24"/>
          <w:lang w:val="en-US" w:eastAsia="en-GB"/>
        </w:rPr>
        <w:t>crr</w:t>
      </w:r>
      <w:r w:rsidRPr="00F2256B">
        <w:rPr>
          <w:rFonts w:ascii="Arial" w:hAnsi="Arial" w:cs="Arial"/>
          <w:b/>
          <w:noProof/>
          <w:sz w:val="24"/>
          <w:szCs w:val="24"/>
          <w:lang w:val="en-US" w:eastAsia="en-GB"/>
        </w:rPr>
        <w:t xml:space="preserve"> and Δ</w:t>
      </w:r>
      <w:r w:rsidRPr="00F2256B">
        <w:rPr>
          <w:rFonts w:ascii="Arial" w:hAnsi="Arial" w:cs="Arial"/>
          <w:b/>
          <w:i/>
          <w:noProof/>
          <w:sz w:val="24"/>
          <w:szCs w:val="24"/>
          <w:lang w:val="en-US" w:eastAsia="en-GB"/>
        </w:rPr>
        <w:t xml:space="preserve">crr </w:t>
      </w:r>
      <w:r w:rsidRPr="00F2256B">
        <w:rPr>
          <w:rFonts w:ascii="Arial" w:hAnsi="Arial" w:cs="Arial"/>
          <w:b/>
          <w:noProof/>
          <w:sz w:val="24"/>
          <w:szCs w:val="24"/>
          <w:lang w:val="en-US" w:eastAsia="en-GB"/>
        </w:rPr>
        <w:t>strains</w:t>
      </w:r>
      <w:r w:rsidRPr="00F2256B">
        <w:rPr>
          <w:rFonts w:ascii="Arial" w:hAnsi="Arial" w:cs="Arial"/>
          <w:b/>
          <w:i/>
          <w:noProof/>
          <w:sz w:val="24"/>
          <w:szCs w:val="24"/>
          <w:lang w:val="en-US" w:eastAsia="en-GB"/>
        </w:rPr>
        <w:t xml:space="preserve"> </w:t>
      </w:r>
      <w:r w:rsidRPr="00F2256B">
        <w:rPr>
          <w:rFonts w:ascii="Arial" w:hAnsi="Arial" w:cs="Arial"/>
          <w:b/>
          <w:noProof/>
          <w:sz w:val="24"/>
          <w:szCs w:val="24"/>
          <w:lang w:val="en-US" w:eastAsia="en-GB"/>
        </w:rPr>
        <w:t>in media</w:t>
      </w:r>
      <w:r w:rsidRPr="00F2256B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 supplemented with either glycerol or NAG as sole carbon sources</w:t>
      </w:r>
      <w:r w:rsidRPr="00F2256B">
        <w:rPr>
          <w:rFonts w:ascii="Arial" w:hAnsi="Arial" w:cs="Arial"/>
          <w:b/>
          <w:noProof/>
          <w:sz w:val="24"/>
          <w:szCs w:val="24"/>
          <w:lang w:eastAsia="en-GB"/>
        </w:rPr>
        <w:t>.</w:t>
      </w:r>
      <w:r w:rsidR="00066F0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Results from duplicate phenotype arrays (BiOLOG) showing growth characteristics of 4/74 parental strain </w:t>
      </w:r>
      <w:r w:rsidR="00066F05">
        <w:rPr>
          <w:rFonts w:ascii="Arial" w:hAnsi="Arial" w:cs="Arial"/>
          <w:noProof/>
          <w:sz w:val="24"/>
          <w:szCs w:val="24"/>
          <w:lang w:eastAsia="en-GB"/>
        </w:rPr>
        <w:t xml:space="preserve">(blue) 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and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ptsHI crr</w:t>
      </w:r>
      <w:r w:rsidRPr="00F2256B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+</w:t>
      </w:r>
      <w:r>
        <w:rPr>
          <w:rFonts w:ascii="Arial" w:hAnsi="Arial" w:cs="Arial"/>
          <w:noProof/>
          <w:sz w:val="24"/>
          <w:szCs w:val="24"/>
          <w:lang w:eastAsia="en-GB"/>
        </w:rPr>
        <w:t>(green)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,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ptsHI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crr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066F05">
        <w:rPr>
          <w:rFonts w:ascii="Arial" w:hAnsi="Arial" w:cs="Arial"/>
          <w:noProof/>
          <w:sz w:val="24"/>
          <w:szCs w:val="24"/>
          <w:lang w:eastAsia="en-GB"/>
        </w:rPr>
        <w:t xml:space="preserve">(purple) 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and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crr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strains</w:t>
      </w:r>
      <w:r w:rsidR="00066F05">
        <w:rPr>
          <w:rFonts w:ascii="Arial" w:hAnsi="Arial" w:cs="Arial"/>
          <w:noProof/>
          <w:sz w:val="24"/>
          <w:szCs w:val="24"/>
          <w:lang w:eastAsia="en-GB"/>
        </w:rPr>
        <w:t xml:space="preserve"> (red)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in media containing either (A) glycerol or (B) NAG as sole carbon sources. The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ptsHI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crr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and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 xml:space="preserve">crr 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show similar growth characteristics to the parent strain (4/74) in media containing glycerol whereas the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ptsHI crr</w:t>
      </w:r>
      <w:r w:rsidRPr="00F2256B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+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strain </w:t>
      </w:r>
      <w:r w:rsidR="00066F05">
        <w:rPr>
          <w:rFonts w:ascii="Arial" w:hAnsi="Arial" w:cs="Arial"/>
          <w:noProof/>
          <w:sz w:val="24"/>
          <w:szCs w:val="24"/>
          <w:lang w:eastAsia="en-GB"/>
        </w:rPr>
        <w:t xml:space="preserve">(green) 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shows considerably retarded growth. The latter phenotype is likely due to the inhibition of glycerol uptake by unphosphorylated EIIA</w:t>
      </w:r>
      <w:r w:rsidRPr="00F2256B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Glc</w:t>
      </w:r>
      <w:r w:rsidR="00782AAE">
        <w:rPr>
          <w:rFonts w:ascii="Arial" w:hAnsi="Arial" w:cs="Arial"/>
          <w:noProof/>
          <w:sz w:val="24"/>
          <w:szCs w:val="24"/>
          <w:lang w:eastAsia="en-GB"/>
        </w:rPr>
        <w:t>, as described in [48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], which can eventually be partially compensated by phosphorylated EII</w:t>
      </w:r>
      <w:r w:rsidRPr="00F2256B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Nag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. Neither the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ptsHI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crr</w:t>
      </w:r>
      <w:r w:rsidRPr="00F2256B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+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or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ptsHI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 xml:space="preserve">crr 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strains grew in media containing NAG, whereas the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 xml:space="preserve">crr </w:t>
      </w:r>
      <w:r w:rsidR="00066F05">
        <w:rPr>
          <w:rFonts w:ascii="Arial" w:hAnsi="Arial" w:cs="Arial"/>
          <w:noProof/>
          <w:sz w:val="24"/>
          <w:szCs w:val="24"/>
          <w:lang w:eastAsia="en-GB"/>
        </w:rPr>
        <w:t xml:space="preserve">strain (red) 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did grow on NAG as sole carbon source. This is most likely due to deletion of the 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ptsHI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genes resulting in the </w:t>
      </w:r>
      <w:r w:rsidRPr="00F2256B">
        <w:rPr>
          <w:rFonts w:ascii="Arial" w:hAnsi="Arial" w:cs="Arial"/>
          <w:noProof/>
          <w:sz w:val="24"/>
          <w:szCs w:val="24"/>
          <w:lang w:val="en-US" w:eastAsia="en-GB"/>
        </w:rPr>
        <w:t>inability to phosphorylate EII</w:t>
      </w:r>
      <w:r w:rsidRPr="00F2256B">
        <w:rPr>
          <w:rFonts w:ascii="Arial" w:hAnsi="Arial" w:cs="Arial"/>
          <w:noProof/>
          <w:sz w:val="24"/>
          <w:szCs w:val="24"/>
          <w:vertAlign w:val="superscript"/>
          <w:lang w:val="en-US" w:eastAsia="en-GB"/>
        </w:rPr>
        <w:t>Nag</w:t>
      </w:r>
      <w:r w:rsidRPr="00F2256B">
        <w:rPr>
          <w:rFonts w:ascii="Arial" w:hAnsi="Arial" w:cs="Arial"/>
          <w:noProof/>
          <w:sz w:val="24"/>
          <w:szCs w:val="24"/>
          <w:lang w:val="en-US" w:eastAsia="en-GB"/>
        </w:rPr>
        <w:t xml:space="preserve"> and therefore import NAG into the cell [26].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(C) Confirmation of the growth phenotypes of the 4/74,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ptsHI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crr</w:t>
      </w:r>
      <w:r w:rsidRPr="00F2256B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+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,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ptsHI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crr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and Δ</w:t>
      </w:r>
      <w:r w:rsidRPr="00F2256B">
        <w:rPr>
          <w:rFonts w:ascii="Arial" w:hAnsi="Arial" w:cs="Arial"/>
          <w:i/>
          <w:noProof/>
          <w:sz w:val="24"/>
          <w:szCs w:val="24"/>
          <w:lang w:eastAsia="en-GB"/>
        </w:rPr>
        <w:t>crr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 xml:space="preserve"> strains on M9 minimal media plates containing either glycer</w:t>
      </w:r>
      <w:r w:rsidR="00DC2800">
        <w:rPr>
          <w:rFonts w:ascii="Arial" w:hAnsi="Arial" w:cs="Arial"/>
          <w:noProof/>
          <w:sz w:val="24"/>
          <w:szCs w:val="24"/>
          <w:lang w:eastAsia="en-GB"/>
        </w:rPr>
        <w:t>ol or NAG as sole carbon sources</w:t>
      </w:r>
      <w:r w:rsidRPr="00F2256B">
        <w:rPr>
          <w:rFonts w:ascii="Arial" w:hAnsi="Arial" w:cs="Arial"/>
          <w:noProof/>
          <w:sz w:val="24"/>
          <w:szCs w:val="24"/>
          <w:lang w:eastAsia="en-GB"/>
        </w:rPr>
        <w:t>.</w:t>
      </w:r>
      <w:r w:rsidR="00066F05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bookmarkStart w:id="0" w:name="_GoBack"/>
      <w:bookmarkEnd w:id="0"/>
    </w:p>
    <w:sectPr w:rsidR="00F2256B" w:rsidSect="00F2256B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76"/>
    <w:rsid w:val="0000364A"/>
    <w:rsid w:val="00066F05"/>
    <w:rsid w:val="000E0796"/>
    <w:rsid w:val="001156E9"/>
    <w:rsid w:val="001A1BC1"/>
    <w:rsid w:val="002E1DF8"/>
    <w:rsid w:val="0032187F"/>
    <w:rsid w:val="0037582A"/>
    <w:rsid w:val="00637F07"/>
    <w:rsid w:val="00782AAE"/>
    <w:rsid w:val="0084104C"/>
    <w:rsid w:val="008C1C6F"/>
    <w:rsid w:val="00A24BA8"/>
    <w:rsid w:val="00A71F4D"/>
    <w:rsid w:val="00AC45E0"/>
    <w:rsid w:val="00DC2800"/>
    <w:rsid w:val="00EF7276"/>
    <w:rsid w:val="00F2256B"/>
    <w:rsid w:val="00FB0F09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thompson (IFR)</dc:creator>
  <cp:lastModifiedBy>arthur thompson (IFR)</cp:lastModifiedBy>
  <cp:revision>2</cp:revision>
  <dcterms:created xsi:type="dcterms:W3CDTF">2014-04-10T09:34:00Z</dcterms:created>
  <dcterms:modified xsi:type="dcterms:W3CDTF">2014-04-10T09:34:00Z</dcterms:modified>
</cp:coreProperties>
</file>