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A95" w:rsidRPr="00077322" w:rsidRDefault="00231700" w:rsidP="00BB7A95">
      <w:pPr>
        <w:spacing w:after="200" w:line="480" w:lineRule="auto"/>
        <w:jc w:val="both"/>
        <w:rPr>
          <w:rFonts w:ascii="Times New Roman" w:hAnsi="Times New Roman"/>
          <w:b/>
          <w:color w:val="000000"/>
          <w:sz w:val="20"/>
          <w:szCs w:val="20"/>
        </w:rPr>
      </w:pPr>
      <w:r w:rsidRPr="00077322">
        <w:rPr>
          <w:rFonts w:ascii="Times New Roman" w:hAnsi="Times New Roman"/>
          <w:b/>
          <w:color w:val="000000"/>
          <w:sz w:val="20"/>
          <w:szCs w:val="20"/>
        </w:rPr>
        <w:t>Supplementary methods</w:t>
      </w:r>
    </w:p>
    <w:p w:rsidR="00231700" w:rsidRPr="00077322" w:rsidRDefault="00231700" w:rsidP="00BB7A95">
      <w:pPr>
        <w:spacing w:after="200" w:line="480" w:lineRule="auto"/>
        <w:jc w:val="both"/>
        <w:rPr>
          <w:rFonts w:ascii="Times New Roman" w:hAnsi="Times New Roman"/>
          <w:b/>
          <w:color w:val="000000"/>
          <w:sz w:val="20"/>
          <w:szCs w:val="20"/>
        </w:rPr>
      </w:pPr>
      <w:r w:rsidRPr="00077322">
        <w:rPr>
          <w:rFonts w:ascii="Times New Roman" w:hAnsi="Times New Roman"/>
          <w:color w:val="000000"/>
          <w:sz w:val="20"/>
          <w:szCs w:val="20"/>
        </w:rPr>
        <w:t>COS-1 cells were grown in high-glucose D-MEM (Invitrogen) supplemented with 10% FBS and 1% penicillin/streptomycin (both GIBCO). 24 h prior to transfection, cells were plated on sterile coverglasses (25 mm diameter). Cells were transfected with the TransIT-COS kit (Mirus) according to the manufacturer’s instructions at a concentration of 500 ng DNA/10 cm</w:t>
      </w:r>
      <w:r w:rsidRPr="00077322">
        <w:rPr>
          <w:rFonts w:ascii="Times New Roman" w:hAnsi="Times New Roman"/>
          <w:color w:val="000000"/>
          <w:sz w:val="20"/>
          <w:szCs w:val="20"/>
          <w:vertAlign w:val="superscript"/>
        </w:rPr>
        <w:t>2</w:t>
      </w:r>
      <w:r w:rsidRPr="00077322">
        <w:rPr>
          <w:rFonts w:ascii="Times New Roman" w:hAnsi="Times New Roman"/>
          <w:color w:val="000000"/>
          <w:sz w:val="20"/>
          <w:szCs w:val="20"/>
        </w:rPr>
        <w:t xml:space="preserve">. Transfected cells were used in experiments 2-5 days after transfection. For one experiment, Hep3B cells were used, stably transfected with the pEYFP-hGR expression vector </w:t>
      </w:r>
      <w:r w:rsidR="003F0A7B" w:rsidRPr="00077322">
        <w:rPr>
          <w:rFonts w:ascii="Times New Roman" w:hAnsi="Times New Roman"/>
          <w:color w:val="000000"/>
          <w:sz w:val="20"/>
          <w:szCs w:val="20"/>
        </w:rPr>
        <w:fldChar w:fldCharType="begin">
          <w:fldData xml:space="preserve">PEVuZE5vdGU+PENpdGU+PEF1dGhvcj5TY2hhYWY8L0F1dGhvcj48WWVhcj4yMDAzPC9ZZWFyPjxS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==
</w:fldData>
        </w:fldChar>
      </w:r>
      <w:r w:rsidRPr="00077322">
        <w:rPr>
          <w:rFonts w:ascii="Times New Roman" w:hAnsi="Times New Roman"/>
          <w:color w:val="000000"/>
          <w:sz w:val="20"/>
          <w:szCs w:val="20"/>
        </w:rPr>
        <w:instrText xml:space="preserve"> ADDIN EN.CITE </w:instrText>
      </w:r>
      <w:r w:rsidR="003F0A7B" w:rsidRPr="00077322">
        <w:rPr>
          <w:rFonts w:ascii="Times New Roman" w:hAnsi="Times New Roman"/>
          <w:color w:val="000000"/>
          <w:sz w:val="20"/>
          <w:szCs w:val="20"/>
        </w:rPr>
        <w:fldChar w:fldCharType="begin">
          <w:fldData xml:space="preserve">PEVuZE5vdGU+PENpdGU+PEF1dGhvcj5TY2hhYWY8L0F1dGhvcj48WWVhcj4yMDAzPC9ZZWFyPjxS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==
</w:fldData>
        </w:fldChar>
      </w:r>
      <w:r w:rsidRPr="00077322">
        <w:rPr>
          <w:rFonts w:ascii="Times New Roman" w:hAnsi="Times New Roman"/>
          <w:color w:val="000000"/>
          <w:sz w:val="20"/>
          <w:szCs w:val="20"/>
        </w:rPr>
        <w:instrText xml:space="preserve"> ADDIN EN.CITE.DATA </w:instrText>
      </w:r>
      <w:r w:rsidR="003F0A7B" w:rsidRPr="00077322">
        <w:rPr>
          <w:rFonts w:ascii="Times New Roman" w:hAnsi="Times New Roman"/>
          <w:color w:val="000000"/>
          <w:sz w:val="20"/>
          <w:szCs w:val="20"/>
        </w:rPr>
      </w:r>
      <w:r w:rsidR="003F0A7B" w:rsidRPr="00077322">
        <w:rPr>
          <w:rFonts w:ascii="Times New Roman" w:hAnsi="Times New Roman"/>
          <w:color w:val="000000"/>
          <w:sz w:val="20"/>
          <w:szCs w:val="20"/>
        </w:rPr>
        <w:fldChar w:fldCharType="end"/>
      </w:r>
      <w:r w:rsidR="003F0A7B" w:rsidRPr="00077322">
        <w:rPr>
          <w:rFonts w:ascii="Times New Roman" w:hAnsi="Times New Roman"/>
          <w:color w:val="000000"/>
          <w:sz w:val="20"/>
          <w:szCs w:val="20"/>
        </w:rPr>
      </w:r>
      <w:r w:rsidR="003F0A7B" w:rsidRPr="00077322">
        <w:rPr>
          <w:rFonts w:ascii="Times New Roman" w:hAnsi="Times New Roman"/>
          <w:color w:val="000000"/>
          <w:sz w:val="20"/>
          <w:szCs w:val="20"/>
        </w:rPr>
        <w:fldChar w:fldCharType="separate"/>
      </w:r>
      <w:r w:rsidRPr="00077322">
        <w:rPr>
          <w:rFonts w:ascii="Times New Roman" w:hAnsi="Times New Roman"/>
          <w:noProof/>
          <w:color w:val="000000"/>
          <w:sz w:val="20"/>
          <w:szCs w:val="20"/>
        </w:rPr>
        <w:t>(1)</w:t>
      </w:r>
      <w:r w:rsidR="003F0A7B" w:rsidRPr="00077322">
        <w:rPr>
          <w:rFonts w:ascii="Times New Roman" w:hAnsi="Times New Roman"/>
          <w:color w:val="000000"/>
          <w:sz w:val="20"/>
          <w:szCs w:val="20"/>
        </w:rPr>
        <w:fldChar w:fldCharType="end"/>
      </w:r>
      <w:r w:rsidRPr="00077322">
        <w:rPr>
          <w:rFonts w:ascii="Times New Roman" w:hAnsi="Times New Roman"/>
          <w:color w:val="000000"/>
          <w:sz w:val="20"/>
          <w:szCs w:val="20"/>
        </w:rPr>
        <w:t xml:space="preserve">. These cells were grown in α-MEM (Cambrex), supplemented with 5% FBS, 2 mM L-glutamine, 1% Penicillin/Streptomycin and 600 µg/ml G418 (Invitrogen). The plasmid pEYFP-hMR was generated by PCR amplification (Phusion HF polymerase, Finnzymes) of the human MR gene from a pRSV human MR template (kindly provided by Dr. R. Evans (gene expression laboratory and HHMI, The Salk Institute for Biological Studies, La Jolla, CA).  A set of primers was designed to generate BglII and SmaI sites at the 5’ and 3’ end of the MR coding sequence, with primer sequences: (FW: GCAGAAGATCTGGAGCAGGTGCTGGAGCAGGTGCTGGAGCAGGTGCTATGGAGACCAAAGGCTACCA and RV: GACCCGGGTGTGGAACAACACAGGGAAA). Subsequently, the PCR fragment was digested with BglII and SmaI, purified and cloned into the pEYFP-C1 vector, resulting in a vector with an in-frame fusion of hMR with EYFP, separated by 17, mostly nonpolar, amino acids. Plasmid integrity was checked by sequencing. </w:t>
      </w:r>
    </w:p>
    <w:p w:rsidR="00231700" w:rsidRPr="00077322" w:rsidRDefault="00231700" w:rsidP="00231700">
      <w:pPr>
        <w:spacing w:line="480" w:lineRule="auto"/>
        <w:jc w:val="both"/>
        <w:rPr>
          <w:rFonts w:ascii="Times New Roman" w:hAnsi="Times New Roman"/>
          <w:color w:val="000000"/>
          <w:sz w:val="20"/>
          <w:szCs w:val="20"/>
        </w:rPr>
      </w:pPr>
    </w:p>
    <w:p w:rsidR="00231700" w:rsidRPr="00077322" w:rsidRDefault="00231700" w:rsidP="00231700">
      <w:pPr>
        <w:spacing w:line="480" w:lineRule="auto"/>
        <w:jc w:val="both"/>
        <w:rPr>
          <w:rFonts w:ascii="Times New Roman" w:hAnsi="Times New Roman"/>
          <w:b/>
          <w:bCs/>
          <w:color w:val="000000"/>
          <w:sz w:val="20"/>
          <w:szCs w:val="20"/>
        </w:rPr>
      </w:pPr>
      <w:r w:rsidRPr="00077322">
        <w:rPr>
          <w:rFonts w:ascii="Times New Roman" w:hAnsi="Times New Roman"/>
          <w:b/>
          <w:bCs/>
          <w:color w:val="000000"/>
          <w:sz w:val="20"/>
          <w:szCs w:val="20"/>
        </w:rPr>
        <w:t xml:space="preserve"> Compounds. </w:t>
      </w:r>
      <w:r w:rsidRPr="00077322">
        <w:rPr>
          <w:rFonts w:ascii="Times New Roman" w:hAnsi="Times New Roman"/>
          <w:color w:val="000000"/>
          <w:sz w:val="20"/>
          <w:szCs w:val="20"/>
        </w:rPr>
        <w:t xml:space="preserve">The following ligands were used in these studies: dexamethasone, corticosterone, cortisol, Δ-fludrocortisone (1,4-pregnadien-9α-fluoro-11β,17,21-triol-3,20-dione), prednisolone (1,4-pregnadien-11β,17,21-triol-3,20-dione), RU486 (4,9-estradien-17α-propynyl,11β-[4-dimethylaminophenyl]-17β-ol-3-one), aldosterone, deoxycorticosterone </w:t>
      </w:r>
      <w:r w:rsidRPr="00077322">
        <w:rPr>
          <w:rFonts w:ascii="Times New Roman" w:hAnsi="Times New Roman"/>
          <w:b/>
          <w:color w:val="000000"/>
          <w:sz w:val="20"/>
          <w:szCs w:val="20"/>
        </w:rPr>
        <w:t>(</w:t>
      </w:r>
      <w:r w:rsidRPr="00077322">
        <w:rPr>
          <w:rStyle w:val="Strong"/>
          <w:rFonts w:ascii="Times New Roman" w:hAnsi="Times New Roman"/>
          <w:b w:val="0"/>
          <w:color w:val="000000"/>
          <w:sz w:val="20"/>
          <w:szCs w:val="20"/>
        </w:rPr>
        <w:t>21-hydroxy-4-pregnene-3,20-dione, 4-pregnen-21-ol-3,20-dione)</w:t>
      </w:r>
      <w:r w:rsidRPr="00077322">
        <w:rPr>
          <w:rFonts w:ascii="Times New Roman" w:hAnsi="Times New Roman"/>
          <w:b/>
          <w:color w:val="000000"/>
          <w:sz w:val="20"/>
          <w:szCs w:val="20"/>
        </w:rPr>
        <w:t xml:space="preserve">, </w:t>
      </w:r>
      <w:r w:rsidRPr="00077322">
        <w:rPr>
          <w:rFonts w:ascii="Times New Roman" w:hAnsi="Times New Roman"/>
          <w:color w:val="000000"/>
          <w:sz w:val="20"/>
          <w:szCs w:val="20"/>
        </w:rPr>
        <w:t>spironolactone</w:t>
      </w:r>
      <w:r w:rsidRPr="00077322">
        <w:rPr>
          <w:rFonts w:ascii="Times New Roman" w:hAnsi="Times New Roman"/>
          <w:b/>
          <w:color w:val="000000"/>
          <w:sz w:val="20"/>
          <w:szCs w:val="20"/>
        </w:rPr>
        <w:t xml:space="preserve"> (</w:t>
      </w:r>
      <w:r w:rsidRPr="00077322">
        <w:rPr>
          <w:rStyle w:val="Strong"/>
          <w:rFonts w:ascii="Times New Roman" w:hAnsi="Times New Roman"/>
          <w:b w:val="0"/>
          <w:color w:val="000000"/>
          <w:sz w:val="20"/>
          <w:szCs w:val="20"/>
        </w:rPr>
        <w:t>4-pregnen-21-oic acid-17α-ol-3-one-7α-thiol γ-lactone 7-acetate, 7α-(acetylthio)-17α-hydroxy-3-oxopregn-4-ene-21-carboxylic acid γ-lactone)</w:t>
      </w:r>
      <w:r w:rsidRPr="00077322">
        <w:rPr>
          <w:rFonts w:ascii="Times New Roman" w:hAnsi="Times New Roman"/>
          <w:color w:val="000000"/>
          <w:sz w:val="20"/>
          <w:szCs w:val="20"/>
        </w:rPr>
        <w:t xml:space="preserve"> and eplerenone (pregn-4-ene-7,21-dicarboxylic acid, 9,11-epoxy-17-hydroxy-3-oxo-, gamma-lactone, methyl ester). All steroids were purchased from Sigma-Aldrich and diluted in 100% EtOH to a concentration of 1 mM except for eplerenone, which was diluted in DMSO. All steroids were used at a final concentration of 1 μM in the medium.</w:t>
      </w:r>
    </w:p>
    <w:p w:rsidR="00231700" w:rsidRPr="00077322" w:rsidRDefault="00231700" w:rsidP="00231700">
      <w:pPr>
        <w:spacing w:line="480" w:lineRule="auto"/>
        <w:jc w:val="both"/>
        <w:rPr>
          <w:rFonts w:ascii="Times New Roman" w:hAnsi="Times New Roman"/>
          <w:b/>
          <w:color w:val="000000"/>
          <w:sz w:val="20"/>
          <w:szCs w:val="20"/>
        </w:rPr>
      </w:pPr>
    </w:p>
    <w:p w:rsidR="00030AB1" w:rsidRDefault="00231700" w:rsidP="00231700">
      <w:pPr>
        <w:spacing w:line="480" w:lineRule="auto"/>
        <w:jc w:val="both"/>
        <w:rPr>
          <w:rFonts w:ascii="Times New Roman" w:hAnsi="Times New Roman"/>
          <w:color w:val="000000"/>
          <w:sz w:val="20"/>
          <w:szCs w:val="20"/>
        </w:rPr>
      </w:pPr>
      <w:r w:rsidRPr="00077322">
        <w:rPr>
          <w:rFonts w:ascii="Times New Roman" w:hAnsi="Times New Roman"/>
          <w:b/>
          <w:color w:val="000000"/>
          <w:sz w:val="20"/>
          <w:szCs w:val="20"/>
        </w:rPr>
        <w:t xml:space="preserve">PICS analysis of single-molecule kinetics. </w:t>
      </w:r>
      <w:r w:rsidRPr="00077322">
        <w:rPr>
          <w:rFonts w:ascii="Times New Roman" w:hAnsi="Times New Roman"/>
          <w:color w:val="000000"/>
          <w:sz w:val="20"/>
          <w:szCs w:val="20"/>
        </w:rPr>
        <w:t>In PICS, the cross-correlation between peak positions at two different time lags (for example t = 0 ms and t = 6.25 ms) is calculated. This yields the cumulative probability distribution (C</w:t>
      </w:r>
      <w:r w:rsidRPr="00077322">
        <w:rPr>
          <w:rFonts w:ascii="Times New Roman" w:hAnsi="Times New Roman"/>
          <w:color w:val="000000"/>
          <w:sz w:val="20"/>
          <w:szCs w:val="20"/>
          <w:vertAlign w:val="subscript"/>
        </w:rPr>
        <w:t>cum</w:t>
      </w:r>
      <w:r w:rsidRPr="00077322">
        <w:rPr>
          <w:rFonts w:ascii="Times New Roman" w:hAnsi="Times New Roman"/>
          <w:color w:val="000000"/>
          <w:sz w:val="20"/>
          <w:szCs w:val="20"/>
        </w:rPr>
        <w:t>) of all ‘diffusion steps’ detected within 6.25 ms. C</w:t>
      </w:r>
      <w:r w:rsidRPr="00077322">
        <w:rPr>
          <w:rFonts w:ascii="Times New Roman" w:hAnsi="Times New Roman"/>
          <w:color w:val="000000"/>
          <w:sz w:val="20"/>
          <w:szCs w:val="20"/>
          <w:vertAlign w:val="subscript"/>
        </w:rPr>
        <w:t>cum</w:t>
      </w:r>
      <w:r w:rsidRPr="00077322">
        <w:rPr>
          <w:rFonts w:ascii="Times New Roman" w:hAnsi="Times New Roman"/>
          <w:color w:val="000000"/>
          <w:sz w:val="20"/>
          <w:szCs w:val="20"/>
        </w:rPr>
        <w:t xml:space="preserve"> includes both contributions from diffusing molecules </w:t>
      </w:r>
      <w:r w:rsidRPr="00077322">
        <w:rPr>
          <w:rFonts w:ascii="Times New Roman" w:hAnsi="Times New Roman"/>
          <w:color w:val="000000"/>
          <w:sz w:val="20"/>
          <w:szCs w:val="20"/>
        </w:rPr>
        <w:lastRenderedPageBreak/>
        <w:t xml:space="preserve">as well as random correlations between unrelated molecules in the two frames. The latter follows a linear relation in the cumulative plot and was subtracted prior to further analysis </w:t>
      </w:r>
      <w:r w:rsidR="003F0A7B" w:rsidRPr="00077322">
        <w:rPr>
          <w:rFonts w:ascii="Times New Roman" w:hAnsi="Times New Roman"/>
          <w:color w:val="000000"/>
          <w:sz w:val="20"/>
          <w:szCs w:val="20"/>
        </w:rPr>
        <w:fldChar w:fldCharType="begin"/>
      </w:r>
      <w:r w:rsidRPr="00077322">
        <w:rPr>
          <w:rFonts w:ascii="Times New Roman" w:hAnsi="Times New Roman"/>
          <w:color w:val="000000"/>
          <w:sz w:val="20"/>
          <w:szCs w:val="20"/>
        </w:rPr>
        <w:instrText xml:space="preserve"> ADDIN EN.CITE &lt;EndNote&gt;&lt;Cite&gt;&lt;Author&gt;Semrau&lt;/Author&gt;&lt;Year&gt;2007&lt;/Year&gt;&lt;RecNum&gt;253&lt;/RecNum&gt;&lt;DisplayText&gt;(2)&lt;/DisplayText&gt;&lt;record&gt;&lt;rec-number&gt;253&lt;/rec-number&gt;&lt;foreign-keys&gt;&lt;key app="EN" db-id="20e9wp5589a5zxe90fo5xe0sdaerrfpxp20a"&gt;253&lt;/key&gt;&lt;/foreign-keys&gt;&lt;ref-type name="Journal Article"&gt;17&lt;/ref-type&gt;&lt;contributors&gt;&lt;authors&gt;&lt;author&gt;Semrau, S.&lt;/author&gt;&lt;author&gt;Schmidt, T.&lt;/author&gt;&lt;/authors&gt;&lt;/contributors&gt;&lt;auth-address&gt;Physics of Life Processes, Leiden Institute of Physics, Leiden University, Leiden, The Netherlands.&lt;/auth-address&gt;&lt;titles&gt;&lt;title&gt;Particle image correlation spectroscopy (PICS): retrieving nanometer-scale correlations from high-density single-molecule position data&lt;/title&gt;&lt;secondary-title&gt;Biophys J&lt;/secondary-title&gt;&lt;/titles&gt;&lt;periodical&gt;&lt;full-title&gt;Biophys J&lt;/full-title&gt;&lt;/periodical&gt;&lt;pages&gt;613-21&lt;/pages&gt;&lt;volume&gt;92&lt;/volume&gt;&lt;number&gt;2&lt;/number&gt;&lt;keywords&gt;&lt;keyword&gt;*Algorithms&lt;/keyword&gt;&lt;keyword&gt;Biopolymers/*analysis/*chemistry&lt;/keyword&gt;&lt;keyword&gt;Image Interpretation, Computer-Assisted/*methods&lt;/keyword&gt;&lt;keyword&gt;Microscopy, Fluorescence/*methods&lt;/keyword&gt;&lt;keyword&gt;Nanostructures/*ultrastructure&lt;/keyword&gt;&lt;keyword&gt;Particle Size&lt;/keyword&gt;&lt;keyword&gt;Spectrometry, Fluorescence/*methods&lt;/keyword&gt;&lt;keyword&gt;Statistics as Topic&lt;/keyword&gt;&lt;/keywords&gt;&lt;dates&gt;&lt;year&gt;2007&lt;/year&gt;&lt;pub-dates&gt;&lt;date&gt;Jan 15&lt;/date&gt;&lt;/pub-dates&gt;&lt;/dates&gt;&lt;accession-num&gt;17085496&lt;/accession-num&gt;&lt;urls&gt;&lt;related-urls&gt;&lt;url&gt;http://www.ncbi.nlm.nih.gov/entrez/query.fcgi?cmd=Retrieve&amp;amp;db=PubMed&amp;amp;dopt=Citation&amp;amp;list_uids=17085496 &lt;/url&gt;&lt;/related-urls&gt;&lt;/urls&gt;&lt;/record&gt;&lt;/Cite&gt;&lt;/EndNote&gt;</w:instrText>
      </w:r>
      <w:r w:rsidR="003F0A7B" w:rsidRPr="00077322">
        <w:rPr>
          <w:rFonts w:ascii="Times New Roman" w:hAnsi="Times New Roman"/>
          <w:color w:val="000000"/>
          <w:sz w:val="20"/>
          <w:szCs w:val="20"/>
        </w:rPr>
        <w:fldChar w:fldCharType="separate"/>
      </w:r>
      <w:r w:rsidRPr="00077322">
        <w:rPr>
          <w:rFonts w:ascii="Times New Roman" w:hAnsi="Times New Roman"/>
          <w:noProof/>
          <w:color w:val="000000"/>
          <w:sz w:val="20"/>
          <w:szCs w:val="20"/>
        </w:rPr>
        <w:t>(2)</w:t>
      </w:r>
      <w:r w:rsidR="003F0A7B" w:rsidRPr="00077322">
        <w:rPr>
          <w:rFonts w:ascii="Times New Roman" w:hAnsi="Times New Roman"/>
          <w:color w:val="000000"/>
          <w:sz w:val="20"/>
          <w:szCs w:val="20"/>
        </w:rPr>
        <w:fldChar w:fldCharType="end"/>
      </w:r>
      <w:r w:rsidRPr="00077322">
        <w:rPr>
          <w:rFonts w:ascii="Times New Roman" w:hAnsi="Times New Roman"/>
          <w:color w:val="000000"/>
          <w:sz w:val="20"/>
          <w:szCs w:val="20"/>
        </w:rPr>
        <w:t>. From the remaining cumulative probability function (P</w:t>
      </w:r>
      <w:r w:rsidRPr="00077322">
        <w:rPr>
          <w:rFonts w:ascii="Times New Roman" w:hAnsi="Times New Roman"/>
          <w:color w:val="000000"/>
          <w:sz w:val="20"/>
          <w:szCs w:val="20"/>
          <w:vertAlign w:val="subscript"/>
        </w:rPr>
        <w:t>cum</w:t>
      </w:r>
      <w:r w:rsidRPr="00077322">
        <w:rPr>
          <w:rFonts w:ascii="Times New Roman" w:hAnsi="Times New Roman"/>
          <w:color w:val="000000"/>
          <w:sz w:val="20"/>
          <w:szCs w:val="20"/>
        </w:rPr>
        <w:t xml:space="preserve">) of diffusion steps </w:t>
      </w:r>
      <w:r w:rsidRPr="00077322">
        <w:rPr>
          <w:rFonts w:ascii="Times New Roman" w:hAnsi="Times New Roman"/>
          <w:i/>
          <w:color w:val="000000"/>
          <w:sz w:val="20"/>
          <w:szCs w:val="20"/>
        </w:rPr>
        <w:t>l</w:t>
      </w:r>
      <w:r w:rsidRPr="00077322">
        <w:rPr>
          <w:rFonts w:ascii="Times New Roman" w:hAnsi="Times New Roman"/>
          <w:color w:val="000000"/>
          <w:sz w:val="20"/>
          <w:szCs w:val="20"/>
        </w:rPr>
        <w:t>, we use population modeling to calculate diffusion characteristics of the nuclear population of YFP-GR molecules (Fig. 1</w:t>
      </w:r>
      <w:r w:rsidR="00BF2528" w:rsidRPr="00077322">
        <w:rPr>
          <w:rFonts w:ascii="Times New Roman" w:hAnsi="Times New Roman"/>
          <w:i/>
          <w:color w:val="000000"/>
          <w:sz w:val="20"/>
          <w:szCs w:val="20"/>
        </w:rPr>
        <w:t>D</w:t>
      </w:r>
      <w:r w:rsidRPr="00077322">
        <w:rPr>
          <w:rFonts w:ascii="Times New Roman" w:hAnsi="Times New Roman"/>
          <w:color w:val="000000"/>
          <w:sz w:val="20"/>
          <w:szCs w:val="20"/>
        </w:rPr>
        <w:t xml:space="preserve">). Given that the population of molecules is homogeneous, a single population of displacing molecules is determined with </w:t>
      </w:r>
    </w:p>
    <w:p w:rsidR="00231700" w:rsidRPr="00077322" w:rsidRDefault="00030AB1" w:rsidP="00231700">
      <w:pPr>
        <w:spacing w:line="480" w:lineRule="auto"/>
        <w:jc w:val="both"/>
        <w:rPr>
          <w:rFonts w:ascii="Times New Roman" w:hAnsi="Times New Roman"/>
          <w:color w:val="000000"/>
          <w:sz w:val="20"/>
          <w:szCs w:val="20"/>
        </w:rPr>
      </w:pPr>
      <w:r w:rsidRPr="00030AB1">
        <w:rPr>
          <w:rFonts w:ascii="Times New Roman" w:hAnsi="Times New Roman"/>
          <w:color w:val="000000"/>
          <w:position w:val="-34"/>
          <w:sz w:val="20"/>
          <w:szCs w:val="20"/>
        </w:rPr>
        <w:object w:dxaOrig="33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39.75pt" o:ole="">
            <v:imagedata r:id="rId4" o:title=""/>
          </v:shape>
          <o:OLEObject Type="Embed" ProgID="Equation.DSMT4" ShapeID="_x0000_i1025" DrawAspect="Content" ObjectID="_1453804159" r:id="rId5"/>
        </w:object>
      </w:r>
      <w:r>
        <w:rPr>
          <w:rFonts w:ascii="Times New Roman" w:hAnsi="Times New Roman"/>
          <w:color w:val="000000"/>
          <w:sz w:val="20"/>
          <w:szCs w:val="20"/>
        </w:rPr>
        <w:t xml:space="preserve"> </w:t>
      </w:r>
    </w:p>
    <w:p w:rsidR="00231700" w:rsidRDefault="00231700" w:rsidP="00231700">
      <w:pPr>
        <w:pStyle w:val="ListParagraph"/>
        <w:spacing w:line="480" w:lineRule="auto"/>
        <w:ind w:left="0"/>
        <w:jc w:val="both"/>
        <w:rPr>
          <w:rFonts w:ascii="Times New Roman" w:hAnsi="Times New Roman"/>
          <w:color w:val="000000"/>
          <w:sz w:val="20"/>
          <w:szCs w:val="20"/>
        </w:rPr>
      </w:pPr>
      <w:r w:rsidRPr="00077322">
        <w:rPr>
          <w:rFonts w:ascii="Times New Roman" w:hAnsi="Times New Roman"/>
          <w:color w:val="000000"/>
          <w:sz w:val="20"/>
          <w:szCs w:val="20"/>
        </w:rPr>
        <w:t>Here MSD</w:t>
      </w:r>
      <w:r w:rsidRPr="00077322">
        <w:rPr>
          <w:rFonts w:ascii="Times New Roman" w:hAnsi="Times New Roman"/>
          <w:color w:val="000000"/>
          <w:sz w:val="20"/>
          <w:szCs w:val="20"/>
          <w:vertAlign w:val="subscript"/>
        </w:rPr>
        <w:t>0</w:t>
      </w:r>
      <w:r w:rsidRPr="00077322">
        <w:rPr>
          <w:rFonts w:ascii="Times New Roman" w:hAnsi="Times New Roman"/>
          <w:color w:val="000000"/>
          <w:sz w:val="20"/>
          <w:szCs w:val="20"/>
        </w:rPr>
        <w:t xml:space="preserve"> is the mean square displacement of one population of molecules over the time lag. However, this one fraction model could not explain the experimental data (Fig. 1</w:t>
      </w:r>
      <w:r w:rsidR="00BF2528" w:rsidRPr="00077322">
        <w:rPr>
          <w:rFonts w:ascii="Times New Roman" w:hAnsi="Times New Roman"/>
          <w:i/>
          <w:color w:val="000000"/>
          <w:sz w:val="20"/>
          <w:szCs w:val="20"/>
        </w:rPr>
        <w:t>D</w:t>
      </w:r>
      <w:r w:rsidRPr="00077322">
        <w:rPr>
          <w:rFonts w:ascii="Times New Roman" w:hAnsi="Times New Roman"/>
          <w:color w:val="000000"/>
          <w:sz w:val="20"/>
          <w:szCs w:val="20"/>
        </w:rPr>
        <w:t>). Therefore a second fraction was introduced and the equation reads as follows:</w:t>
      </w:r>
    </w:p>
    <w:p w:rsidR="00231700" w:rsidRPr="00077322" w:rsidRDefault="00030AB1" w:rsidP="00030AB1">
      <w:pPr>
        <w:pStyle w:val="ListParagraph"/>
        <w:spacing w:line="480" w:lineRule="auto"/>
        <w:ind w:left="0"/>
        <w:jc w:val="both"/>
        <w:rPr>
          <w:rFonts w:ascii="Times New Roman" w:hAnsi="Times New Roman"/>
          <w:color w:val="000000"/>
          <w:sz w:val="20"/>
          <w:szCs w:val="20"/>
        </w:rPr>
      </w:pPr>
      <w:r w:rsidRPr="00030AB1">
        <w:rPr>
          <w:rFonts w:ascii="Times New Roman" w:hAnsi="Times New Roman"/>
          <w:color w:val="000000"/>
          <w:position w:val="-36"/>
          <w:sz w:val="20"/>
          <w:szCs w:val="20"/>
        </w:rPr>
        <w:object w:dxaOrig="6800" w:dyaOrig="840">
          <v:shape id="_x0000_i1026" type="#_x0000_t75" style="width:339.75pt;height:42pt" o:ole="">
            <v:imagedata r:id="rId6" o:title=""/>
          </v:shape>
          <o:OLEObject Type="Embed" ProgID="Equation.DSMT4" ShapeID="_x0000_i1026" DrawAspect="Content" ObjectID="_1453804160" r:id="rId7"/>
        </w:object>
      </w:r>
      <w:r>
        <w:rPr>
          <w:rFonts w:ascii="Times New Roman" w:hAnsi="Times New Roman"/>
          <w:color w:val="000000"/>
          <w:sz w:val="20"/>
          <w:szCs w:val="20"/>
        </w:rPr>
        <w:t xml:space="preserve"> </w:t>
      </w:r>
    </w:p>
    <w:p w:rsidR="00231700" w:rsidRDefault="00231700" w:rsidP="00231700">
      <w:pPr>
        <w:pStyle w:val="ListParagraph"/>
        <w:spacing w:line="480" w:lineRule="auto"/>
        <w:ind w:left="0"/>
        <w:jc w:val="both"/>
        <w:rPr>
          <w:rFonts w:ascii="Times New Roman" w:hAnsi="Times New Roman"/>
          <w:color w:val="000000"/>
          <w:sz w:val="20"/>
          <w:szCs w:val="20"/>
        </w:rPr>
      </w:pPr>
      <w:r w:rsidRPr="00077322">
        <w:rPr>
          <w:rFonts w:ascii="Times New Roman" w:hAnsi="Times New Roman"/>
          <w:color w:val="000000"/>
          <w:sz w:val="20"/>
          <w:szCs w:val="20"/>
        </w:rPr>
        <w:t>Where MSD</w:t>
      </w:r>
      <w:r w:rsidRPr="00077322">
        <w:rPr>
          <w:rFonts w:ascii="Times New Roman" w:hAnsi="Times New Roman"/>
          <w:color w:val="000000"/>
          <w:sz w:val="20"/>
          <w:szCs w:val="20"/>
          <w:vertAlign w:val="subscript"/>
        </w:rPr>
        <w:t>1</w:t>
      </w:r>
      <w:r w:rsidRPr="00077322">
        <w:rPr>
          <w:rFonts w:ascii="Times New Roman" w:hAnsi="Times New Roman"/>
          <w:color w:val="000000"/>
          <w:sz w:val="20"/>
          <w:szCs w:val="20"/>
        </w:rPr>
        <w:t xml:space="preserve"> and MSD</w:t>
      </w:r>
      <w:r w:rsidRPr="00077322">
        <w:rPr>
          <w:rFonts w:ascii="Times New Roman" w:hAnsi="Times New Roman"/>
          <w:color w:val="000000"/>
          <w:sz w:val="20"/>
          <w:szCs w:val="20"/>
          <w:vertAlign w:val="subscript"/>
        </w:rPr>
        <w:t>2</w:t>
      </w:r>
      <w:r w:rsidRPr="00077322">
        <w:rPr>
          <w:rFonts w:ascii="Times New Roman" w:hAnsi="Times New Roman"/>
          <w:color w:val="000000"/>
          <w:sz w:val="20"/>
          <w:szCs w:val="20"/>
        </w:rPr>
        <w:t xml:space="preserve"> denote the mean square displacement of the first (fast) and the second (slow) fractions respectively, and α is the fraction size of the first (fast) fraction. A two-population model fitted the experimental data with high accuracy (Fig. 1</w:t>
      </w:r>
      <w:r w:rsidR="00BF2528" w:rsidRPr="00077322">
        <w:rPr>
          <w:rFonts w:ascii="Times New Roman" w:hAnsi="Times New Roman"/>
          <w:i/>
          <w:color w:val="000000"/>
          <w:sz w:val="20"/>
          <w:szCs w:val="20"/>
        </w:rPr>
        <w:t>D</w:t>
      </w:r>
      <w:r w:rsidRPr="00077322">
        <w:rPr>
          <w:rFonts w:ascii="Times New Roman" w:hAnsi="Times New Roman"/>
          <w:color w:val="000000"/>
          <w:sz w:val="20"/>
          <w:szCs w:val="20"/>
        </w:rPr>
        <w:t>). This analysis was repeated for each time lag and α, MSD</w:t>
      </w:r>
      <w:r w:rsidRPr="00077322">
        <w:rPr>
          <w:rFonts w:ascii="Times New Roman" w:hAnsi="Times New Roman"/>
          <w:color w:val="000000"/>
          <w:sz w:val="20"/>
          <w:szCs w:val="20"/>
          <w:vertAlign w:val="subscript"/>
        </w:rPr>
        <w:t>1</w:t>
      </w:r>
      <w:r w:rsidRPr="00077322">
        <w:rPr>
          <w:rFonts w:ascii="Times New Roman" w:hAnsi="Times New Roman"/>
          <w:color w:val="000000"/>
          <w:sz w:val="20"/>
          <w:szCs w:val="20"/>
        </w:rPr>
        <w:t xml:space="preserve"> and MSD</w:t>
      </w:r>
      <w:r w:rsidRPr="00077322">
        <w:rPr>
          <w:rFonts w:ascii="Times New Roman" w:hAnsi="Times New Roman"/>
          <w:color w:val="000000"/>
          <w:sz w:val="20"/>
          <w:szCs w:val="20"/>
          <w:vertAlign w:val="subscript"/>
        </w:rPr>
        <w:t>2</w:t>
      </w:r>
      <w:r w:rsidRPr="00077322">
        <w:rPr>
          <w:rFonts w:ascii="Times New Roman" w:hAnsi="Times New Roman"/>
          <w:color w:val="000000"/>
          <w:sz w:val="20"/>
          <w:szCs w:val="20"/>
        </w:rPr>
        <w:t xml:space="preserve"> were plotted against time (Δt). The displacements over time were best described using a free diffusion model in 2D (see for examples, Fig. 2</w:t>
      </w:r>
      <w:r w:rsidRPr="00077322">
        <w:rPr>
          <w:rFonts w:ascii="Times New Roman" w:hAnsi="Times New Roman"/>
          <w:i/>
          <w:color w:val="000000"/>
          <w:sz w:val="20"/>
          <w:szCs w:val="20"/>
        </w:rPr>
        <w:t>B</w:t>
      </w:r>
      <w:r w:rsidRPr="00077322">
        <w:rPr>
          <w:rFonts w:ascii="Times New Roman" w:hAnsi="Times New Roman"/>
          <w:color w:val="000000"/>
          <w:sz w:val="20"/>
          <w:szCs w:val="20"/>
        </w:rPr>
        <w:t>; Fig. S1</w:t>
      </w:r>
      <w:r w:rsidRPr="00077322">
        <w:rPr>
          <w:rFonts w:ascii="Times New Roman" w:hAnsi="Times New Roman"/>
          <w:i/>
          <w:iCs/>
          <w:color w:val="000000"/>
          <w:sz w:val="20"/>
          <w:szCs w:val="20"/>
        </w:rPr>
        <w:t>B</w:t>
      </w:r>
      <w:r w:rsidRPr="00077322">
        <w:rPr>
          <w:rFonts w:ascii="Times New Roman" w:hAnsi="Times New Roman"/>
          <w:color w:val="000000"/>
          <w:sz w:val="20"/>
          <w:szCs w:val="20"/>
        </w:rPr>
        <w:t>), from which the diffusion coefficients (D</w:t>
      </w:r>
      <w:r w:rsidRPr="00077322">
        <w:rPr>
          <w:rFonts w:ascii="Times New Roman" w:hAnsi="Times New Roman"/>
          <w:color w:val="000000"/>
          <w:sz w:val="20"/>
          <w:szCs w:val="20"/>
          <w:vertAlign w:val="subscript"/>
        </w:rPr>
        <w:t>fast</w:t>
      </w:r>
      <w:r w:rsidRPr="00077322">
        <w:rPr>
          <w:rFonts w:ascii="Times New Roman" w:hAnsi="Times New Roman"/>
          <w:color w:val="000000"/>
          <w:sz w:val="20"/>
          <w:szCs w:val="20"/>
        </w:rPr>
        <w:t xml:space="preserve"> and D</w:t>
      </w:r>
      <w:r w:rsidRPr="00077322">
        <w:rPr>
          <w:rFonts w:ascii="Times New Roman" w:hAnsi="Times New Roman"/>
          <w:color w:val="000000"/>
          <w:sz w:val="20"/>
          <w:szCs w:val="20"/>
          <w:vertAlign w:val="subscript"/>
        </w:rPr>
        <w:t>slow</w:t>
      </w:r>
      <w:r w:rsidRPr="00077322">
        <w:rPr>
          <w:rFonts w:ascii="Times New Roman" w:hAnsi="Times New Roman"/>
          <w:color w:val="000000"/>
          <w:sz w:val="20"/>
          <w:szCs w:val="20"/>
        </w:rPr>
        <w:t>) were calculated using the following equation:</w:t>
      </w:r>
    </w:p>
    <w:bookmarkStart w:id="0" w:name="_GoBack"/>
    <w:p w:rsidR="00231700" w:rsidRPr="00077322" w:rsidRDefault="00030AB1" w:rsidP="00231700">
      <w:pPr>
        <w:pStyle w:val="ListParagraph"/>
        <w:spacing w:line="480" w:lineRule="auto"/>
        <w:ind w:left="0"/>
        <w:jc w:val="both"/>
        <w:rPr>
          <w:rFonts w:ascii="Times New Roman" w:hAnsi="Times New Roman"/>
          <w:color w:val="000000"/>
          <w:sz w:val="20"/>
          <w:szCs w:val="20"/>
        </w:rPr>
      </w:pPr>
      <w:r w:rsidRPr="00030AB1">
        <w:rPr>
          <w:rFonts w:ascii="Times New Roman" w:hAnsi="Times New Roman"/>
          <w:color w:val="000000"/>
          <w:position w:val="-14"/>
          <w:sz w:val="20"/>
          <w:szCs w:val="20"/>
        </w:rPr>
        <w:object w:dxaOrig="2120" w:dyaOrig="400">
          <v:shape id="_x0000_i1027" type="#_x0000_t75" style="width:105.75pt;height:20.25pt" o:ole="">
            <v:imagedata r:id="rId8" o:title=""/>
          </v:shape>
          <o:OLEObject Type="Embed" ProgID="Equation.DSMT4" ShapeID="_x0000_i1027" DrawAspect="Content" ObjectID="_1453804161" r:id="rId9"/>
        </w:object>
      </w:r>
      <w:bookmarkEnd w:id="0"/>
      <w:r>
        <w:rPr>
          <w:rFonts w:ascii="Times New Roman" w:hAnsi="Times New Roman"/>
          <w:color w:val="000000"/>
          <w:sz w:val="20"/>
          <w:szCs w:val="20"/>
        </w:rPr>
        <w:t xml:space="preserve"> </w:t>
      </w:r>
    </w:p>
    <w:p w:rsidR="00231700" w:rsidRPr="00077322" w:rsidRDefault="00231700" w:rsidP="00231700">
      <w:pPr>
        <w:pStyle w:val="ListParagraph"/>
        <w:spacing w:line="480" w:lineRule="auto"/>
        <w:ind w:left="0"/>
        <w:jc w:val="both"/>
        <w:rPr>
          <w:rFonts w:ascii="Times New Roman" w:hAnsi="Times New Roman"/>
          <w:color w:val="000000"/>
          <w:sz w:val="20"/>
          <w:szCs w:val="20"/>
        </w:rPr>
      </w:pPr>
      <w:r w:rsidRPr="00077322">
        <w:rPr>
          <w:rFonts w:ascii="Times New Roman" w:hAnsi="Times New Roman"/>
          <w:color w:val="000000"/>
          <w:sz w:val="20"/>
          <w:szCs w:val="20"/>
        </w:rPr>
        <w:t>The fraction size α decreased slightly (on average -0.21 ± 0.04 %/ms) over increasing time lags in all groups (see Fig. S1</w:t>
      </w:r>
      <w:r w:rsidRPr="00077322">
        <w:rPr>
          <w:rFonts w:ascii="Times New Roman" w:hAnsi="Times New Roman"/>
          <w:i/>
          <w:iCs/>
          <w:color w:val="000000"/>
          <w:sz w:val="20"/>
          <w:szCs w:val="20"/>
        </w:rPr>
        <w:t>A</w:t>
      </w:r>
      <w:r w:rsidRPr="00077322">
        <w:rPr>
          <w:rFonts w:ascii="Times New Roman" w:hAnsi="Times New Roman"/>
          <w:color w:val="000000"/>
          <w:sz w:val="20"/>
          <w:szCs w:val="20"/>
        </w:rPr>
        <w:t>). Due to this effect, we always report the fraction distribution of the smallest time step (6.25 ms) as a representative of the overall fraction distribution.</w:t>
      </w:r>
    </w:p>
    <w:p w:rsidR="00231700" w:rsidRPr="00077322" w:rsidRDefault="00231700" w:rsidP="00231700">
      <w:pPr>
        <w:pStyle w:val="ListParagraph"/>
        <w:spacing w:line="480" w:lineRule="auto"/>
        <w:ind w:left="0"/>
        <w:jc w:val="both"/>
        <w:rPr>
          <w:rFonts w:ascii="Times New Roman" w:hAnsi="Times New Roman"/>
          <w:color w:val="000000"/>
          <w:sz w:val="20"/>
          <w:szCs w:val="20"/>
        </w:rPr>
      </w:pPr>
    </w:p>
    <w:p w:rsidR="00231700" w:rsidRDefault="00231700" w:rsidP="00231700">
      <w:pPr>
        <w:pStyle w:val="ListParagraph"/>
        <w:spacing w:line="480" w:lineRule="auto"/>
        <w:ind w:left="0"/>
        <w:jc w:val="both"/>
        <w:rPr>
          <w:rFonts w:ascii="Times New Roman" w:hAnsi="Times New Roman"/>
          <w:iCs/>
          <w:color w:val="000000"/>
          <w:sz w:val="20"/>
          <w:szCs w:val="20"/>
        </w:rPr>
      </w:pPr>
      <w:r w:rsidRPr="00077322">
        <w:rPr>
          <w:rFonts w:ascii="Times New Roman" w:hAnsi="Times New Roman"/>
          <w:b/>
          <w:iCs/>
          <w:color w:val="000000"/>
          <w:sz w:val="20"/>
          <w:szCs w:val="20"/>
        </w:rPr>
        <w:t>Monte Carlo quantification of FRAP curves.</w:t>
      </w:r>
      <w:r w:rsidRPr="00077322">
        <w:rPr>
          <w:rFonts w:ascii="Times New Roman" w:hAnsi="Times New Roman"/>
          <w:iCs/>
          <w:color w:val="000000"/>
          <w:sz w:val="20"/>
          <w:szCs w:val="20"/>
        </w:rPr>
        <w:t xml:space="preserve"> The FRAP data was quantitatively analyzed by comparing the experimental data to curves generated using Monte Carlo modeling </w:t>
      </w:r>
      <w:r w:rsidR="003F0A7B" w:rsidRPr="00077322">
        <w:rPr>
          <w:rFonts w:ascii="Times New Roman" w:hAnsi="Times New Roman"/>
          <w:iCs/>
          <w:color w:val="000000"/>
          <w:sz w:val="20"/>
          <w:szCs w:val="20"/>
        </w:rPr>
        <w:fldChar w:fldCharType="begin"/>
      </w:r>
      <w:r w:rsidRPr="00077322">
        <w:rPr>
          <w:rFonts w:ascii="Times New Roman" w:hAnsi="Times New Roman"/>
          <w:iCs/>
          <w:color w:val="000000"/>
          <w:sz w:val="20"/>
          <w:szCs w:val="20"/>
        </w:rPr>
        <w:instrText xml:space="preserve"> ADDIN EN.CITE &lt;EndNote&gt;&lt;Cite&gt;&lt;Author&gt;van Royen&lt;/Author&gt;&lt;Year&gt;2009&lt;/Year&gt;&lt;RecNum&gt;246&lt;/RecNum&gt;&lt;DisplayText&gt;(3)&lt;/DisplayText&gt;&lt;record&gt;&lt;rec-number&gt;246&lt;/rec-number&gt;&lt;foreign-keys&gt;&lt;key app="EN" db-id="20e9wp5589a5zxe90fo5xe0sdaerrfpxp20a"&gt;246&lt;/key&gt;&lt;/foreign-keys&gt;&lt;ref-type name="Journal Article"&gt;17&lt;/ref-type&gt;&lt;contributors&gt;&lt;authors&gt;&lt;author&gt;van Royen, M. E.&lt;/author&gt;&lt;author&gt;Farla, P.&lt;/author&gt;&lt;author&gt;Mattern, K. A.&lt;/author&gt;&lt;author&gt;Geverts, B.&lt;/author&gt;&lt;author&gt;Trapman, J.&lt;/author&gt;&lt;author&gt;Houtsmuller, A. B.&lt;/author&gt;&lt;/authors&gt;&lt;/contributors&gt;&lt;auth-address&gt;Department of Pathology, Josephine Nefkens Institute, Erasmus University Medical Centre, Rotterdam, The Netherlands.&lt;/auth-address&gt;&lt;titles&gt;&lt;title&gt;Fluorescence recovery after photobleaching (FRAP) to study nuclear protein dynamics in living cells&lt;/title&gt;&lt;secondary-title&gt;Methods in molecular biology&lt;/secondary-title&gt;&lt;alt-title&gt;Methods Mol Biol&lt;/alt-title&gt;&lt;/titles&gt;&lt;periodical&gt;&lt;full-title&gt;Methods in molecular biology&lt;/full-title&gt;&lt;abbr-1&gt;Methods Mol Biol&lt;/abbr-1&gt;&lt;/periodical&gt;&lt;alt-periodical&gt;&lt;full-title&gt;Methods in molecular biology&lt;/full-title&gt;&lt;abbr-1&gt;Methods Mol Biol&lt;/abbr-1&gt;&lt;/alt-periodical&gt;&lt;pages&gt;363-85&lt;/pages&gt;&lt;volume&gt;464&lt;/volume&gt;&lt;edition&gt;2008/10/28&lt;/edition&gt;&lt;keywords&gt;&lt;keyword&gt;Animals&lt;/keyword&gt;&lt;keyword&gt;Cell Nucleus/metabolism&lt;/keyword&gt;&lt;keyword&gt;Cells, Cultured&lt;/keyword&gt;&lt;keyword&gt;Fluorescence Recovery After Photobleaching/*methods&lt;/keyword&gt;&lt;keyword&gt;Green Fluorescent Proteins/genetics/metabolism&lt;/keyword&gt;&lt;keyword&gt;Humans&lt;/keyword&gt;&lt;keyword&gt;Nuclear Proteins/genetics/*metabolism&lt;/keyword&gt;&lt;/keywords&gt;&lt;dates&gt;&lt;year&gt;2009&lt;/year&gt;&lt;/dates&gt;&lt;isbn&gt;1940-6029 (Electronic)&amp;#xD;1064-3745 (Linking)&lt;/isbn&gt;&lt;accession-num&gt;18951195&lt;/accession-num&gt;&lt;urls&gt;&lt;related-urls&gt;&lt;url&gt;http://www.ncbi.nlm.nih.gov/pubmed/18951195&lt;/url&gt;&lt;/related-urls&gt;&lt;/urls&gt;&lt;electronic-resource-num&gt;10.1007/978-1-60327-461-6_20&lt;/electronic-resource-num&gt;&lt;language&gt;eng&lt;/language&gt;&lt;/record&gt;&lt;/Cite&gt;&lt;/EndNote&gt;</w:instrText>
      </w:r>
      <w:r w:rsidR="003F0A7B" w:rsidRPr="00077322">
        <w:rPr>
          <w:rFonts w:ascii="Times New Roman" w:hAnsi="Times New Roman"/>
          <w:iCs/>
          <w:color w:val="000000"/>
          <w:sz w:val="20"/>
          <w:szCs w:val="20"/>
        </w:rPr>
        <w:fldChar w:fldCharType="separate"/>
      </w:r>
      <w:r w:rsidRPr="00077322">
        <w:rPr>
          <w:rFonts w:ascii="Times New Roman" w:hAnsi="Times New Roman"/>
          <w:iCs/>
          <w:noProof/>
          <w:color w:val="000000"/>
          <w:sz w:val="20"/>
          <w:szCs w:val="20"/>
        </w:rPr>
        <w:t>(3)</w:t>
      </w:r>
      <w:r w:rsidR="003F0A7B" w:rsidRPr="00077322">
        <w:rPr>
          <w:rFonts w:ascii="Times New Roman" w:hAnsi="Times New Roman"/>
          <w:iCs/>
          <w:color w:val="000000"/>
          <w:sz w:val="20"/>
          <w:szCs w:val="20"/>
        </w:rPr>
        <w:fldChar w:fldCharType="end"/>
      </w:r>
      <w:r w:rsidRPr="00077322">
        <w:rPr>
          <w:rFonts w:ascii="Times New Roman" w:hAnsi="Times New Roman"/>
          <w:iCs/>
          <w:color w:val="000000"/>
          <w:sz w:val="20"/>
          <w:szCs w:val="20"/>
        </w:rPr>
        <w:t xml:space="preserve">. The Monte Carlo computer simulations used to generate FRAP curves for the fit were based on a model that simulates diffusion of molecules in three dimensions and binding to immobile elements in an ellipsoidal volume. The laser bleach pulse was simulated based on experimentally derived three-dimensional laser intensity profiles, which were used to determine the probability for each molecule to get bleached considering their 3D position. </w:t>
      </w:r>
      <w:r w:rsidR="00077322" w:rsidRPr="00077322">
        <w:rPr>
          <w:rFonts w:ascii="Times New Roman" w:hAnsi="Times New Roman"/>
          <w:sz w:val="20"/>
          <w:szCs w:val="20"/>
        </w:rPr>
        <w:t xml:space="preserve">The size of the ellipsoid model nucleus (x-, y- and z-diameters) was based on averages from experimental data. The simulation of the FRAP curve was </w:t>
      </w:r>
      <w:r w:rsidR="00077322" w:rsidRPr="00077322">
        <w:rPr>
          <w:rFonts w:ascii="Times New Roman" w:hAnsi="Times New Roman"/>
          <w:sz w:val="20"/>
          <w:szCs w:val="20"/>
        </w:rPr>
        <w:lastRenderedPageBreak/>
        <w:t xml:space="preserve">then run using discrete time steps corresponding to the experimental scan interval of 100 ms. </w:t>
      </w:r>
      <w:r w:rsidRPr="00077322">
        <w:rPr>
          <w:rFonts w:ascii="Times New Roman" w:hAnsi="Times New Roman"/>
          <w:iCs/>
          <w:color w:val="000000"/>
          <w:sz w:val="20"/>
          <w:szCs w:val="20"/>
        </w:rPr>
        <w:t>Diffusion was simulated at each new time step t + ∆t by deriving the new positions (x</w:t>
      </w:r>
      <w:r w:rsidRPr="00077322">
        <w:rPr>
          <w:rFonts w:ascii="Times New Roman" w:hAnsi="Times New Roman"/>
          <w:iCs/>
          <w:color w:val="000000"/>
          <w:sz w:val="20"/>
          <w:szCs w:val="20"/>
          <w:vertAlign w:val="subscript"/>
        </w:rPr>
        <w:t>t+∆t</w:t>
      </w:r>
      <w:r w:rsidRPr="00077322">
        <w:rPr>
          <w:rFonts w:ascii="Times New Roman" w:hAnsi="Times New Roman"/>
          <w:iCs/>
          <w:color w:val="000000"/>
          <w:sz w:val="20"/>
          <w:szCs w:val="20"/>
        </w:rPr>
        <w:t>, y</w:t>
      </w:r>
      <w:r w:rsidRPr="00077322">
        <w:rPr>
          <w:rFonts w:ascii="Times New Roman" w:hAnsi="Times New Roman"/>
          <w:iCs/>
          <w:color w:val="000000"/>
          <w:sz w:val="20"/>
          <w:szCs w:val="20"/>
          <w:vertAlign w:val="subscript"/>
        </w:rPr>
        <w:t>t+∆t</w:t>
      </w:r>
      <w:r w:rsidRPr="00077322">
        <w:rPr>
          <w:rFonts w:ascii="Times New Roman" w:hAnsi="Times New Roman"/>
          <w:iCs/>
          <w:color w:val="000000"/>
          <w:sz w:val="20"/>
          <w:szCs w:val="20"/>
        </w:rPr>
        <w:t>, z</w:t>
      </w:r>
      <w:r w:rsidRPr="00077322">
        <w:rPr>
          <w:rFonts w:ascii="Times New Roman" w:hAnsi="Times New Roman"/>
          <w:iCs/>
          <w:color w:val="000000"/>
          <w:sz w:val="20"/>
          <w:szCs w:val="20"/>
          <w:vertAlign w:val="subscript"/>
        </w:rPr>
        <w:t>t+∆t</w:t>
      </w:r>
      <w:r w:rsidRPr="00077322">
        <w:rPr>
          <w:rFonts w:ascii="Times New Roman" w:hAnsi="Times New Roman"/>
          <w:iCs/>
          <w:color w:val="000000"/>
          <w:sz w:val="20"/>
          <w:szCs w:val="20"/>
        </w:rPr>
        <w:t>) of all mobile molecules from their current positions (x</w:t>
      </w:r>
      <w:r w:rsidRPr="00077322">
        <w:rPr>
          <w:rFonts w:ascii="Times New Roman" w:hAnsi="Times New Roman"/>
          <w:iCs/>
          <w:color w:val="000000"/>
          <w:sz w:val="20"/>
          <w:szCs w:val="20"/>
          <w:vertAlign w:val="subscript"/>
        </w:rPr>
        <w:t>t</w:t>
      </w:r>
      <w:r w:rsidRPr="00077322">
        <w:rPr>
          <w:rFonts w:ascii="Times New Roman" w:hAnsi="Times New Roman"/>
          <w:iCs/>
          <w:color w:val="000000"/>
          <w:sz w:val="20"/>
          <w:szCs w:val="20"/>
        </w:rPr>
        <w:t>, y</w:t>
      </w:r>
      <w:r w:rsidRPr="00077322">
        <w:rPr>
          <w:rFonts w:ascii="Times New Roman" w:hAnsi="Times New Roman"/>
          <w:iCs/>
          <w:color w:val="000000"/>
          <w:sz w:val="20"/>
          <w:szCs w:val="20"/>
          <w:vertAlign w:val="subscript"/>
        </w:rPr>
        <w:t>t</w:t>
      </w:r>
      <w:r w:rsidRPr="00077322">
        <w:rPr>
          <w:rFonts w:ascii="Times New Roman" w:hAnsi="Times New Roman"/>
          <w:iCs/>
          <w:color w:val="000000"/>
          <w:sz w:val="20"/>
          <w:szCs w:val="20"/>
        </w:rPr>
        <w:t>, z</w:t>
      </w:r>
      <w:r w:rsidRPr="00077322">
        <w:rPr>
          <w:rFonts w:ascii="Times New Roman" w:hAnsi="Times New Roman"/>
          <w:iCs/>
          <w:color w:val="000000"/>
          <w:sz w:val="20"/>
          <w:szCs w:val="20"/>
          <w:vertAlign w:val="subscript"/>
        </w:rPr>
        <w:t>t</w:t>
      </w:r>
      <w:r w:rsidRPr="00077322">
        <w:rPr>
          <w:rFonts w:ascii="Times New Roman" w:hAnsi="Times New Roman"/>
          <w:iCs/>
          <w:color w:val="000000"/>
          <w:sz w:val="20"/>
          <w:szCs w:val="20"/>
        </w:rPr>
        <w:t>) by x</w:t>
      </w:r>
      <w:r w:rsidRPr="00077322">
        <w:rPr>
          <w:rFonts w:ascii="Times New Roman" w:hAnsi="Times New Roman"/>
          <w:iCs/>
          <w:color w:val="000000"/>
          <w:sz w:val="20"/>
          <w:szCs w:val="20"/>
          <w:vertAlign w:val="subscript"/>
        </w:rPr>
        <w:t>t+∆t</w:t>
      </w:r>
      <w:r w:rsidRPr="00077322">
        <w:rPr>
          <w:rFonts w:ascii="Times New Roman" w:hAnsi="Times New Roman"/>
          <w:iCs/>
          <w:color w:val="000000"/>
          <w:sz w:val="20"/>
          <w:szCs w:val="20"/>
        </w:rPr>
        <w:t xml:space="preserve"> = x</w:t>
      </w:r>
      <w:r w:rsidRPr="00077322">
        <w:rPr>
          <w:rFonts w:ascii="Times New Roman" w:hAnsi="Times New Roman"/>
          <w:iCs/>
          <w:color w:val="000000"/>
          <w:sz w:val="20"/>
          <w:szCs w:val="20"/>
          <w:vertAlign w:val="subscript"/>
        </w:rPr>
        <w:t xml:space="preserve">t </w:t>
      </w:r>
      <w:r w:rsidRPr="00077322">
        <w:rPr>
          <w:rFonts w:ascii="Times New Roman" w:hAnsi="Times New Roman"/>
          <w:iCs/>
          <w:color w:val="000000"/>
          <w:sz w:val="20"/>
          <w:szCs w:val="20"/>
        </w:rPr>
        <w:t>+ G(r</w:t>
      </w:r>
      <w:r w:rsidRPr="00077322">
        <w:rPr>
          <w:rFonts w:ascii="Times New Roman" w:hAnsi="Times New Roman"/>
          <w:iCs/>
          <w:color w:val="000000"/>
          <w:sz w:val="20"/>
          <w:szCs w:val="20"/>
          <w:vertAlign w:val="subscript"/>
        </w:rPr>
        <w:t>1</w:t>
      </w:r>
      <w:r w:rsidRPr="00077322">
        <w:rPr>
          <w:rFonts w:ascii="Times New Roman" w:hAnsi="Times New Roman"/>
          <w:iCs/>
          <w:color w:val="000000"/>
          <w:sz w:val="20"/>
          <w:szCs w:val="20"/>
        </w:rPr>
        <w:t>),  y</w:t>
      </w:r>
      <w:r w:rsidRPr="00077322">
        <w:rPr>
          <w:rFonts w:ascii="Times New Roman" w:hAnsi="Times New Roman"/>
          <w:iCs/>
          <w:color w:val="000000"/>
          <w:sz w:val="20"/>
          <w:szCs w:val="20"/>
          <w:vertAlign w:val="subscript"/>
        </w:rPr>
        <w:t>t+∆t</w:t>
      </w:r>
      <w:r w:rsidRPr="00077322">
        <w:rPr>
          <w:rFonts w:ascii="Times New Roman" w:hAnsi="Times New Roman"/>
          <w:iCs/>
          <w:color w:val="000000"/>
          <w:sz w:val="20"/>
          <w:szCs w:val="20"/>
        </w:rPr>
        <w:t>= y</w:t>
      </w:r>
      <w:r w:rsidRPr="00077322">
        <w:rPr>
          <w:rFonts w:ascii="Times New Roman" w:hAnsi="Times New Roman"/>
          <w:iCs/>
          <w:color w:val="000000"/>
          <w:sz w:val="20"/>
          <w:szCs w:val="20"/>
          <w:vertAlign w:val="subscript"/>
        </w:rPr>
        <w:t>t</w:t>
      </w:r>
      <w:r w:rsidRPr="00077322">
        <w:rPr>
          <w:rFonts w:ascii="Times New Roman" w:hAnsi="Times New Roman"/>
          <w:iCs/>
          <w:color w:val="000000"/>
          <w:sz w:val="20"/>
          <w:szCs w:val="20"/>
        </w:rPr>
        <w:t xml:space="preserve"> + G(r</w:t>
      </w:r>
      <w:r w:rsidRPr="00077322">
        <w:rPr>
          <w:rFonts w:ascii="Times New Roman" w:hAnsi="Times New Roman"/>
          <w:iCs/>
          <w:color w:val="000000"/>
          <w:sz w:val="20"/>
          <w:szCs w:val="20"/>
          <w:vertAlign w:val="subscript"/>
        </w:rPr>
        <w:t>2</w:t>
      </w:r>
      <w:r w:rsidRPr="00077322">
        <w:rPr>
          <w:rFonts w:ascii="Times New Roman" w:hAnsi="Times New Roman"/>
          <w:iCs/>
          <w:color w:val="000000"/>
          <w:sz w:val="20"/>
          <w:szCs w:val="20"/>
        </w:rPr>
        <w:t>), and  z</w:t>
      </w:r>
      <w:r w:rsidRPr="00077322">
        <w:rPr>
          <w:rFonts w:ascii="Times New Roman" w:hAnsi="Times New Roman"/>
          <w:iCs/>
          <w:color w:val="000000"/>
          <w:sz w:val="20"/>
          <w:szCs w:val="20"/>
          <w:vertAlign w:val="subscript"/>
        </w:rPr>
        <w:t>t+∆t</w:t>
      </w:r>
      <w:r w:rsidRPr="00077322">
        <w:rPr>
          <w:rFonts w:ascii="Times New Roman" w:hAnsi="Times New Roman"/>
          <w:iCs/>
          <w:color w:val="000000"/>
          <w:sz w:val="20"/>
          <w:szCs w:val="20"/>
        </w:rPr>
        <w:t xml:space="preserve"> = z</w:t>
      </w:r>
      <w:r w:rsidRPr="00077322">
        <w:rPr>
          <w:rFonts w:ascii="Times New Roman" w:hAnsi="Times New Roman"/>
          <w:iCs/>
          <w:color w:val="000000"/>
          <w:sz w:val="20"/>
          <w:szCs w:val="20"/>
          <w:vertAlign w:val="subscript"/>
        </w:rPr>
        <w:t xml:space="preserve">t </w:t>
      </w:r>
      <w:r w:rsidRPr="00077322">
        <w:rPr>
          <w:rFonts w:ascii="Times New Roman" w:hAnsi="Times New Roman"/>
          <w:iCs/>
          <w:color w:val="000000"/>
          <w:sz w:val="20"/>
          <w:szCs w:val="20"/>
        </w:rPr>
        <w:t>+ G(r</w:t>
      </w:r>
      <w:r w:rsidRPr="00077322">
        <w:rPr>
          <w:rFonts w:ascii="Times New Roman" w:hAnsi="Times New Roman"/>
          <w:iCs/>
          <w:color w:val="000000"/>
          <w:sz w:val="20"/>
          <w:szCs w:val="20"/>
          <w:vertAlign w:val="subscript"/>
        </w:rPr>
        <w:t>3</w:t>
      </w:r>
      <w:r w:rsidRPr="00077322">
        <w:rPr>
          <w:rFonts w:ascii="Times New Roman" w:hAnsi="Times New Roman"/>
          <w:iCs/>
          <w:color w:val="000000"/>
          <w:sz w:val="20"/>
          <w:szCs w:val="20"/>
        </w:rPr>
        <w:t>), where r</w:t>
      </w:r>
      <w:r w:rsidRPr="00077322">
        <w:rPr>
          <w:rFonts w:ascii="Times New Roman" w:hAnsi="Times New Roman"/>
          <w:iCs/>
          <w:color w:val="000000"/>
          <w:sz w:val="20"/>
          <w:szCs w:val="20"/>
          <w:vertAlign w:val="subscript"/>
        </w:rPr>
        <w:t xml:space="preserve">i </w:t>
      </w:r>
      <w:r w:rsidRPr="00077322">
        <w:rPr>
          <w:rFonts w:ascii="Times New Roman" w:hAnsi="Times New Roman"/>
          <w:iCs/>
          <w:color w:val="000000"/>
          <w:sz w:val="20"/>
          <w:szCs w:val="20"/>
        </w:rPr>
        <w:t>is a random number (0 ≤ r</w:t>
      </w:r>
      <w:r w:rsidRPr="00077322">
        <w:rPr>
          <w:rFonts w:ascii="Times New Roman" w:hAnsi="Times New Roman"/>
          <w:iCs/>
          <w:color w:val="000000"/>
          <w:sz w:val="20"/>
          <w:szCs w:val="20"/>
          <w:vertAlign w:val="subscript"/>
        </w:rPr>
        <w:t xml:space="preserve">i </w:t>
      </w:r>
      <w:r w:rsidRPr="00077322">
        <w:rPr>
          <w:rFonts w:ascii="Times New Roman" w:hAnsi="Times New Roman"/>
          <w:iCs/>
          <w:color w:val="000000"/>
          <w:sz w:val="20"/>
          <w:szCs w:val="20"/>
        </w:rPr>
        <w:t>≤ 1) chosen from a uniform distribution, and G(r</w:t>
      </w:r>
      <w:r w:rsidRPr="00077322">
        <w:rPr>
          <w:rFonts w:ascii="Times New Roman" w:hAnsi="Times New Roman"/>
          <w:iCs/>
          <w:color w:val="000000"/>
          <w:sz w:val="20"/>
          <w:szCs w:val="20"/>
          <w:vertAlign w:val="subscript"/>
        </w:rPr>
        <w:t>i</w:t>
      </w:r>
      <w:r w:rsidRPr="00077322">
        <w:rPr>
          <w:rFonts w:ascii="Times New Roman" w:hAnsi="Times New Roman"/>
          <w:iCs/>
          <w:color w:val="000000"/>
          <w:sz w:val="20"/>
          <w:szCs w:val="20"/>
        </w:rPr>
        <w:t>) is the inverse of a cumulative Gaussian function with µ = 0 and σ</w:t>
      </w:r>
      <w:r w:rsidRPr="00077322">
        <w:rPr>
          <w:rFonts w:ascii="Times New Roman" w:hAnsi="Times New Roman"/>
          <w:iCs/>
          <w:color w:val="000000"/>
          <w:sz w:val="20"/>
          <w:szCs w:val="20"/>
          <w:vertAlign w:val="superscript"/>
        </w:rPr>
        <w:t>2</w:t>
      </w:r>
      <w:r w:rsidRPr="00077322">
        <w:rPr>
          <w:rFonts w:ascii="Times New Roman" w:hAnsi="Times New Roman"/>
          <w:iCs/>
          <w:color w:val="000000"/>
          <w:sz w:val="20"/>
          <w:szCs w:val="20"/>
        </w:rPr>
        <w:t xml:space="preserve">= 2D∆t, where D is the diffusion coefficient (obtained from SMM analysis). Immobilization was derived from simple binding kinetics described by: </w:t>
      </w:r>
    </w:p>
    <w:p w:rsidR="00231700" w:rsidRPr="00F94332" w:rsidRDefault="00F94332" w:rsidP="00F94332">
      <w:pPr>
        <w:pStyle w:val="ListParagraph"/>
        <w:spacing w:line="480" w:lineRule="auto"/>
        <w:ind w:left="0"/>
        <w:jc w:val="both"/>
        <w:rPr>
          <w:rFonts w:ascii="Times New Roman" w:hAnsi="Times New Roman"/>
          <w:color w:val="000000"/>
          <w:sz w:val="20"/>
          <w:szCs w:val="20"/>
        </w:rPr>
      </w:pPr>
      <w:r w:rsidRPr="00F94332">
        <w:rPr>
          <w:rFonts w:ascii="Times New Roman" w:hAnsi="Times New Roman"/>
          <w:iCs/>
          <w:color w:val="000000"/>
          <w:position w:val="-32"/>
          <w:sz w:val="20"/>
          <w:szCs w:val="20"/>
        </w:rPr>
        <w:object w:dxaOrig="1100" w:dyaOrig="700">
          <v:shape id="_x0000_i1028" type="#_x0000_t75" style="width:54.75pt;height:35.25pt" o:ole="">
            <v:imagedata r:id="rId10" o:title=""/>
          </v:shape>
          <o:OLEObject Type="Embed" ProgID="Equation.DSMT4" ShapeID="_x0000_i1028" DrawAspect="Content" ObjectID="_1453804162" r:id="rId11"/>
        </w:object>
      </w:r>
      <w:r>
        <w:rPr>
          <w:rFonts w:ascii="Times New Roman" w:hAnsi="Times New Roman"/>
          <w:iCs/>
          <w:color w:val="000000"/>
          <w:sz w:val="20"/>
          <w:szCs w:val="20"/>
        </w:rPr>
        <w:t xml:space="preserve"> </w:t>
      </w:r>
    </w:p>
    <w:p w:rsidR="00F94332" w:rsidRDefault="00231700" w:rsidP="00231700">
      <w:pPr>
        <w:spacing w:line="480" w:lineRule="auto"/>
        <w:jc w:val="both"/>
        <w:rPr>
          <w:rFonts w:ascii="Times New Roman" w:hAnsi="Times New Roman"/>
          <w:iCs/>
          <w:color w:val="000000"/>
          <w:sz w:val="20"/>
          <w:szCs w:val="20"/>
        </w:rPr>
      </w:pPr>
      <w:r w:rsidRPr="00077322">
        <w:rPr>
          <w:rFonts w:ascii="Times New Roman" w:hAnsi="Times New Roman"/>
          <w:iCs/>
          <w:color w:val="000000"/>
          <w:sz w:val="20"/>
          <w:szCs w:val="20"/>
        </w:rPr>
        <w:t>w</w:t>
      </w:r>
      <w:r w:rsidR="00F94332">
        <w:rPr>
          <w:rFonts w:ascii="Times New Roman" w:hAnsi="Times New Roman"/>
          <w:iCs/>
          <w:color w:val="000000"/>
          <w:sz w:val="20"/>
          <w:szCs w:val="20"/>
        </w:rPr>
        <w:t xml:space="preserve">here </w:t>
      </w:r>
      <w:r w:rsidRPr="00077322">
        <w:rPr>
          <w:rFonts w:ascii="Times New Roman" w:hAnsi="Times New Roman"/>
          <w:iCs/>
          <w:color w:val="000000"/>
          <w:sz w:val="20"/>
          <w:szCs w:val="20"/>
        </w:rPr>
        <w:t>F</w:t>
      </w:r>
      <w:r w:rsidRPr="00077322">
        <w:rPr>
          <w:rFonts w:ascii="Times New Roman" w:hAnsi="Times New Roman"/>
          <w:iCs/>
          <w:color w:val="000000"/>
          <w:sz w:val="20"/>
          <w:szCs w:val="20"/>
          <w:vertAlign w:val="subscript"/>
        </w:rPr>
        <w:t>imm</w:t>
      </w:r>
      <w:r w:rsidRPr="00077322">
        <w:rPr>
          <w:rFonts w:ascii="Times New Roman" w:hAnsi="Times New Roman"/>
          <w:iCs/>
          <w:color w:val="000000"/>
          <w:sz w:val="20"/>
          <w:szCs w:val="20"/>
        </w:rPr>
        <w:t xml:space="preserve"> is the relative number of immobile molecules and  F</w:t>
      </w:r>
      <w:r w:rsidRPr="00077322">
        <w:rPr>
          <w:rFonts w:ascii="Times New Roman" w:hAnsi="Times New Roman"/>
          <w:iCs/>
          <w:color w:val="000000"/>
          <w:sz w:val="20"/>
          <w:szCs w:val="20"/>
          <w:vertAlign w:val="subscript"/>
        </w:rPr>
        <w:t>mob</w:t>
      </w:r>
      <w:r w:rsidRPr="00077322">
        <w:rPr>
          <w:rFonts w:ascii="Times New Roman" w:hAnsi="Times New Roman"/>
          <w:iCs/>
          <w:color w:val="000000"/>
          <w:sz w:val="20"/>
          <w:szCs w:val="20"/>
        </w:rPr>
        <w:t xml:space="preserve">  = 1 - F</w:t>
      </w:r>
      <w:r w:rsidRPr="00077322">
        <w:rPr>
          <w:rFonts w:ascii="Times New Roman" w:hAnsi="Times New Roman"/>
          <w:iCs/>
          <w:color w:val="000000"/>
          <w:sz w:val="20"/>
          <w:szCs w:val="20"/>
          <w:vertAlign w:val="subscript"/>
        </w:rPr>
        <w:t>imm</w:t>
      </w:r>
      <w:r w:rsidRPr="00077322">
        <w:rPr>
          <w:rFonts w:ascii="Times New Roman" w:hAnsi="Times New Roman"/>
          <w:iCs/>
          <w:color w:val="000000"/>
          <w:sz w:val="20"/>
          <w:szCs w:val="20"/>
        </w:rPr>
        <w:t>. The probability for each particle to become immobilized (representing chromatin-binding) is defined as:</w:t>
      </w:r>
    </w:p>
    <w:p w:rsidR="00231700" w:rsidRPr="00077322" w:rsidRDefault="00F94332" w:rsidP="00231700">
      <w:pPr>
        <w:spacing w:line="480" w:lineRule="auto"/>
        <w:jc w:val="both"/>
        <w:rPr>
          <w:rFonts w:ascii="Times New Roman" w:hAnsi="Times New Roman"/>
          <w:iCs/>
          <w:color w:val="000000"/>
          <w:sz w:val="20"/>
          <w:szCs w:val="20"/>
        </w:rPr>
      </w:pPr>
      <w:r w:rsidRPr="00F94332">
        <w:rPr>
          <w:rFonts w:ascii="Times New Roman" w:hAnsi="Times New Roman"/>
          <w:iCs/>
          <w:color w:val="000000"/>
          <w:position w:val="-32"/>
          <w:sz w:val="20"/>
          <w:szCs w:val="20"/>
        </w:rPr>
        <w:object w:dxaOrig="2320" w:dyaOrig="700">
          <v:shape id="_x0000_i1029" type="#_x0000_t75" style="width:116.25pt;height:35.25pt" o:ole="">
            <v:imagedata r:id="rId12" o:title=""/>
          </v:shape>
          <o:OLEObject Type="Embed" ProgID="Equation.DSMT4" ShapeID="_x0000_i1029" DrawAspect="Content" ObjectID="_1453804163" r:id="rId13"/>
        </w:object>
      </w:r>
      <w:r>
        <w:rPr>
          <w:rFonts w:ascii="Times New Roman" w:hAnsi="Times New Roman"/>
          <w:iCs/>
          <w:color w:val="000000"/>
          <w:sz w:val="20"/>
          <w:szCs w:val="20"/>
        </w:rPr>
        <w:t xml:space="preserve"> </w:t>
      </w:r>
      <w:r w:rsidR="00231700" w:rsidRPr="00077322">
        <w:rPr>
          <w:rFonts w:ascii="Times New Roman" w:hAnsi="Times New Roman"/>
          <w:iCs/>
          <w:color w:val="000000"/>
          <w:sz w:val="20"/>
          <w:szCs w:val="20"/>
        </w:rPr>
        <w:t xml:space="preserve">  </w:t>
      </w:r>
    </w:p>
    <w:p w:rsidR="00231700" w:rsidRDefault="00231700" w:rsidP="00231700">
      <w:pPr>
        <w:spacing w:line="480" w:lineRule="auto"/>
        <w:jc w:val="both"/>
        <w:rPr>
          <w:rFonts w:ascii="Times New Roman" w:hAnsi="Times New Roman"/>
          <w:iCs/>
          <w:color w:val="000000"/>
          <w:sz w:val="20"/>
          <w:szCs w:val="20"/>
        </w:rPr>
      </w:pPr>
      <w:r w:rsidRPr="00077322">
        <w:rPr>
          <w:rFonts w:ascii="Times New Roman" w:hAnsi="Times New Roman"/>
          <w:iCs/>
          <w:color w:val="000000"/>
          <w:sz w:val="20"/>
          <w:szCs w:val="20"/>
        </w:rPr>
        <w:t>where T</w:t>
      </w:r>
      <w:r w:rsidRPr="00077322">
        <w:rPr>
          <w:rFonts w:ascii="Times New Roman" w:hAnsi="Times New Roman"/>
          <w:iCs/>
          <w:color w:val="000000"/>
          <w:sz w:val="20"/>
          <w:szCs w:val="20"/>
          <w:vertAlign w:val="subscript"/>
        </w:rPr>
        <w:t>imm</w:t>
      </w:r>
      <w:r w:rsidRPr="00077322">
        <w:rPr>
          <w:rFonts w:ascii="Times New Roman" w:hAnsi="Times New Roman"/>
          <w:iCs/>
          <w:color w:val="000000"/>
          <w:sz w:val="20"/>
          <w:szCs w:val="20"/>
        </w:rPr>
        <w:t xml:space="preserve"> is the characteristic time spent in the immobile state. The probability to be released is given by:  </w:t>
      </w:r>
    </w:p>
    <w:p w:rsidR="00231700" w:rsidRPr="00077322" w:rsidRDefault="00F97941" w:rsidP="00231700">
      <w:pPr>
        <w:spacing w:line="480" w:lineRule="auto"/>
        <w:jc w:val="both"/>
        <w:rPr>
          <w:rFonts w:ascii="Times New Roman" w:hAnsi="Times New Roman"/>
          <w:iCs/>
          <w:color w:val="000000"/>
          <w:sz w:val="20"/>
          <w:szCs w:val="20"/>
        </w:rPr>
      </w:pPr>
      <w:r w:rsidRPr="00F97941">
        <w:rPr>
          <w:rFonts w:ascii="Times New Roman" w:hAnsi="Times New Roman"/>
          <w:iCs/>
          <w:color w:val="000000"/>
          <w:position w:val="-30"/>
          <w:sz w:val="20"/>
          <w:szCs w:val="20"/>
        </w:rPr>
        <w:object w:dxaOrig="1660" w:dyaOrig="680">
          <v:shape id="_x0000_i1030" type="#_x0000_t75" style="width:83.25pt;height:33.75pt" o:ole="">
            <v:imagedata r:id="rId14" o:title=""/>
          </v:shape>
          <o:OLEObject Type="Embed" ProgID="Equation.DSMT4" ShapeID="_x0000_i1030" DrawAspect="Content" ObjectID="_1453804164" r:id="rId15"/>
        </w:object>
      </w:r>
      <w:r w:rsidR="00F94332">
        <w:rPr>
          <w:rFonts w:ascii="Times New Roman" w:hAnsi="Times New Roman"/>
          <w:iCs/>
          <w:color w:val="000000"/>
          <w:sz w:val="20"/>
          <w:szCs w:val="20"/>
        </w:rPr>
        <w:t xml:space="preserve"> </w:t>
      </w:r>
    </w:p>
    <w:p w:rsidR="00231700" w:rsidRPr="00077322" w:rsidRDefault="00231700" w:rsidP="00231700">
      <w:pPr>
        <w:spacing w:line="480" w:lineRule="auto"/>
        <w:jc w:val="both"/>
        <w:rPr>
          <w:rFonts w:ascii="Times New Roman" w:hAnsi="Times New Roman"/>
          <w:iCs/>
          <w:color w:val="000000"/>
          <w:sz w:val="20"/>
          <w:szCs w:val="20"/>
        </w:rPr>
      </w:pPr>
      <w:r w:rsidRPr="00077322">
        <w:rPr>
          <w:rFonts w:ascii="Times New Roman" w:hAnsi="Times New Roman"/>
          <w:iCs/>
          <w:color w:val="000000"/>
          <w:sz w:val="20"/>
          <w:szCs w:val="20"/>
        </w:rPr>
        <w:t xml:space="preserve">As our model includes two bound fractions with different immobilization times, two immobilization/mobilization probabilities were evaluated for each unit time step. In all simulations, the size of the ellipsoid was based on the average size of measured nuclei, and the FRAP region used in the measurements determined the size of the simulated bleach region. The laser intensity profile using the simulation of the bleaching step was previously derived from confocal image stacks of chemically fixed nuclei containing GFP that were exposed to a stationary laser beam at various intensities and varying exposure times. </w:t>
      </w:r>
      <w:r w:rsidR="00D575B0" w:rsidRPr="00077322">
        <w:rPr>
          <w:rFonts w:ascii="Times New Roman" w:hAnsi="Times New Roman"/>
          <w:iCs/>
          <w:color w:val="000000"/>
          <w:sz w:val="20"/>
          <w:szCs w:val="20"/>
        </w:rPr>
        <w:t>The number of molecules in the simulations was 10</w:t>
      </w:r>
      <w:r w:rsidR="00D575B0" w:rsidRPr="00077322">
        <w:rPr>
          <w:rFonts w:ascii="Times New Roman" w:hAnsi="Times New Roman"/>
          <w:iCs/>
          <w:color w:val="000000"/>
          <w:sz w:val="20"/>
          <w:szCs w:val="20"/>
          <w:vertAlign w:val="superscript"/>
        </w:rPr>
        <w:t>6</w:t>
      </w:r>
      <w:r w:rsidR="00D575B0" w:rsidRPr="00077322">
        <w:rPr>
          <w:rFonts w:ascii="Times New Roman" w:hAnsi="Times New Roman"/>
          <w:iCs/>
          <w:color w:val="000000"/>
          <w:sz w:val="20"/>
          <w:szCs w:val="20"/>
        </w:rPr>
        <w:t>, which was empirically determined by producing curves that closely approximate the data with comparable fluctuations.</w:t>
      </w:r>
      <w:r w:rsidR="00D575B0">
        <w:rPr>
          <w:rFonts w:ascii="Times New Roman" w:hAnsi="Times New Roman"/>
          <w:iCs/>
          <w:color w:val="000000"/>
          <w:sz w:val="20"/>
          <w:szCs w:val="20"/>
        </w:rPr>
        <w:t xml:space="preserve"> </w:t>
      </w:r>
      <w:r w:rsidR="00077322" w:rsidRPr="00077322">
        <w:rPr>
          <w:rFonts w:ascii="Times New Roman" w:hAnsi="Times New Roman"/>
          <w:sz w:val="20"/>
          <w:szCs w:val="20"/>
        </w:rPr>
        <w:t xml:space="preserve">The unit time step </w:t>
      </w:r>
      <w:r w:rsidR="00077322" w:rsidRPr="00077322">
        <w:rPr>
          <w:rFonts w:ascii="Times New Roman" w:hAnsi="Times New Roman"/>
          <w:i/>
          <w:sz w:val="20"/>
          <w:szCs w:val="20"/>
        </w:rPr>
        <w:t>∆t</w:t>
      </w:r>
      <w:r w:rsidR="00077322" w:rsidRPr="00077322">
        <w:rPr>
          <w:rFonts w:ascii="Times New Roman" w:hAnsi="Times New Roman"/>
          <w:sz w:val="20"/>
          <w:szCs w:val="20"/>
        </w:rPr>
        <w:t xml:space="preserve"> corresponded to the experimental sample rate of 100 ms</w:t>
      </w:r>
      <w:r w:rsidR="00D575B0">
        <w:rPr>
          <w:rFonts w:ascii="Times New Roman" w:hAnsi="Times New Roman"/>
          <w:sz w:val="20"/>
          <w:szCs w:val="20"/>
        </w:rPr>
        <w:t xml:space="preserve">. </w:t>
      </w:r>
      <w:r w:rsidR="00D575B0" w:rsidRPr="00D575B0">
        <w:rPr>
          <w:rFonts w:ascii="Times New Roman" w:hAnsi="Times New Roman"/>
          <w:sz w:val="20"/>
          <w:szCs w:val="20"/>
        </w:rPr>
        <w:t>When the simulation software</w:t>
      </w:r>
      <w:r w:rsidR="00D575B0">
        <w:rPr>
          <w:rFonts w:ascii="Times New Roman" w:hAnsi="Times New Roman"/>
          <w:sz w:val="20"/>
          <w:szCs w:val="20"/>
        </w:rPr>
        <w:t xml:space="preserve"> was developed</w:t>
      </w:r>
      <w:r w:rsidR="00D575B0" w:rsidRPr="00D575B0">
        <w:rPr>
          <w:rFonts w:ascii="Times New Roman" w:hAnsi="Times New Roman"/>
          <w:sz w:val="20"/>
          <w:szCs w:val="20"/>
        </w:rPr>
        <w:t>, the effect of laser scanning  (especially during the bleachpulse)</w:t>
      </w:r>
      <w:r w:rsidR="00D575B0">
        <w:rPr>
          <w:rFonts w:ascii="Times New Roman" w:hAnsi="Times New Roman"/>
          <w:sz w:val="20"/>
          <w:szCs w:val="20"/>
        </w:rPr>
        <w:t xml:space="preserve"> was investigated</w:t>
      </w:r>
      <w:r w:rsidR="00D575B0" w:rsidRPr="00D575B0">
        <w:rPr>
          <w:rFonts w:ascii="Times New Roman" w:hAnsi="Times New Roman"/>
          <w:sz w:val="20"/>
          <w:szCs w:val="20"/>
        </w:rPr>
        <w:t xml:space="preserve"> by running the simulation at very small time step of 1 microsecond, somewhat less than the pixel dwell time of the laser (pixel size 100 nm). In the applied strip-FRAP assay the laser scans ten lines of 512 pixels, and is only on - at high (bleaching) or low (monitoring) intensity- when scanning in the nucleus, which was included in the simulation. The simulation generated FRAP curves at this very short time step was not significantly different from the ones </w:t>
      </w:r>
      <w:r w:rsidR="00D575B0">
        <w:rPr>
          <w:rFonts w:ascii="Times New Roman" w:hAnsi="Times New Roman"/>
          <w:sz w:val="20"/>
          <w:szCs w:val="20"/>
        </w:rPr>
        <w:t>that are currently run</w:t>
      </w:r>
      <w:r w:rsidR="00D575B0" w:rsidRPr="00D575B0">
        <w:rPr>
          <w:rFonts w:ascii="Times New Roman" w:hAnsi="Times New Roman"/>
          <w:sz w:val="20"/>
          <w:szCs w:val="20"/>
        </w:rPr>
        <w:t xml:space="preserve"> routinely </w:t>
      </w:r>
      <w:r w:rsidR="00D575B0">
        <w:rPr>
          <w:rFonts w:ascii="Times New Roman" w:hAnsi="Times New Roman"/>
          <w:sz w:val="20"/>
          <w:szCs w:val="20"/>
        </w:rPr>
        <w:t xml:space="preserve">at 100 ms intervals. </w:t>
      </w:r>
    </w:p>
    <w:p w:rsidR="00EE05B9" w:rsidRDefault="00EE05B9">
      <w:pPr>
        <w:spacing w:after="200" w:line="276" w:lineRule="auto"/>
        <w:rPr>
          <w:rFonts w:ascii="Times New Roman" w:hAnsi="Times New Roman"/>
        </w:rPr>
      </w:pPr>
      <w:r>
        <w:rPr>
          <w:rFonts w:ascii="Times New Roman" w:hAnsi="Times New Roman"/>
        </w:rPr>
        <w:br w:type="page"/>
      </w:r>
    </w:p>
    <w:p w:rsidR="00231700" w:rsidRPr="00231700" w:rsidRDefault="00231700">
      <w:pPr>
        <w:rPr>
          <w:rFonts w:ascii="Times New Roman" w:hAnsi="Times New Roman"/>
          <w:b/>
        </w:rPr>
      </w:pPr>
      <w:r w:rsidRPr="00231700">
        <w:rPr>
          <w:rFonts w:ascii="Times New Roman" w:hAnsi="Times New Roman"/>
          <w:b/>
        </w:rPr>
        <w:lastRenderedPageBreak/>
        <w:t>References</w:t>
      </w:r>
    </w:p>
    <w:p w:rsidR="00231700" w:rsidRPr="00231700" w:rsidRDefault="00231700">
      <w:pPr>
        <w:rPr>
          <w:rFonts w:ascii="Times New Roman" w:hAnsi="Times New Roman"/>
          <w:b/>
        </w:rPr>
      </w:pPr>
    </w:p>
    <w:p w:rsidR="00231700" w:rsidRPr="00231700" w:rsidRDefault="003F0A7B" w:rsidP="00231700">
      <w:pPr>
        <w:spacing w:line="480" w:lineRule="auto"/>
        <w:rPr>
          <w:rFonts w:ascii="Times New Roman" w:hAnsi="Times New Roman"/>
          <w:noProof/>
          <w:sz w:val="20"/>
        </w:rPr>
      </w:pPr>
      <w:r w:rsidRPr="00231700">
        <w:rPr>
          <w:rFonts w:ascii="Times New Roman" w:hAnsi="Times New Roman"/>
        </w:rPr>
        <w:fldChar w:fldCharType="begin"/>
      </w:r>
      <w:r w:rsidR="00231700" w:rsidRPr="00231700">
        <w:rPr>
          <w:rFonts w:ascii="Times New Roman" w:hAnsi="Times New Roman"/>
        </w:rPr>
        <w:instrText xml:space="preserve"> ADDIN EN.REFLIST </w:instrText>
      </w:r>
      <w:r w:rsidRPr="00231700">
        <w:rPr>
          <w:rFonts w:ascii="Times New Roman" w:hAnsi="Times New Roman"/>
        </w:rPr>
        <w:fldChar w:fldCharType="separate"/>
      </w:r>
      <w:r w:rsidR="00231700" w:rsidRPr="00231700">
        <w:rPr>
          <w:rFonts w:ascii="Times New Roman" w:hAnsi="Times New Roman"/>
          <w:noProof/>
          <w:sz w:val="20"/>
        </w:rPr>
        <w:t xml:space="preserve">1. Schaaf MJ &amp; Cidlowski JA (2003) Molecular determinants of glucocorticoid receptor mobility in living cells: the importance of ligand affinity. </w:t>
      </w:r>
      <w:r w:rsidR="00231700" w:rsidRPr="00231700">
        <w:rPr>
          <w:rFonts w:ascii="Times New Roman" w:hAnsi="Times New Roman"/>
          <w:i/>
          <w:noProof/>
          <w:sz w:val="20"/>
        </w:rPr>
        <w:t>Mol Cell Biol</w:t>
      </w:r>
      <w:r w:rsidR="00231700" w:rsidRPr="00231700">
        <w:rPr>
          <w:rFonts w:ascii="Times New Roman" w:hAnsi="Times New Roman"/>
          <w:noProof/>
          <w:sz w:val="20"/>
        </w:rPr>
        <w:t xml:space="preserve"> 23(6):1922-1934.</w:t>
      </w:r>
    </w:p>
    <w:p w:rsidR="00231700" w:rsidRPr="00231700" w:rsidRDefault="00231700" w:rsidP="00231700">
      <w:pPr>
        <w:spacing w:line="480" w:lineRule="auto"/>
        <w:rPr>
          <w:rFonts w:ascii="Times New Roman" w:hAnsi="Times New Roman"/>
          <w:noProof/>
          <w:sz w:val="20"/>
        </w:rPr>
      </w:pPr>
      <w:r w:rsidRPr="00231700">
        <w:rPr>
          <w:rFonts w:ascii="Times New Roman" w:hAnsi="Times New Roman"/>
          <w:noProof/>
          <w:sz w:val="20"/>
        </w:rPr>
        <w:t xml:space="preserve">2. Semrau S &amp; Schmidt T (2007) Particle image correlation spectroscopy (PICS): retrieving nanometer-scale correlations from high-density single-molecule position data. </w:t>
      </w:r>
      <w:r w:rsidRPr="00231700">
        <w:rPr>
          <w:rFonts w:ascii="Times New Roman" w:hAnsi="Times New Roman"/>
          <w:i/>
          <w:noProof/>
          <w:sz w:val="20"/>
        </w:rPr>
        <w:t>Biophys J</w:t>
      </w:r>
      <w:r w:rsidRPr="00231700">
        <w:rPr>
          <w:rFonts w:ascii="Times New Roman" w:hAnsi="Times New Roman"/>
          <w:noProof/>
          <w:sz w:val="20"/>
        </w:rPr>
        <w:t xml:space="preserve"> 92(2):613-621.</w:t>
      </w:r>
    </w:p>
    <w:p w:rsidR="00231700" w:rsidRPr="00231700" w:rsidRDefault="00231700" w:rsidP="00231700">
      <w:pPr>
        <w:spacing w:line="480" w:lineRule="auto"/>
        <w:rPr>
          <w:rFonts w:ascii="Times New Roman" w:hAnsi="Times New Roman"/>
          <w:noProof/>
          <w:sz w:val="20"/>
        </w:rPr>
      </w:pPr>
      <w:r w:rsidRPr="00231700">
        <w:rPr>
          <w:rFonts w:ascii="Times New Roman" w:hAnsi="Times New Roman"/>
          <w:noProof/>
          <w:sz w:val="20"/>
        </w:rPr>
        <w:t>3. van Royen ME</w:t>
      </w:r>
      <w:r w:rsidRPr="00231700">
        <w:rPr>
          <w:rFonts w:ascii="Times New Roman" w:hAnsi="Times New Roman"/>
          <w:i/>
          <w:noProof/>
          <w:sz w:val="20"/>
        </w:rPr>
        <w:t>, et al.</w:t>
      </w:r>
      <w:r w:rsidRPr="00231700">
        <w:rPr>
          <w:rFonts w:ascii="Times New Roman" w:hAnsi="Times New Roman"/>
          <w:noProof/>
          <w:sz w:val="20"/>
        </w:rPr>
        <w:t xml:space="preserve"> (2009) Fluorescence recovery after photobleaching (FRAP) to study nuclear protein dynamics in living cells. </w:t>
      </w:r>
      <w:r w:rsidRPr="00231700">
        <w:rPr>
          <w:rFonts w:ascii="Times New Roman" w:hAnsi="Times New Roman"/>
          <w:i/>
          <w:noProof/>
          <w:sz w:val="20"/>
        </w:rPr>
        <w:t>Methods Mol Biol</w:t>
      </w:r>
      <w:r w:rsidRPr="00231700">
        <w:rPr>
          <w:rFonts w:ascii="Times New Roman" w:hAnsi="Times New Roman"/>
          <w:noProof/>
          <w:sz w:val="20"/>
        </w:rPr>
        <w:t xml:space="preserve"> 464:363-385.</w:t>
      </w:r>
    </w:p>
    <w:p w:rsidR="00231700" w:rsidRPr="00231700" w:rsidRDefault="00231700" w:rsidP="00231700">
      <w:pPr>
        <w:spacing w:line="480" w:lineRule="auto"/>
        <w:ind w:left="720" w:hanging="720"/>
        <w:rPr>
          <w:rFonts w:ascii="Times New Roman" w:hAnsi="Times New Roman"/>
          <w:noProof/>
          <w:sz w:val="20"/>
        </w:rPr>
      </w:pPr>
    </w:p>
    <w:p w:rsidR="00231700" w:rsidRPr="00231700" w:rsidRDefault="003F0A7B" w:rsidP="00231700">
      <w:pPr>
        <w:spacing w:line="480" w:lineRule="auto"/>
        <w:jc w:val="both"/>
        <w:rPr>
          <w:rFonts w:ascii="Times New Roman" w:hAnsi="Times New Roman"/>
        </w:rPr>
      </w:pPr>
      <w:r w:rsidRPr="00231700">
        <w:rPr>
          <w:rFonts w:ascii="Times New Roman" w:hAnsi="Times New Roman"/>
        </w:rPr>
        <w:fldChar w:fldCharType="end"/>
      </w:r>
    </w:p>
    <w:p w:rsidR="001B62C6" w:rsidRPr="00077322" w:rsidRDefault="00EE05B9" w:rsidP="00077322">
      <w:pPr>
        <w:spacing w:after="200" w:line="276" w:lineRule="auto"/>
        <w:rPr>
          <w:rFonts w:ascii="Times New Roman" w:hAnsi="Times New Roman"/>
        </w:rPr>
      </w:pPr>
    </w:p>
    <w:sectPr w:rsidR="001B62C6" w:rsidRPr="00077322" w:rsidSect="00DA4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PNAS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2&lt;/LineSpacing&gt;&lt;SpaceAfter&gt;0&lt;/SpaceAfter&gt;&lt;/ENLayout&gt;"/>
    <w:docVar w:name="EN.Libraries" w:val="&lt;ENLibraries&gt;&lt;Libraries&gt;&lt;item&gt;librabry mobility.enl&lt;/item&gt;&lt;/Libraries&gt;&lt;/ENLibraries&gt;"/>
  </w:docVars>
  <w:rsids>
    <w:rsidRoot w:val="00231700"/>
    <w:rsid w:val="00030AB1"/>
    <w:rsid w:val="00077322"/>
    <w:rsid w:val="000A745C"/>
    <w:rsid w:val="00137312"/>
    <w:rsid w:val="00231700"/>
    <w:rsid w:val="00264C74"/>
    <w:rsid w:val="00270289"/>
    <w:rsid w:val="00286B57"/>
    <w:rsid w:val="002E0AFA"/>
    <w:rsid w:val="003F0A7B"/>
    <w:rsid w:val="00445410"/>
    <w:rsid w:val="0048444C"/>
    <w:rsid w:val="005262A0"/>
    <w:rsid w:val="005972EB"/>
    <w:rsid w:val="00606C03"/>
    <w:rsid w:val="006D4D33"/>
    <w:rsid w:val="0074240B"/>
    <w:rsid w:val="007E4017"/>
    <w:rsid w:val="00B16F08"/>
    <w:rsid w:val="00B9296B"/>
    <w:rsid w:val="00BB7A95"/>
    <w:rsid w:val="00BF2528"/>
    <w:rsid w:val="00C1021A"/>
    <w:rsid w:val="00D575B0"/>
    <w:rsid w:val="00DA4825"/>
    <w:rsid w:val="00DA5A7F"/>
    <w:rsid w:val="00DF0CB2"/>
    <w:rsid w:val="00E262FE"/>
    <w:rsid w:val="00E54523"/>
    <w:rsid w:val="00EE05B9"/>
    <w:rsid w:val="00EE0F35"/>
    <w:rsid w:val="00EE526D"/>
    <w:rsid w:val="00F9266D"/>
    <w:rsid w:val="00F94332"/>
    <w:rsid w:val="00F97941"/>
    <w:rsid w:val="00FC0D3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F895834-60F8-4227-8AD7-D47640D4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700"/>
    <w:pPr>
      <w:spacing w:after="0" w:line="240" w:lineRule="auto"/>
    </w:pPr>
    <w:rPr>
      <w:rFonts w:ascii="Cambria" w:eastAsia="MS ??"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1700"/>
    <w:pPr>
      <w:ind w:left="720"/>
      <w:contextualSpacing/>
    </w:pPr>
  </w:style>
  <w:style w:type="character" w:styleId="Strong">
    <w:name w:val="Strong"/>
    <w:basedOn w:val="DefaultParagraphFont"/>
    <w:uiPriority w:val="99"/>
    <w:qFormat/>
    <w:rsid w:val="00231700"/>
    <w:rPr>
      <w:rFonts w:cs="Times New Roman"/>
      <w:b/>
      <w:bCs/>
    </w:rPr>
  </w:style>
  <w:style w:type="paragraph" w:styleId="BalloonText">
    <w:name w:val="Balloon Text"/>
    <w:basedOn w:val="Normal"/>
    <w:link w:val="BalloonTextChar"/>
    <w:uiPriority w:val="99"/>
    <w:semiHidden/>
    <w:unhideWhenUsed/>
    <w:rsid w:val="00231700"/>
    <w:rPr>
      <w:rFonts w:ascii="Tahoma" w:hAnsi="Tahoma" w:cs="Tahoma"/>
      <w:sz w:val="16"/>
      <w:szCs w:val="16"/>
    </w:rPr>
  </w:style>
  <w:style w:type="character" w:customStyle="1" w:styleId="BalloonTextChar">
    <w:name w:val="Balloon Text Char"/>
    <w:basedOn w:val="DefaultParagraphFont"/>
    <w:link w:val="BalloonText"/>
    <w:uiPriority w:val="99"/>
    <w:semiHidden/>
    <w:rsid w:val="00231700"/>
    <w:rPr>
      <w:rFonts w:ascii="Tahoma" w:eastAsia="MS ??"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7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1818</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NIN</Company>
  <LinksUpToDate>false</LinksUpToDate>
  <CharactersWithSpaces>11794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groeneweg</dc:creator>
  <cp:lastModifiedBy>FGroeneweg</cp:lastModifiedBy>
  <cp:revision>3</cp:revision>
  <dcterms:created xsi:type="dcterms:W3CDTF">2014-02-13T12:41:00Z</dcterms:created>
  <dcterms:modified xsi:type="dcterms:W3CDTF">2014-02-13T12:42:00Z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