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EB8" w:rsidRPr="00E11B00" w:rsidRDefault="00EA49EE" w:rsidP="00492EB8">
      <w:pPr>
        <w:spacing w:before="120" w:after="120" w:line="240" w:lineRule="atLeast"/>
        <w:rPr>
          <w:rFonts w:asciiTheme="minorHAnsi" w:hAnsiTheme="minorHAnsi"/>
          <w:b/>
          <w:bCs/>
          <w:sz w:val="24"/>
          <w:szCs w:val="24"/>
          <w:lang w:val="en-GB"/>
        </w:rPr>
      </w:pPr>
      <w:r>
        <w:rPr>
          <w:rFonts w:asciiTheme="minorHAnsi" w:hAnsiTheme="minorHAnsi"/>
          <w:b/>
          <w:bCs/>
          <w:sz w:val="24"/>
          <w:szCs w:val="24"/>
          <w:lang w:val="en-GB"/>
        </w:rPr>
        <w:t>TABLE S1</w:t>
      </w:r>
      <w:r w:rsidR="00492EB8" w:rsidRPr="00E11B00">
        <w:rPr>
          <w:rFonts w:asciiTheme="minorHAnsi" w:hAnsiTheme="minorHAnsi"/>
          <w:b/>
          <w:bCs/>
          <w:sz w:val="24"/>
          <w:szCs w:val="24"/>
          <w:lang w:val="en-GB"/>
        </w:rPr>
        <w:t>.</w:t>
      </w:r>
      <w:r w:rsidR="00492EB8" w:rsidRPr="00E11B00">
        <w:rPr>
          <w:rFonts w:asciiTheme="minorHAnsi" w:hAnsiTheme="minorHAnsi"/>
          <w:b/>
          <w:bCs/>
          <w:color w:val="FF00FF"/>
          <w:sz w:val="24"/>
          <w:szCs w:val="24"/>
          <w:lang w:val="en-GB"/>
        </w:rPr>
        <w:t xml:space="preserve"> </w:t>
      </w:r>
      <w:r w:rsidR="00492EB8" w:rsidRPr="00E11B00">
        <w:rPr>
          <w:rFonts w:asciiTheme="minorHAnsi" w:hAnsiTheme="minorHAnsi"/>
          <w:b/>
          <w:bCs/>
          <w:sz w:val="24"/>
          <w:szCs w:val="24"/>
          <w:lang w:val="en-GB" w:eastAsia="fr-FR"/>
        </w:rPr>
        <w:t>FREQUENCY</w:t>
      </w:r>
      <w:r w:rsidR="00492EB8" w:rsidRPr="00E11B00">
        <w:rPr>
          <w:rFonts w:asciiTheme="minorHAnsi" w:hAnsiTheme="minorHAnsi"/>
          <w:b/>
          <w:bCs/>
          <w:sz w:val="24"/>
          <w:szCs w:val="24"/>
          <w:lang w:val="en-GB"/>
        </w:rPr>
        <w:t xml:space="preserve"> AND TIMING OF SAFETY AND IMMUNOGENICITY MEASUREMENTS</w:t>
      </w:r>
    </w:p>
    <w:p w:rsidR="00492EB8" w:rsidRPr="0014399D" w:rsidRDefault="00492EB8" w:rsidP="00492EB8">
      <w:pPr>
        <w:spacing w:before="120" w:after="120" w:line="240" w:lineRule="atLeast"/>
        <w:rPr>
          <w:b/>
          <w:i/>
          <w:sz w:val="20"/>
          <w:lang w:val="en-GB"/>
        </w:rPr>
      </w:pPr>
    </w:p>
    <w:tbl>
      <w:tblPr>
        <w:tblStyle w:val="Tabellrutnt"/>
        <w:tblW w:w="13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
      <w:tblGrid>
        <w:gridCol w:w="4960"/>
        <w:gridCol w:w="920"/>
        <w:gridCol w:w="920"/>
        <w:gridCol w:w="920"/>
        <w:gridCol w:w="920"/>
        <w:gridCol w:w="920"/>
        <w:gridCol w:w="920"/>
        <w:gridCol w:w="920"/>
        <w:gridCol w:w="920"/>
        <w:gridCol w:w="920"/>
      </w:tblGrid>
      <w:tr w:rsidR="00492EB8" w:rsidRPr="00E11B00" w:rsidTr="00DD5B32">
        <w:trPr>
          <w:trHeight w:val="283"/>
        </w:trPr>
        <w:tc>
          <w:tcPr>
            <w:tcW w:w="4960" w:type="dxa"/>
          </w:tcPr>
          <w:p w:rsidR="00492EB8" w:rsidRPr="00E11B00" w:rsidRDefault="00492EB8" w:rsidP="003141F6">
            <w:pPr>
              <w:spacing w:line="240" w:lineRule="auto"/>
              <w:rPr>
                <w:rFonts w:asciiTheme="minorHAnsi" w:hAnsiTheme="minorHAnsi"/>
                <w:b/>
                <w:bCs/>
                <w:color w:val="000000"/>
                <w:sz w:val="16"/>
                <w:szCs w:val="16"/>
                <w:lang w:val="en-GB" w:eastAsia="sv-SE"/>
              </w:rPr>
            </w:pPr>
            <w:r w:rsidRPr="00E11B00">
              <w:rPr>
                <w:rFonts w:asciiTheme="minorHAnsi" w:hAnsiTheme="minorHAnsi"/>
                <w:b/>
                <w:bCs/>
                <w:color w:val="000000"/>
                <w:sz w:val="16"/>
                <w:szCs w:val="16"/>
                <w:lang w:val="en-GB" w:eastAsia="sv-SE"/>
              </w:rPr>
              <w:t>Study visit</w:t>
            </w:r>
          </w:p>
        </w:tc>
        <w:tc>
          <w:tcPr>
            <w:tcW w:w="920" w:type="dxa"/>
          </w:tcPr>
          <w:p w:rsidR="00492EB8" w:rsidRPr="00E11B00" w:rsidRDefault="00492EB8" w:rsidP="003141F6">
            <w:pPr>
              <w:spacing w:line="240" w:lineRule="auto"/>
              <w:jc w:val="center"/>
              <w:rPr>
                <w:rFonts w:asciiTheme="minorHAnsi" w:hAnsiTheme="minorHAnsi"/>
                <w:b/>
                <w:bCs/>
                <w:color w:val="000000"/>
                <w:sz w:val="16"/>
                <w:szCs w:val="16"/>
                <w:lang w:val="en-GB" w:eastAsia="sv-SE"/>
              </w:rPr>
            </w:pPr>
            <w:r w:rsidRPr="00E11B00">
              <w:rPr>
                <w:rFonts w:asciiTheme="minorHAnsi" w:hAnsiTheme="minorHAnsi"/>
                <w:b/>
                <w:bCs/>
                <w:color w:val="000000"/>
                <w:sz w:val="16"/>
                <w:szCs w:val="16"/>
                <w:lang w:val="en-GB" w:eastAsia="sv-SE"/>
              </w:rPr>
              <w:t>1</w:t>
            </w:r>
          </w:p>
        </w:tc>
        <w:tc>
          <w:tcPr>
            <w:tcW w:w="920" w:type="dxa"/>
          </w:tcPr>
          <w:p w:rsidR="00492EB8" w:rsidRPr="00E11B00" w:rsidRDefault="00492EB8" w:rsidP="003141F6">
            <w:pPr>
              <w:spacing w:line="240" w:lineRule="auto"/>
              <w:jc w:val="center"/>
              <w:rPr>
                <w:rFonts w:asciiTheme="minorHAnsi" w:hAnsiTheme="minorHAnsi"/>
                <w:b/>
                <w:bCs/>
                <w:color w:val="000000"/>
                <w:sz w:val="16"/>
                <w:szCs w:val="16"/>
                <w:lang w:val="en-GB" w:eastAsia="sv-SE"/>
              </w:rPr>
            </w:pPr>
            <w:r w:rsidRPr="00E11B00">
              <w:rPr>
                <w:rFonts w:asciiTheme="minorHAnsi" w:hAnsiTheme="minorHAnsi"/>
                <w:b/>
                <w:bCs/>
                <w:color w:val="000000"/>
                <w:sz w:val="16"/>
                <w:szCs w:val="16"/>
                <w:lang w:val="en-GB" w:eastAsia="sv-SE"/>
              </w:rPr>
              <w:t>2</w:t>
            </w:r>
          </w:p>
        </w:tc>
        <w:tc>
          <w:tcPr>
            <w:tcW w:w="920" w:type="dxa"/>
          </w:tcPr>
          <w:p w:rsidR="00492EB8" w:rsidRPr="00E11B00" w:rsidRDefault="00492EB8" w:rsidP="003141F6">
            <w:pPr>
              <w:spacing w:line="240" w:lineRule="auto"/>
              <w:jc w:val="center"/>
              <w:rPr>
                <w:rFonts w:asciiTheme="minorHAnsi" w:hAnsiTheme="minorHAnsi"/>
                <w:b/>
                <w:bCs/>
                <w:color w:val="000000"/>
                <w:sz w:val="16"/>
                <w:szCs w:val="16"/>
                <w:lang w:val="en-GB" w:eastAsia="sv-SE"/>
              </w:rPr>
            </w:pPr>
            <w:r w:rsidRPr="00E11B00">
              <w:rPr>
                <w:rFonts w:asciiTheme="minorHAnsi" w:hAnsiTheme="minorHAnsi"/>
                <w:b/>
                <w:bCs/>
                <w:color w:val="000000"/>
                <w:sz w:val="16"/>
                <w:szCs w:val="16"/>
                <w:lang w:val="en-GB" w:eastAsia="sv-SE"/>
              </w:rPr>
              <w:t>3</w:t>
            </w:r>
          </w:p>
        </w:tc>
        <w:tc>
          <w:tcPr>
            <w:tcW w:w="920" w:type="dxa"/>
          </w:tcPr>
          <w:p w:rsidR="00492EB8" w:rsidRPr="00E11B00" w:rsidRDefault="00492EB8" w:rsidP="003141F6">
            <w:pPr>
              <w:spacing w:line="240" w:lineRule="auto"/>
              <w:jc w:val="center"/>
              <w:rPr>
                <w:rFonts w:asciiTheme="minorHAnsi" w:hAnsiTheme="minorHAnsi"/>
                <w:b/>
                <w:bCs/>
                <w:color w:val="000000"/>
                <w:sz w:val="16"/>
                <w:szCs w:val="16"/>
                <w:lang w:val="en-GB" w:eastAsia="sv-SE"/>
              </w:rPr>
            </w:pPr>
            <w:r w:rsidRPr="00E11B00">
              <w:rPr>
                <w:rFonts w:asciiTheme="minorHAnsi" w:hAnsiTheme="minorHAnsi"/>
                <w:b/>
                <w:bCs/>
                <w:color w:val="000000"/>
                <w:sz w:val="16"/>
                <w:szCs w:val="16"/>
                <w:lang w:val="en-GB" w:eastAsia="sv-SE"/>
              </w:rPr>
              <w:t>4</w:t>
            </w:r>
          </w:p>
        </w:tc>
        <w:tc>
          <w:tcPr>
            <w:tcW w:w="920" w:type="dxa"/>
          </w:tcPr>
          <w:p w:rsidR="00492EB8" w:rsidRPr="00E11B00" w:rsidRDefault="00492EB8" w:rsidP="003141F6">
            <w:pPr>
              <w:spacing w:line="240" w:lineRule="auto"/>
              <w:jc w:val="center"/>
              <w:rPr>
                <w:rFonts w:asciiTheme="minorHAnsi" w:hAnsiTheme="minorHAnsi"/>
                <w:b/>
                <w:bCs/>
                <w:color w:val="000000"/>
                <w:sz w:val="16"/>
                <w:szCs w:val="16"/>
                <w:lang w:val="en-GB" w:eastAsia="sv-SE"/>
              </w:rPr>
            </w:pPr>
            <w:r w:rsidRPr="00E11B00">
              <w:rPr>
                <w:rFonts w:asciiTheme="minorHAnsi" w:hAnsiTheme="minorHAnsi"/>
                <w:b/>
                <w:bCs/>
                <w:color w:val="000000"/>
                <w:sz w:val="16"/>
                <w:szCs w:val="16"/>
                <w:lang w:val="en-GB" w:eastAsia="sv-SE"/>
              </w:rPr>
              <w:t>5</w:t>
            </w:r>
          </w:p>
        </w:tc>
        <w:tc>
          <w:tcPr>
            <w:tcW w:w="920" w:type="dxa"/>
          </w:tcPr>
          <w:p w:rsidR="00492EB8" w:rsidRPr="00E11B00" w:rsidRDefault="00492EB8" w:rsidP="003141F6">
            <w:pPr>
              <w:spacing w:line="240" w:lineRule="auto"/>
              <w:jc w:val="center"/>
              <w:rPr>
                <w:rFonts w:asciiTheme="minorHAnsi" w:hAnsiTheme="minorHAnsi"/>
                <w:b/>
                <w:bCs/>
                <w:color w:val="000000"/>
                <w:sz w:val="16"/>
                <w:szCs w:val="16"/>
                <w:lang w:val="en-GB" w:eastAsia="sv-SE"/>
              </w:rPr>
            </w:pPr>
            <w:r w:rsidRPr="00E11B00">
              <w:rPr>
                <w:rFonts w:asciiTheme="minorHAnsi" w:hAnsiTheme="minorHAnsi"/>
                <w:b/>
                <w:bCs/>
                <w:color w:val="000000"/>
                <w:sz w:val="16"/>
                <w:szCs w:val="16"/>
                <w:lang w:val="en-GB" w:eastAsia="sv-SE"/>
              </w:rPr>
              <w:t>6</w:t>
            </w:r>
          </w:p>
        </w:tc>
        <w:tc>
          <w:tcPr>
            <w:tcW w:w="920" w:type="dxa"/>
          </w:tcPr>
          <w:p w:rsidR="00492EB8" w:rsidRPr="00E11B00" w:rsidRDefault="00492EB8" w:rsidP="003141F6">
            <w:pPr>
              <w:spacing w:line="240" w:lineRule="auto"/>
              <w:jc w:val="center"/>
              <w:rPr>
                <w:rFonts w:asciiTheme="minorHAnsi" w:hAnsiTheme="minorHAnsi"/>
                <w:b/>
                <w:bCs/>
                <w:color w:val="000000"/>
                <w:sz w:val="16"/>
                <w:szCs w:val="16"/>
                <w:lang w:val="en-GB" w:eastAsia="sv-SE"/>
              </w:rPr>
            </w:pPr>
            <w:r w:rsidRPr="00E11B00">
              <w:rPr>
                <w:rFonts w:asciiTheme="minorHAnsi" w:hAnsiTheme="minorHAnsi"/>
                <w:b/>
                <w:bCs/>
                <w:color w:val="000000"/>
                <w:sz w:val="16"/>
                <w:szCs w:val="16"/>
                <w:lang w:val="en-GB" w:eastAsia="sv-SE"/>
              </w:rPr>
              <w:t>7</w:t>
            </w:r>
          </w:p>
        </w:tc>
        <w:tc>
          <w:tcPr>
            <w:tcW w:w="920" w:type="dxa"/>
          </w:tcPr>
          <w:p w:rsidR="00492EB8" w:rsidRPr="00E11B00" w:rsidRDefault="00492EB8" w:rsidP="003141F6">
            <w:pPr>
              <w:spacing w:line="240" w:lineRule="auto"/>
              <w:jc w:val="center"/>
              <w:rPr>
                <w:rFonts w:asciiTheme="minorHAnsi" w:hAnsiTheme="minorHAnsi"/>
                <w:b/>
                <w:bCs/>
                <w:color w:val="000000"/>
                <w:sz w:val="16"/>
                <w:szCs w:val="16"/>
                <w:lang w:val="en-GB" w:eastAsia="sv-SE"/>
              </w:rPr>
            </w:pPr>
            <w:r w:rsidRPr="00E11B00">
              <w:rPr>
                <w:rFonts w:asciiTheme="minorHAnsi" w:hAnsiTheme="minorHAnsi"/>
                <w:b/>
                <w:bCs/>
                <w:color w:val="000000"/>
                <w:sz w:val="16"/>
                <w:szCs w:val="16"/>
                <w:lang w:val="en-GB" w:eastAsia="sv-SE"/>
              </w:rPr>
              <w:t>7</w:t>
            </w:r>
            <w:r w:rsidRPr="00E11B00">
              <w:rPr>
                <w:rFonts w:asciiTheme="minorHAnsi" w:hAnsiTheme="minorHAnsi"/>
                <w:b/>
                <w:bCs/>
                <w:color w:val="000000"/>
                <w:sz w:val="22"/>
                <w:szCs w:val="16"/>
                <w:lang w:val="en-GB" w:eastAsia="sv-SE"/>
              </w:rPr>
              <w:t>'</w:t>
            </w:r>
          </w:p>
        </w:tc>
        <w:tc>
          <w:tcPr>
            <w:tcW w:w="920" w:type="dxa"/>
          </w:tcPr>
          <w:p w:rsidR="00492EB8" w:rsidRPr="00E11B00" w:rsidRDefault="00492EB8" w:rsidP="003141F6">
            <w:pPr>
              <w:spacing w:line="240" w:lineRule="auto"/>
              <w:jc w:val="center"/>
              <w:rPr>
                <w:rFonts w:asciiTheme="minorHAnsi" w:hAnsiTheme="minorHAnsi"/>
                <w:b/>
                <w:bCs/>
                <w:color w:val="000000"/>
                <w:sz w:val="16"/>
                <w:szCs w:val="16"/>
                <w:lang w:val="en-GB" w:eastAsia="sv-SE"/>
              </w:rPr>
            </w:pPr>
            <w:r w:rsidRPr="00E11B00">
              <w:rPr>
                <w:rFonts w:asciiTheme="minorHAnsi" w:hAnsiTheme="minorHAnsi"/>
                <w:b/>
                <w:bCs/>
                <w:color w:val="000000"/>
                <w:sz w:val="16"/>
                <w:szCs w:val="16"/>
                <w:lang w:val="en-GB" w:eastAsia="sv-SE"/>
              </w:rPr>
              <w:t>8</w:t>
            </w:r>
          </w:p>
        </w:tc>
      </w:tr>
      <w:tr w:rsidR="00492EB8" w:rsidRPr="00E11B00" w:rsidTr="00DD5B32">
        <w:trPr>
          <w:trHeight w:val="624"/>
        </w:trPr>
        <w:tc>
          <w:tcPr>
            <w:tcW w:w="4960" w:type="dxa"/>
          </w:tcPr>
          <w:p w:rsidR="00492EB8" w:rsidRPr="00E11B00" w:rsidRDefault="00492EB8" w:rsidP="003141F6">
            <w:pPr>
              <w:spacing w:line="240" w:lineRule="auto"/>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 </w:t>
            </w:r>
          </w:p>
        </w:tc>
        <w:tc>
          <w:tcPr>
            <w:tcW w:w="920" w:type="dxa"/>
          </w:tcPr>
          <w:p w:rsidR="00492EB8" w:rsidRPr="00E11B00" w:rsidRDefault="00492EB8" w:rsidP="003141F6">
            <w:pPr>
              <w:spacing w:line="240" w:lineRule="auto"/>
              <w:jc w:val="center"/>
              <w:rPr>
                <w:rFonts w:asciiTheme="minorHAnsi" w:hAnsiTheme="minorHAnsi"/>
                <w:b/>
                <w:color w:val="000000"/>
                <w:sz w:val="16"/>
                <w:szCs w:val="16"/>
                <w:lang w:val="en-GB" w:eastAsia="sv-SE"/>
              </w:rPr>
            </w:pPr>
            <w:r w:rsidRPr="00E11B00">
              <w:rPr>
                <w:rFonts w:asciiTheme="minorHAnsi" w:hAnsiTheme="minorHAnsi"/>
                <w:b/>
                <w:color w:val="000000"/>
                <w:sz w:val="16"/>
                <w:szCs w:val="16"/>
                <w:lang w:val="en-GB" w:eastAsia="sv-SE"/>
              </w:rPr>
              <w:t>2-6 weeks prior to visit 2</w:t>
            </w:r>
          </w:p>
        </w:tc>
        <w:tc>
          <w:tcPr>
            <w:tcW w:w="920" w:type="dxa"/>
          </w:tcPr>
          <w:p w:rsidR="00492EB8" w:rsidRPr="00E11B00" w:rsidRDefault="00492EB8" w:rsidP="003141F6">
            <w:pPr>
              <w:spacing w:line="240" w:lineRule="auto"/>
              <w:jc w:val="center"/>
              <w:rPr>
                <w:rFonts w:asciiTheme="minorHAnsi" w:hAnsiTheme="minorHAnsi"/>
                <w:b/>
                <w:color w:val="000000"/>
                <w:sz w:val="16"/>
                <w:szCs w:val="16"/>
                <w:lang w:val="en-GB" w:eastAsia="sv-SE"/>
              </w:rPr>
            </w:pPr>
            <w:r w:rsidRPr="00E11B00">
              <w:rPr>
                <w:rFonts w:asciiTheme="minorHAnsi" w:hAnsiTheme="minorHAnsi"/>
                <w:b/>
                <w:color w:val="000000"/>
                <w:sz w:val="16"/>
                <w:szCs w:val="16"/>
                <w:lang w:val="en-GB" w:eastAsia="sv-SE"/>
              </w:rPr>
              <w:t>Day 0</w:t>
            </w:r>
          </w:p>
        </w:tc>
        <w:tc>
          <w:tcPr>
            <w:tcW w:w="920" w:type="dxa"/>
          </w:tcPr>
          <w:p w:rsidR="00492EB8" w:rsidRPr="00E11B00" w:rsidRDefault="00492EB8" w:rsidP="003141F6">
            <w:pPr>
              <w:spacing w:line="240" w:lineRule="auto"/>
              <w:jc w:val="center"/>
              <w:rPr>
                <w:rFonts w:asciiTheme="minorHAnsi" w:hAnsiTheme="minorHAnsi"/>
                <w:b/>
                <w:color w:val="000000"/>
                <w:sz w:val="16"/>
                <w:szCs w:val="16"/>
                <w:lang w:val="en-GB" w:eastAsia="sv-SE"/>
              </w:rPr>
            </w:pPr>
            <w:r w:rsidRPr="00E11B00">
              <w:rPr>
                <w:rFonts w:asciiTheme="minorHAnsi" w:hAnsiTheme="minorHAnsi"/>
                <w:b/>
                <w:color w:val="000000"/>
                <w:sz w:val="16"/>
                <w:szCs w:val="16"/>
                <w:lang w:val="en-GB" w:eastAsia="sv-SE"/>
              </w:rPr>
              <w:t>Day 4±1</w:t>
            </w:r>
          </w:p>
        </w:tc>
        <w:tc>
          <w:tcPr>
            <w:tcW w:w="920" w:type="dxa"/>
          </w:tcPr>
          <w:p w:rsidR="00492EB8" w:rsidRPr="00E11B00" w:rsidRDefault="00492EB8" w:rsidP="003141F6">
            <w:pPr>
              <w:spacing w:line="240" w:lineRule="auto"/>
              <w:jc w:val="center"/>
              <w:rPr>
                <w:rFonts w:asciiTheme="minorHAnsi" w:hAnsiTheme="minorHAnsi"/>
                <w:b/>
                <w:color w:val="000000"/>
                <w:sz w:val="16"/>
                <w:szCs w:val="16"/>
                <w:lang w:val="en-GB" w:eastAsia="sv-SE"/>
              </w:rPr>
            </w:pPr>
            <w:r w:rsidRPr="00E11B00">
              <w:rPr>
                <w:rFonts w:asciiTheme="minorHAnsi" w:hAnsiTheme="minorHAnsi"/>
                <w:b/>
                <w:color w:val="000000"/>
                <w:sz w:val="16"/>
                <w:szCs w:val="16"/>
                <w:lang w:val="en-GB" w:eastAsia="sv-SE"/>
              </w:rPr>
              <w:t>Day 7±1</w:t>
            </w:r>
          </w:p>
        </w:tc>
        <w:tc>
          <w:tcPr>
            <w:tcW w:w="920" w:type="dxa"/>
          </w:tcPr>
          <w:p w:rsidR="00492EB8" w:rsidRPr="00E11B00" w:rsidRDefault="00492EB8" w:rsidP="003141F6">
            <w:pPr>
              <w:spacing w:line="240" w:lineRule="auto"/>
              <w:jc w:val="center"/>
              <w:rPr>
                <w:rFonts w:asciiTheme="minorHAnsi" w:hAnsiTheme="minorHAnsi"/>
                <w:b/>
                <w:color w:val="000000"/>
                <w:sz w:val="16"/>
                <w:szCs w:val="16"/>
                <w:lang w:val="en-GB" w:eastAsia="sv-SE"/>
              </w:rPr>
            </w:pPr>
            <w:r w:rsidRPr="00E11B00">
              <w:rPr>
                <w:rFonts w:asciiTheme="minorHAnsi" w:hAnsiTheme="minorHAnsi"/>
                <w:b/>
                <w:color w:val="000000"/>
                <w:sz w:val="16"/>
                <w:szCs w:val="16"/>
                <w:lang w:val="en-GB" w:eastAsia="sv-SE"/>
              </w:rPr>
              <w:t>Day 11±1</w:t>
            </w:r>
          </w:p>
        </w:tc>
        <w:tc>
          <w:tcPr>
            <w:tcW w:w="920" w:type="dxa"/>
          </w:tcPr>
          <w:p w:rsidR="00492EB8" w:rsidRPr="00E11B00" w:rsidRDefault="00492EB8" w:rsidP="003141F6">
            <w:pPr>
              <w:spacing w:line="240" w:lineRule="auto"/>
              <w:jc w:val="center"/>
              <w:rPr>
                <w:rFonts w:asciiTheme="minorHAnsi" w:hAnsiTheme="minorHAnsi"/>
                <w:b/>
                <w:color w:val="000000"/>
                <w:sz w:val="16"/>
                <w:szCs w:val="16"/>
                <w:lang w:val="en-GB" w:eastAsia="sv-SE"/>
              </w:rPr>
            </w:pPr>
            <w:r w:rsidRPr="00E11B00">
              <w:rPr>
                <w:rFonts w:asciiTheme="minorHAnsi" w:hAnsiTheme="minorHAnsi"/>
                <w:b/>
                <w:color w:val="000000"/>
                <w:sz w:val="16"/>
                <w:szCs w:val="16"/>
                <w:lang w:val="en-GB" w:eastAsia="sv-SE"/>
              </w:rPr>
              <w:t>Day 14±1</w:t>
            </w:r>
          </w:p>
        </w:tc>
        <w:tc>
          <w:tcPr>
            <w:tcW w:w="920" w:type="dxa"/>
          </w:tcPr>
          <w:p w:rsidR="00492EB8" w:rsidRPr="00E11B00" w:rsidRDefault="00492EB8" w:rsidP="003141F6">
            <w:pPr>
              <w:spacing w:line="240" w:lineRule="auto"/>
              <w:jc w:val="center"/>
              <w:rPr>
                <w:rFonts w:asciiTheme="minorHAnsi" w:hAnsiTheme="minorHAnsi"/>
                <w:b/>
                <w:color w:val="000000"/>
                <w:sz w:val="16"/>
                <w:szCs w:val="16"/>
                <w:lang w:val="en-GB" w:eastAsia="sv-SE"/>
              </w:rPr>
            </w:pPr>
            <w:r w:rsidRPr="00E11B00">
              <w:rPr>
                <w:rFonts w:asciiTheme="minorHAnsi" w:hAnsiTheme="minorHAnsi"/>
                <w:b/>
                <w:color w:val="000000"/>
                <w:sz w:val="16"/>
                <w:szCs w:val="16"/>
                <w:lang w:val="en-GB" w:eastAsia="sv-SE"/>
              </w:rPr>
              <w:t>Day 28+7-1</w:t>
            </w:r>
          </w:p>
        </w:tc>
        <w:tc>
          <w:tcPr>
            <w:tcW w:w="920" w:type="dxa"/>
          </w:tcPr>
          <w:p w:rsidR="00492EB8" w:rsidRPr="00E11B00" w:rsidRDefault="00492EB8" w:rsidP="003141F6">
            <w:pPr>
              <w:spacing w:line="240" w:lineRule="auto"/>
              <w:jc w:val="center"/>
              <w:rPr>
                <w:rFonts w:asciiTheme="minorHAnsi" w:hAnsiTheme="minorHAnsi"/>
                <w:b/>
                <w:color w:val="000000"/>
                <w:sz w:val="16"/>
                <w:szCs w:val="16"/>
                <w:lang w:val="en-GB" w:eastAsia="sv-SE"/>
              </w:rPr>
            </w:pPr>
            <w:r w:rsidRPr="00E11B00">
              <w:rPr>
                <w:rFonts w:asciiTheme="minorHAnsi" w:hAnsiTheme="minorHAnsi"/>
                <w:b/>
                <w:color w:val="000000"/>
                <w:sz w:val="16"/>
                <w:szCs w:val="16"/>
                <w:lang w:val="en-GB" w:eastAsia="sv-SE"/>
              </w:rPr>
              <w:t>Day 45±5</w:t>
            </w:r>
          </w:p>
        </w:tc>
        <w:tc>
          <w:tcPr>
            <w:tcW w:w="920" w:type="dxa"/>
          </w:tcPr>
          <w:p w:rsidR="00492EB8" w:rsidRPr="00E11B00" w:rsidRDefault="00492EB8" w:rsidP="003141F6">
            <w:pPr>
              <w:spacing w:line="240" w:lineRule="auto"/>
              <w:jc w:val="center"/>
              <w:rPr>
                <w:rFonts w:asciiTheme="minorHAnsi" w:hAnsiTheme="minorHAnsi"/>
                <w:b/>
                <w:color w:val="000000"/>
                <w:sz w:val="16"/>
                <w:szCs w:val="16"/>
                <w:lang w:val="en-GB" w:eastAsia="sv-SE"/>
              </w:rPr>
            </w:pPr>
            <w:r w:rsidRPr="00E11B00">
              <w:rPr>
                <w:rFonts w:asciiTheme="minorHAnsi" w:hAnsiTheme="minorHAnsi"/>
                <w:b/>
                <w:color w:val="000000"/>
                <w:sz w:val="16"/>
                <w:szCs w:val="16"/>
                <w:lang w:val="en-GB" w:eastAsia="sv-SE"/>
              </w:rPr>
              <w:t xml:space="preserve">5-6 </w:t>
            </w:r>
            <w:proofErr w:type="spellStart"/>
            <w:r w:rsidRPr="00E11B00">
              <w:rPr>
                <w:rFonts w:asciiTheme="minorHAnsi" w:hAnsiTheme="minorHAnsi"/>
                <w:b/>
                <w:color w:val="000000"/>
                <w:sz w:val="16"/>
                <w:szCs w:val="16"/>
                <w:lang w:val="en-GB" w:eastAsia="sv-SE"/>
              </w:rPr>
              <w:t>mon</w:t>
            </w:r>
            <w:proofErr w:type="spellEnd"/>
          </w:p>
        </w:tc>
      </w:tr>
      <w:tr w:rsidR="00492EB8" w:rsidRPr="00E11B00" w:rsidTr="00DD5B32">
        <w:trPr>
          <w:trHeight w:val="328"/>
        </w:trPr>
        <w:tc>
          <w:tcPr>
            <w:tcW w:w="4960" w:type="dxa"/>
          </w:tcPr>
          <w:p w:rsidR="00492EB8" w:rsidRPr="00E11B00" w:rsidRDefault="00492EB8" w:rsidP="003141F6">
            <w:pPr>
              <w:spacing w:line="240" w:lineRule="auto"/>
              <w:rPr>
                <w:rFonts w:asciiTheme="minorHAnsi" w:hAnsiTheme="minorHAnsi"/>
                <w:b/>
                <w:bCs/>
                <w:color w:val="000000"/>
                <w:sz w:val="16"/>
                <w:szCs w:val="16"/>
                <w:lang w:val="en-GB" w:eastAsia="sv-SE"/>
              </w:rPr>
            </w:pPr>
            <w:r w:rsidRPr="00E11B00">
              <w:rPr>
                <w:rFonts w:asciiTheme="minorHAnsi" w:hAnsiTheme="minorHAnsi"/>
                <w:b/>
                <w:bCs/>
                <w:color w:val="000000"/>
                <w:sz w:val="16"/>
                <w:szCs w:val="16"/>
                <w:lang w:val="en-GB" w:eastAsia="sv-SE"/>
              </w:rPr>
              <w:t>Administrative requirements:</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r>
      <w:tr w:rsidR="00492EB8" w:rsidRPr="00E11B00" w:rsidTr="00DD5B32">
        <w:trPr>
          <w:trHeight w:val="328"/>
        </w:trPr>
        <w:tc>
          <w:tcPr>
            <w:tcW w:w="4960" w:type="dxa"/>
          </w:tcPr>
          <w:p w:rsidR="00492EB8" w:rsidRPr="00E11B00" w:rsidRDefault="00492EB8" w:rsidP="003141F6">
            <w:pPr>
              <w:spacing w:line="240" w:lineRule="auto"/>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-Recruitment, medical record number, screen form,</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x</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r>
      <w:tr w:rsidR="00492EB8" w:rsidRPr="00E11B00" w:rsidTr="00DD5B32">
        <w:trPr>
          <w:trHeight w:val="328"/>
        </w:trPr>
        <w:tc>
          <w:tcPr>
            <w:tcW w:w="4960" w:type="dxa"/>
          </w:tcPr>
          <w:p w:rsidR="00492EB8" w:rsidRPr="00E11B00" w:rsidRDefault="00492EB8" w:rsidP="003141F6">
            <w:pPr>
              <w:spacing w:line="240" w:lineRule="auto"/>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 xml:space="preserve">-Information and study </w:t>
            </w:r>
            <w:proofErr w:type="spellStart"/>
            <w:r w:rsidRPr="00E11B00">
              <w:rPr>
                <w:rFonts w:asciiTheme="minorHAnsi" w:hAnsiTheme="minorHAnsi"/>
                <w:color w:val="000000"/>
                <w:sz w:val="16"/>
                <w:szCs w:val="16"/>
                <w:lang w:val="en-GB" w:eastAsia="sv-SE"/>
              </w:rPr>
              <w:t>consent</w:t>
            </w:r>
            <w:r w:rsidRPr="00E11B00">
              <w:rPr>
                <w:rFonts w:asciiTheme="minorHAnsi" w:hAnsiTheme="minorHAnsi"/>
                <w:color w:val="000000"/>
                <w:sz w:val="22"/>
                <w:szCs w:val="16"/>
                <w:vertAlign w:val="superscript"/>
                <w:lang w:val="en-GB" w:eastAsia="sv-SE"/>
              </w:rPr>
              <w:t>a</w:t>
            </w:r>
            <w:proofErr w:type="spellEnd"/>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x</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r>
      <w:tr w:rsidR="00492EB8" w:rsidRPr="00E11B00" w:rsidTr="00DD5B32">
        <w:trPr>
          <w:trHeight w:val="328"/>
        </w:trPr>
        <w:tc>
          <w:tcPr>
            <w:tcW w:w="4960" w:type="dxa"/>
          </w:tcPr>
          <w:p w:rsidR="00492EB8" w:rsidRPr="00E11B00" w:rsidRDefault="00492EB8" w:rsidP="003141F6">
            <w:pPr>
              <w:spacing w:line="240" w:lineRule="auto"/>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-Demographic information (age, gender, race)</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x</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r>
      <w:tr w:rsidR="00492EB8" w:rsidRPr="00E11B00" w:rsidTr="00DD5B32">
        <w:trPr>
          <w:trHeight w:val="328"/>
        </w:trPr>
        <w:tc>
          <w:tcPr>
            <w:tcW w:w="4960" w:type="dxa"/>
          </w:tcPr>
          <w:p w:rsidR="00492EB8" w:rsidRPr="00E11B00" w:rsidRDefault="00492EB8" w:rsidP="003141F6">
            <w:pPr>
              <w:spacing w:line="240" w:lineRule="auto"/>
              <w:rPr>
                <w:rFonts w:asciiTheme="minorHAnsi" w:hAnsiTheme="minorHAnsi"/>
                <w:b/>
                <w:bCs/>
                <w:color w:val="000000"/>
                <w:sz w:val="16"/>
                <w:szCs w:val="16"/>
                <w:lang w:val="en-GB" w:eastAsia="sv-SE"/>
              </w:rPr>
            </w:pPr>
            <w:r w:rsidRPr="00E11B00">
              <w:rPr>
                <w:rFonts w:asciiTheme="minorHAnsi" w:hAnsiTheme="minorHAnsi"/>
                <w:b/>
                <w:bCs/>
                <w:color w:val="000000"/>
                <w:sz w:val="16"/>
                <w:szCs w:val="16"/>
                <w:lang w:val="en-GB" w:eastAsia="sv-SE"/>
              </w:rPr>
              <w:t>Randomisation and vaccination:</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x</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r>
      <w:tr w:rsidR="00492EB8" w:rsidRPr="00E11B00" w:rsidTr="00DD5B32">
        <w:trPr>
          <w:trHeight w:val="328"/>
        </w:trPr>
        <w:tc>
          <w:tcPr>
            <w:tcW w:w="4960" w:type="dxa"/>
          </w:tcPr>
          <w:p w:rsidR="00492EB8" w:rsidRPr="00E11B00" w:rsidRDefault="00492EB8" w:rsidP="003141F6">
            <w:pPr>
              <w:spacing w:line="240" w:lineRule="auto"/>
              <w:rPr>
                <w:rFonts w:asciiTheme="minorHAnsi" w:hAnsiTheme="minorHAnsi"/>
                <w:b/>
                <w:bCs/>
                <w:color w:val="000000"/>
                <w:sz w:val="16"/>
                <w:szCs w:val="16"/>
                <w:lang w:val="en-GB" w:eastAsia="sv-SE"/>
              </w:rPr>
            </w:pPr>
            <w:r w:rsidRPr="00E11B00">
              <w:rPr>
                <w:rFonts w:asciiTheme="minorHAnsi" w:hAnsiTheme="minorHAnsi"/>
                <w:b/>
                <w:bCs/>
                <w:color w:val="000000"/>
                <w:sz w:val="16"/>
                <w:szCs w:val="16"/>
                <w:lang w:val="en-GB" w:eastAsia="sv-SE"/>
              </w:rPr>
              <w:t>Clinical requirements:</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r>
      <w:tr w:rsidR="00492EB8" w:rsidRPr="00E11B00" w:rsidTr="00DD5B32">
        <w:trPr>
          <w:trHeight w:val="328"/>
        </w:trPr>
        <w:tc>
          <w:tcPr>
            <w:tcW w:w="4960" w:type="dxa"/>
          </w:tcPr>
          <w:p w:rsidR="00492EB8" w:rsidRPr="00E11B00" w:rsidRDefault="00492EB8" w:rsidP="003141F6">
            <w:pPr>
              <w:spacing w:line="240" w:lineRule="auto"/>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-Complete medical history</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x</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r>
      <w:tr w:rsidR="00492EB8" w:rsidRPr="00E11B00" w:rsidTr="00DD5B32">
        <w:trPr>
          <w:trHeight w:val="328"/>
        </w:trPr>
        <w:tc>
          <w:tcPr>
            <w:tcW w:w="4960" w:type="dxa"/>
          </w:tcPr>
          <w:p w:rsidR="00492EB8" w:rsidRPr="00E11B00" w:rsidRDefault="00492EB8" w:rsidP="003141F6">
            <w:pPr>
              <w:spacing w:line="240" w:lineRule="auto"/>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 xml:space="preserve">-Physical examination including vital </w:t>
            </w:r>
            <w:proofErr w:type="spellStart"/>
            <w:r w:rsidRPr="00E11B00">
              <w:rPr>
                <w:rFonts w:asciiTheme="minorHAnsi" w:hAnsiTheme="minorHAnsi"/>
                <w:color w:val="000000"/>
                <w:sz w:val="16"/>
                <w:szCs w:val="16"/>
                <w:lang w:val="en-GB" w:eastAsia="sv-SE"/>
              </w:rPr>
              <w:t>signs</w:t>
            </w:r>
            <w:r w:rsidRPr="00E11B00">
              <w:rPr>
                <w:rFonts w:asciiTheme="minorHAnsi" w:hAnsiTheme="minorHAnsi"/>
                <w:color w:val="000000"/>
                <w:sz w:val="22"/>
                <w:szCs w:val="16"/>
                <w:vertAlign w:val="superscript"/>
                <w:lang w:val="en-GB" w:eastAsia="sv-SE"/>
              </w:rPr>
              <w:t>b</w:t>
            </w:r>
            <w:proofErr w:type="spellEnd"/>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x</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x</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x</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x</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x</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x</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x</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x</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x</w:t>
            </w:r>
          </w:p>
        </w:tc>
      </w:tr>
      <w:tr w:rsidR="00492EB8" w:rsidRPr="00E11B00" w:rsidTr="00DD5B32">
        <w:trPr>
          <w:trHeight w:val="328"/>
        </w:trPr>
        <w:tc>
          <w:tcPr>
            <w:tcW w:w="4960" w:type="dxa"/>
          </w:tcPr>
          <w:p w:rsidR="00492EB8" w:rsidRPr="00E11B00" w:rsidRDefault="00492EB8" w:rsidP="003141F6">
            <w:pPr>
              <w:spacing w:line="240" w:lineRule="auto"/>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-Interim history/diary (AE documentation, concomitant medication)</w:t>
            </w:r>
            <w:proofErr w:type="spellStart"/>
            <w:r w:rsidRPr="00E11B00">
              <w:rPr>
                <w:rFonts w:asciiTheme="minorHAnsi" w:hAnsiTheme="minorHAnsi"/>
                <w:color w:val="000000"/>
                <w:sz w:val="22"/>
                <w:szCs w:val="16"/>
                <w:vertAlign w:val="superscript"/>
                <w:lang w:val="en-GB" w:eastAsia="sv-SE"/>
              </w:rPr>
              <w:t>c,d</w:t>
            </w:r>
            <w:proofErr w:type="spellEnd"/>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x</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x</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x</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x</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x</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x</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x</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x</w:t>
            </w:r>
          </w:p>
        </w:tc>
      </w:tr>
      <w:tr w:rsidR="00492EB8" w:rsidRPr="00E11B00" w:rsidTr="00DD5B32">
        <w:trPr>
          <w:trHeight w:val="328"/>
        </w:trPr>
        <w:tc>
          <w:tcPr>
            <w:tcW w:w="4960" w:type="dxa"/>
          </w:tcPr>
          <w:p w:rsidR="00492EB8" w:rsidRPr="00E11B00" w:rsidRDefault="00492EB8" w:rsidP="003141F6">
            <w:pPr>
              <w:spacing w:line="240" w:lineRule="auto"/>
              <w:rPr>
                <w:rFonts w:asciiTheme="minorHAnsi" w:hAnsiTheme="minorHAnsi"/>
                <w:b/>
                <w:bCs/>
                <w:color w:val="000000"/>
                <w:sz w:val="16"/>
                <w:szCs w:val="16"/>
                <w:lang w:val="en-GB" w:eastAsia="sv-SE"/>
              </w:rPr>
            </w:pPr>
            <w:r w:rsidRPr="00E11B00">
              <w:rPr>
                <w:rFonts w:asciiTheme="minorHAnsi" w:hAnsiTheme="minorHAnsi"/>
                <w:b/>
                <w:bCs/>
                <w:color w:val="000000"/>
                <w:sz w:val="16"/>
                <w:szCs w:val="16"/>
                <w:lang w:val="en-GB" w:eastAsia="sv-SE"/>
              </w:rPr>
              <w:t>Safety labs:</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r>
      <w:tr w:rsidR="00492EB8" w:rsidRPr="00E11B00" w:rsidTr="00DD5B32">
        <w:trPr>
          <w:trHeight w:val="328"/>
        </w:trPr>
        <w:tc>
          <w:tcPr>
            <w:tcW w:w="4960" w:type="dxa"/>
          </w:tcPr>
          <w:p w:rsidR="00492EB8" w:rsidRPr="00E11B00" w:rsidRDefault="00492EB8" w:rsidP="003141F6">
            <w:pPr>
              <w:spacing w:line="240" w:lineRule="auto"/>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-ECG</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x</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r>
      <w:tr w:rsidR="00492EB8" w:rsidRPr="00E11B00" w:rsidTr="00DD5B32">
        <w:trPr>
          <w:trHeight w:val="328"/>
        </w:trPr>
        <w:tc>
          <w:tcPr>
            <w:tcW w:w="4960" w:type="dxa"/>
          </w:tcPr>
          <w:p w:rsidR="00492EB8" w:rsidRPr="00E11B00" w:rsidRDefault="00492EB8" w:rsidP="003141F6">
            <w:pPr>
              <w:spacing w:line="240" w:lineRule="auto"/>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w:t>
            </w:r>
            <w:proofErr w:type="spellStart"/>
            <w:r w:rsidRPr="00E11B00">
              <w:rPr>
                <w:rFonts w:asciiTheme="minorHAnsi" w:hAnsiTheme="minorHAnsi"/>
                <w:color w:val="000000"/>
                <w:sz w:val="16"/>
                <w:szCs w:val="16"/>
                <w:lang w:val="en-GB" w:eastAsia="sv-SE"/>
              </w:rPr>
              <w:t>Hematology</w:t>
            </w:r>
            <w:r w:rsidRPr="00E11B00">
              <w:rPr>
                <w:rFonts w:asciiTheme="minorHAnsi" w:hAnsiTheme="minorHAnsi"/>
                <w:color w:val="000000"/>
                <w:sz w:val="22"/>
                <w:szCs w:val="16"/>
                <w:vertAlign w:val="superscript"/>
                <w:lang w:val="en-GB" w:eastAsia="sv-SE"/>
              </w:rPr>
              <w:t>e</w:t>
            </w:r>
            <w:proofErr w:type="spellEnd"/>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x</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x</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x</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x</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x</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x</w:t>
            </w:r>
          </w:p>
        </w:tc>
      </w:tr>
      <w:tr w:rsidR="00492EB8" w:rsidRPr="00E11B00" w:rsidTr="00DD5B32">
        <w:trPr>
          <w:trHeight w:val="328"/>
        </w:trPr>
        <w:tc>
          <w:tcPr>
            <w:tcW w:w="4960" w:type="dxa"/>
          </w:tcPr>
          <w:p w:rsidR="00492EB8" w:rsidRPr="00E11B00" w:rsidRDefault="00492EB8" w:rsidP="003141F6">
            <w:pPr>
              <w:spacing w:line="240" w:lineRule="auto"/>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 xml:space="preserve">-Blood </w:t>
            </w:r>
            <w:proofErr w:type="spellStart"/>
            <w:r w:rsidRPr="00E11B00">
              <w:rPr>
                <w:rFonts w:asciiTheme="minorHAnsi" w:hAnsiTheme="minorHAnsi"/>
                <w:color w:val="000000"/>
                <w:sz w:val="16"/>
                <w:szCs w:val="16"/>
                <w:lang w:val="en-GB" w:eastAsia="sv-SE"/>
              </w:rPr>
              <w:t>chemistry</w:t>
            </w:r>
            <w:r w:rsidRPr="00E11B00">
              <w:rPr>
                <w:rFonts w:asciiTheme="minorHAnsi" w:hAnsiTheme="minorHAnsi"/>
                <w:color w:val="000000"/>
                <w:sz w:val="22"/>
                <w:szCs w:val="16"/>
                <w:vertAlign w:val="superscript"/>
                <w:lang w:val="en-GB" w:eastAsia="sv-SE"/>
              </w:rPr>
              <w:t>f</w:t>
            </w:r>
            <w:proofErr w:type="spellEnd"/>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x</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r>
      <w:tr w:rsidR="00492EB8" w:rsidRPr="00E11B00" w:rsidTr="00DD5B32">
        <w:trPr>
          <w:trHeight w:val="328"/>
        </w:trPr>
        <w:tc>
          <w:tcPr>
            <w:tcW w:w="4960" w:type="dxa"/>
          </w:tcPr>
          <w:p w:rsidR="00492EB8" w:rsidRPr="00E11B00" w:rsidRDefault="00492EB8" w:rsidP="003141F6">
            <w:pPr>
              <w:spacing w:line="240" w:lineRule="auto"/>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-Screening for HIV, hepatitis B and C</w:t>
            </w:r>
            <w:r w:rsidRPr="00E11B00">
              <w:rPr>
                <w:rFonts w:asciiTheme="minorHAnsi" w:hAnsiTheme="minorHAnsi"/>
                <w:color w:val="000000"/>
                <w:sz w:val="22"/>
                <w:szCs w:val="16"/>
                <w:vertAlign w:val="superscript"/>
                <w:lang w:val="en-GB" w:eastAsia="sv-SE"/>
              </w:rPr>
              <w:t>g</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x</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r>
      <w:tr w:rsidR="00492EB8" w:rsidRPr="00E11B00" w:rsidTr="00DD5B32">
        <w:trPr>
          <w:trHeight w:val="328"/>
        </w:trPr>
        <w:tc>
          <w:tcPr>
            <w:tcW w:w="4960" w:type="dxa"/>
          </w:tcPr>
          <w:p w:rsidR="00492EB8" w:rsidRPr="00E11B00" w:rsidRDefault="00492EB8" w:rsidP="003141F6">
            <w:pPr>
              <w:spacing w:line="240" w:lineRule="auto"/>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 xml:space="preserve">-Serum </w:t>
            </w:r>
            <w:proofErr w:type="spellStart"/>
            <w:r w:rsidRPr="00E11B00">
              <w:rPr>
                <w:rFonts w:asciiTheme="minorHAnsi" w:hAnsiTheme="minorHAnsi"/>
                <w:color w:val="000000"/>
                <w:sz w:val="16"/>
                <w:szCs w:val="16"/>
                <w:lang w:val="en-GB" w:eastAsia="sv-SE"/>
              </w:rPr>
              <w:t>pertussis</w:t>
            </w:r>
            <w:proofErr w:type="spellEnd"/>
            <w:r w:rsidRPr="00E11B00">
              <w:rPr>
                <w:rFonts w:asciiTheme="minorHAnsi" w:hAnsiTheme="minorHAnsi"/>
                <w:color w:val="000000"/>
                <w:sz w:val="16"/>
                <w:szCs w:val="16"/>
                <w:lang w:val="en-GB" w:eastAsia="sv-SE"/>
              </w:rPr>
              <w:t xml:space="preserve"> toxin </w:t>
            </w:r>
            <w:proofErr w:type="spellStart"/>
            <w:r w:rsidRPr="00E11B00">
              <w:rPr>
                <w:rFonts w:asciiTheme="minorHAnsi" w:hAnsiTheme="minorHAnsi"/>
                <w:color w:val="000000"/>
                <w:sz w:val="16"/>
                <w:szCs w:val="16"/>
                <w:lang w:val="en-GB" w:eastAsia="sv-SE"/>
              </w:rPr>
              <w:t>IgG</w:t>
            </w:r>
            <w:proofErr w:type="spellEnd"/>
            <w:r w:rsidRPr="00E11B00">
              <w:rPr>
                <w:rFonts w:asciiTheme="minorHAnsi" w:hAnsiTheme="minorHAnsi"/>
                <w:color w:val="000000"/>
                <w:sz w:val="16"/>
                <w:szCs w:val="16"/>
                <w:lang w:val="en-GB" w:eastAsia="sv-SE"/>
              </w:rPr>
              <w:t xml:space="preserve"> antibodies</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x</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r>
      <w:tr w:rsidR="00492EB8" w:rsidRPr="00E11B00" w:rsidTr="00DD5B32">
        <w:trPr>
          <w:trHeight w:val="328"/>
        </w:trPr>
        <w:tc>
          <w:tcPr>
            <w:tcW w:w="4960" w:type="dxa"/>
          </w:tcPr>
          <w:p w:rsidR="00492EB8" w:rsidRPr="00E11B00" w:rsidRDefault="00492EB8" w:rsidP="003141F6">
            <w:pPr>
              <w:spacing w:line="240" w:lineRule="auto"/>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 xml:space="preserve">-Urine </w:t>
            </w:r>
            <w:proofErr w:type="spellStart"/>
            <w:r w:rsidRPr="00E11B00">
              <w:rPr>
                <w:rFonts w:asciiTheme="minorHAnsi" w:hAnsiTheme="minorHAnsi"/>
                <w:color w:val="000000"/>
                <w:sz w:val="16"/>
                <w:szCs w:val="16"/>
                <w:lang w:val="en-GB" w:eastAsia="sv-SE"/>
              </w:rPr>
              <w:t>analysis</w:t>
            </w:r>
            <w:r w:rsidRPr="00E11B00">
              <w:rPr>
                <w:rFonts w:asciiTheme="minorHAnsi" w:hAnsiTheme="minorHAnsi"/>
                <w:color w:val="000000"/>
                <w:sz w:val="22"/>
                <w:szCs w:val="16"/>
                <w:vertAlign w:val="superscript"/>
                <w:lang w:val="en-GB" w:eastAsia="sv-SE"/>
              </w:rPr>
              <w:t>h</w:t>
            </w:r>
            <w:proofErr w:type="spellEnd"/>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x</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r>
      <w:tr w:rsidR="00492EB8" w:rsidRPr="00E11B00" w:rsidTr="00DD5B32">
        <w:trPr>
          <w:trHeight w:val="328"/>
        </w:trPr>
        <w:tc>
          <w:tcPr>
            <w:tcW w:w="4960" w:type="dxa"/>
          </w:tcPr>
          <w:p w:rsidR="00492EB8" w:rsidRPr="00E11B00" w:rsidRDefault="00492EB8" w:rsidP="003141F6">
            <w:pPr>
              <w:spacing w:line="240" w:lineRule="auto"/>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 xml:space="preserve">-Total </w:t>
            </w:r>
            <w:proofErr w:type="spellStart"/>
            <w:r w:rsidRPr="00E11B00">
              <w:rPr>
                <w:rFonts w:asciiTheme="minorHAnsi" w:hAnsiTheme="minorHAnsi"/>
                <w:color w:val="000000"/>
                <w:sz w:val="16"/>
                <w:szCs w:val="16"/>
                <w:lang w:val="en-GB" w:eastAsia="sv-SE"/>
              </w:rPr>
              <w:t>IgE</w:t>
            </w:r>
            <w:proofErr w:type="spellEnd"/>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x</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x</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x</w:t>
            </w:r>
          </w:p>
        </w:tc>
      </w:tr>
      <w:tr w:rsidR="00492EB8" w:rsidRPr="00E11B00" w:rsidTr="00DD5B32">
        <w:trPr>
          <w:trHeight w:val="328"/>
        </w:trPr>
        <w:tc>
          <w:tcPr>
            <w:tcW w:w="4960" w:type="dxa"/>
          </w:tcPr>
          <w:p w:rsidR="00492EB8" w:rsidRPr="00E11B00" w:rsidRDefault="00492EB8" w:rsidP="003141F6">
            <w:pPr>
              <w:spacing w:line="240" w:lineRule="auto"/>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-Nasopharyngeal culture for B. pertussis</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x</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x</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x</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x</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x</w:t>
            </w:r>
            <w:r w:rsidRPr="00E11B00">
              <w:rPr>
                <w:rFonts w:asciiTheme="minorHAnsi" w:hAnsiTheme="minorHAnsi"/>
                <w:color w:val="000000"/>
                <w:sz w:val="22"/>
                <w:szCs w:val="16"/>
                <w:vertAlign w:val="superscript"/>
                <w:lang w:val="en-GB" w:eastAsia="sv-SE"/>
              </w:rPr>
              <w:t>i</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x</w:t>
            </w:r>
            <w:r w:rsidRPr="00E11B00">
              <w:rPr>
                <w:rFonts w:asciiTheme="minorHAnsi" w:hAnsiTheme="minorHAnsi"/>
                <w:color w:val="000000"/>
                <w:sz w:val="22"/>
                <w:szCs w:val="16"/>
                <w:vertAlign w:val="superscript"/>
                <w:lang w:val="en-GB" w:eastAsia="sv-SE"/>
              </w:rPr>
              <w:t>i</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r>
      <w:tr w:rsidR="00492EB8" w:rsidRPr="00E11B00" w:rsidTr="00DD5B32">
        <w:trPr>
          <w:trHeight w:val="328"/>
        </w:trPr>
        <w:tc>
          <w:tcPr>
            <w:tcW w:w="4960" w:type="dxa"/>
          </w:tcPr>
          <w:p w:rsidR="00492EB8" w:rsidRPr="00E11B00" w:rsidRDefault="00492EB8" w:rsidP="003141F6">
            <w:pPr>
              <w:spacing w:line="240" w:lineRule="auto"/>
              <w:rPr>
                <w:rFonts w:asciiTheme="minorHAnsi" w:hAnsiTheme="minorHAnsi"/>
                <w:b/>
                <w:bCs/>
                <w:color w:val="000000"/>
                <w:sz w:val="16"/>
                <w:szCs w:val="16"/>
                <w:lang w:val="en-GB" w:eastAsia="sv-SE"/>
              </w:rPr>
            </w:pPr>
            <w:r w:rsidRPr="00E11B00">
              <w:rPr>
                <w:rFonts w:asciiTheme="minorHAnsi" w:hAnsiTheme="minorHAnsi"/>
                <w:b/>
                <w:bCs/>
                <w:color w:val="000000"/>
                <w:sz w:val="16"/>
                <w:szCs w:val="16"/>
                <w:lang w:val="en-GB" w:eastAsia="sv-SE"/>
              </w:rPr>
              <w:t>Immunogenicity labs and sample archive:</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x</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x</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x</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x</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x</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x</w:t>
            </w:r>
          </w:p>
        </w:tc>
      </w:tr>
      <w:tr w:rsidR="00492EB8" w:rsidRPr="00E11B00" w:rsidTr="00DD5B32">
        <w:trPr>
          <w:trHeight w:val="328"/>
        </w:trPr>
        <w:tc>
          <w:tcPr>
            <w:tcW w:w="4960" w:type="dxa"/>
          </w:tcPr>
          <w:p w:rsidR="00492EB8" w:rsidRPr="00E11B00" w:rsidRDefault="00492EB8" w:rsidP="003141F6">
            <w:pPr>
              <w:spacing w:line="240" w:lineRule="auto"/>
              <w:rPr>
                <w:rFonts w:asciiTheme="minorHAnsi" w:hAnsiTheme="minorHAnsi"/>
                <w:b/>
                <w:color w:val="000000"/>
                <w:sz w:val="16"/>
                <w:szCs w:val="16"/>
                <w:lang w:val="en-GB" w:eastAsia="sv-SE"/>
              </w:rPr>
            </w:pPr>
            <w:r>
              <w:rPr>
                <w:rFonts w:asciiTheme="minorHAnsi" w:hAnsiTheme="minorHAnsi"/>
                <w:b/>
                <w:color w:val="000000"/>
                <w:sz w:val="16"/>
                <w:szCs w:val="16"/>
                <w:lang w:val="en-GB" w:eastAsia="sv-SE"/>
              </w:rPr>
              <w:t>TOTAL BLOOD VOLUME:</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58.5 ml</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109.0 ml</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48.5 ml</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101.0 ml</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112.5 ml</w:t>
            </w: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p>
        </w:tc>
        <w:tc>
          <w:tcPr>
            <w:tcW w:w="920" w:type="dxa"/>
          </w:tcPr>
          <w:p w:rsidR="00492EB8" w:rsidRPr="00E11B00" w:rsidRDefault="00492EB8" w:rsidP="003141F6">
            <w:pPr>
              <w:spacing w:line="240" w:lineRule="auto"/>
              <w:jc w:val="center"/>
              <w:rPr>
                <w:rFonts w:asciiTheme="minorHAnsi" w:hAnsiTheme="minorHAnsi"/>
                <w:color w:val="000000"/>
                <w:sz w:val="16"/>
                <w:szCs w:val="16"/>
                <w:lang w:val="en-GB" w:eastAsia="sv-SE"/>
              </w:rPr>
            </w:pPr>
            <w:r w:rsidRPr="00E11B00">
              <w:rPr>
                <w:rFonts w:asciiTheme="minorHAnsi" w:hAnsiTheme="minorHAnsi"/>
                <w:color w:val="000000"/>
                <w:sz w:val="16"/>
                <w:szCs w:val="16"/>
                <w:lang w:val="en-GB" w:eastAsia="sv-SE"/>
              </w:rPr>
              <w:t>120.5 ml</w:t>
            </w:r>
          </w:p>
        </w:tc>
      </w:tr>
    </w:tbl>
    <w:p w:rsidR="00492EB8" w:rsidRDefault="00492EB8" w:rsidP="00492EB8">
      <w:pPr>
        <w:pStyle w:val="Rubrik"/>
        <w:ind w:right="-108"/>
        <w:jc w:val="both"/>
        <w:rPr>
          <w:rFonts w:ascii="Times New Roman" w:cs="Times New Roman"/>
          <w:b w:val="0"/>
          <w:bCs w:val="0"/>
          <w:sz w:val="20"/>
          <w:szCs w:val="16"/>
          <w:vertAlign w:val="superscript"/>
          <w:lang w:val="en-GB"/>
        </w:rPr>
      </w:pPr>
    </w:p>
    <w:p w:rsidR="00492EB8" w:rsidRDefault="00492EB8" w:rsidP="00492EB8">
      <w:pPr>
        <w:pStyle w:val="Rubrik"/>
        <w:ind w:right="-108"/>
        <w:jc w:val="both"/>
        <w:rPr>
          <w:rFonts w:ascii="Times New Roman" w:cs="Times New Roman"/>
          <w:b w:val="0"/>
          <w:bCs w:val="0"/>
          <w:sz w:val="20"/>
          <w:szCs w:val="16"/>
          <w:vertAlign w:val="superscript"/>
          <w:lang w:val="en-GB"/>
        </w:rPr>
      </w:pPr>
    </w:p>
    <w:p w:rsidR="00492EB8" w:rsidRPr="00AA78B1" w:rsidRDefault="00492EB8" w:rsidP="00492EB8">
      <w:pPr>
        <w:pStyle w:val="Rubrik"/>
        <w:ind w:right="-108"/>
        <w:jc w:val="both"/>
        <w:rPr>
          <w:rFonts w:ascii="Times New Roman" w:cs="Times New Roman"/>
          <w:b w:val="0"/>
          <w:bCs w:val="0"/>
          <w:sz w:val="20"/>
          <w:szCs w:val="16"/>
          <w:vertAlign w:val="superscript"/>
          <w:lang w:val="en-GB"/>
        </w:rPr>
      </w:pPr>
    </w:p>
    <w:p w:rsidR="00492EB8" w:rsidRPr="00492EB8" w:rsidRDefault="00492EB8" w:rsidP="00492EB8">
      <w:pPr>
        <w:pStyle w:val="Rubrik"/>
        <w:ind w:right="-108"/>
        <w:jc w:val="both"/>
        <w:rPr>
          <w:rFonts w:asciiTheme="minorHAnsi" w:hAnsiTheme="minorHAnsi" w:cs="Times New Roman"/>
          <w:b w:val="0"/>
          <w:bCs w:val="0"/>
          <w:sz w:val="18"/>
          <w:szCs w:val="16"/>
          <w:lang w:val="en-GB"/>
        </w:rPr>
      </w:pPr>
      <w:r w:rsidRPr="00492EB8">
        <w:rPr>
          <w:rFonts w:asciiTheme="minorHAnsi" w:hAnsiTheme="minorHAnsi" w:cs="Times New Roman"/>
          <w:bCs w:val="0"/>
          <w:sz w:val="28"/>
          <w:szCs w:val="16"/>
          <w:vertAlign w:val="superscript"/>
          <w:lang w:val="en-GB"/>
        </w:rPr>
        <w:lastRenderedPageBreak/>
        <w:t>(a)</w:t>
      </w:r>
      <w:r w:rsidRPr="00492EB8">
        <w:rPr>
          <w:rFonts w:asciiTheme="minorHAnsi" w:hAnsiTheme="minorHAnsi" w:cs="Times New Roman"/>
          <w:b w:val="0"/>
          <w:bCs w:val="0"/>
          <w:sz w:val="28"/>
          <w:szCs w:val="16"/>
          <w:vertAlign w:val="superscript"/>
          <w:lang w:val="en-GB"/>
        </w:rPr>
        <w:t xml:space="preserve">  </w:t>
      </w:r>
      <w:r w:rsidRPr="00492EB8">
        <w:rPr>
          <w:rFonts w:asciiTheme="minorHAnsi" w:hAnsiTheme="minorHAnsi" w:cs="Times New Roman"/>
          <w:b w:val="0"/>
          <w:bCs w:val="0"/>
          <w:sz w:val="18"/>
          <w:szCs w:val="16"/>
          <w:lang w:val="en-GB"/>
        </w:rPr>
        <w:t>The ICF must be signed by the subject and investigator before vaccination with a study vaccine.</w:t>
      </w:r>
    </w:p>
    <w:p w:rsidR="00492EB8" w:rsidRPr="00492EB8" w:rsidRDefault="00492EB8" w:rsidP="00492EB8">
      <w:pPr>
        <w:pStyle w:val="NormalR05"/>
        <w:numPr>
          <w:ilvl w:val="0"/>
          <w:numId w:val="0"/>
        </w:numPr>
        <w:spacing w:before="0"/>
        <w:rPr>
          <w:rFonts w:asciiTheme="minorHAnsi" w:hAnsiTheme="minorHAnsi" w:cs="Times New Roman"/>
          <w:sz w:val="18"/>
          <w:szCs w:val="16"/>
        </w:rPr>
      </w:pPr>
      <w:r w:rsidRPr="00492EB8">
        <w:rPr>
          <w:rFonts w:asciiTheme="minorHAnsi" w:hAnsiTheme="minorHAnsi" w:cs="Times New Roman"/>
          <w:b/>
          <w:sz w:val="28"/>
          <w:szCs w:val="16"/>
          <w:vertAlign w:val="superscript"/>
        </w:rPr>
        <w:t>(b)</w:t>
      </w:r>
      <w:r w:rsidRPr="00492EB8">
        <w:rPr>
          <w:rFonts w:asciiTheme="minorHAnsi" w:hAnsiTheme="minorHAnsi" w:cs="Times New Roman"/>
          <w:sz w:val="18"/>
          <w:szCs w:val="16"/>
          <w:vertAlign w:val="superscript"/>
        </w:rPr>
        <w:t xml:space="preserve">  </w:t>
      </w:r>
      <w:r w:rsidRPr="00492EB8">
        <w:rPr>
          <w:rFonts w:asciiTheme="minorHAnsi" w:hAnsiTheme="minorHAnsi" w:cs="Times New Roman"/>
          <w:sz w:val="18"/>
          <w:szCs w:val="16"/>
        </w:rPr>
        <w:t xml:space="preserve">At Visit 1, full physical examination (e.g. inspection of tonsils, palpation of glands, auscultation of </w:t>
      </w:r>
      <w:proofErr w:type="spellStart"/>
      <w:r w:rsidRPr="00492EB8">
        <w:rPr>
          <w:rFonts w:asciiTheme="minorHAnsi" w:hAnsiTheme="minorHAnsi" w:cs="Times New Roman"/>
          <w:sz w:val="18"/>
          <w:szCs w:val="16"/>
        </w:rPr>
        <w:t>pulm</w:t>
      </w:r>
      <w:proofErr w:type="spellEnd"/>
      <w:r w:rsidRPr="00492EB8">
        <w:rPr>
          <w:rFonts w:asciiTheme="minorHAnsi" w:hAnsiTheme="minorHAnsi" w:cs="Times New Roman"/>
          <w:sz w:val="18"/>
          <w:szCs w:val="16"/>
        </w:rPr>
        <w:t>, measuring height and weight) including ECG and vital signs (oral temperature, blood pressure, heart rate, respiratory rate). For the following visits, physical exam will be restricted to general appearance, heart, lung, skin, nose, throat and vital signs.</w:t>
      </w:r>
    </w:p>
    <w:p w:rsidR="00492EB8" w:rsidRPr="00492EB8" w:rsidRDefault="00492EB8" w:rsidP="00492EB8">
      <w:pPr>
        <w:spacing w:line="240" w:lineRule="auto"/>
        <w:ind w:right="-108"/>
        <w:jc w:val="both"/>
        <w:rPr>
          <w:rFonts w:asciiTheme="minorHAnsi" w:hAnsiTheme="minorHAnsi"/>
          <w:sz w:val="18"/>
          <w:szCs w:val="16"/>
          <w:lang w:val="en-GB" w:eastAsia="fr-FR"/>
        </w:rPr>
      </w:pPr>
      <w:r w:rsidRPr="00492EB8">
        <w:rPr>
          <w:rFonts w:asciiTheme="minorHAnsi" w:hAnsiTheme="minorHAnsi"/>
          <w:b/>
          <w:szCs w:val="16"/>
          <w:vertAlign w:val="superscript"/>
          <w:lang w:val="en-GB" w:eastAsia="fr-FR"/>
        </w:rPr>
        <w:t>(c)</w:t>
      </w:r>
      <w:r w:rsidRPr="00492EB8">
        <w:rPr>
          <w:rFonts w:asciiTheme="minorHAnsi" w:hAnsiTheme="minorHAnsi"/>
          <w:sz w:val="18"/>
          <w:szCs w:val="16"/>
          <w:vertAlign w:val="superscript"/>
          <w:lang w:val="en-GB" w:eastAsia="fr-FR"/>
        </w:rPr>
        <w:t xml:space="preserve">  </w:t>
      </w:r>
      <w:r w:rsidRPr="00492EB8">
        <w:rPr>
          <w:rFonts w:asciiTheme="minorHAnsi" w:hAnsiTheme="minorHAnsi"/>
          <w:sz w:val="18"/>
          <w:szCs w:val="16"/>
          <w:lang w:val="en-GB" w:eastAsia="fr-FR"/>
        </w:rPr>
        <w:t>Adverse events (AE) occurring within at least 6 hours post-vaccination have to be recorded at the study centre and AE occurring from Day 0 to Day 28 have to be recorded in the Diary. If a vaccine-related AE is not resolved by Day 28, it must be followed up until resolution or stabilisation.</w:t>
      </w:r>
    </w:p>
    <w:p w:rsidR="00492EB8" w:rsidRPr="00492EB8" w:rsidRDefault="00492EB8" w:rsidP="00492EB8">
      <w:pPr>
        <w:pStyle w:val="NormalR05"/>
        <w:numPr>
          <w:ilvl w:val="0"/>
          <w:numId w:val="0"/>
        </w:numPr>
        <w:spacing w:before="0"/>
        <w:rPr>
          <w:rFonts w:asciiTheme="minorHAnsi" w:hAnsiTheme="minorHAnsi" w:cs="Times New Roman"/>
          <w:sz w:val="18"/>
          <w:szCs w:val="16"/>
        </w:rPr>
      </w:pPr>
      <w:r w:rsidRPr="00492EB8">
        <w:rPr>
          <w:rFonts w:asciiTheme="minorHAnsi" w:hAnsiTheme="minorHAnsi" w:cs="Times New Roman"/>
          <w:b/>
          <w:sz w:val="28"/>
          <w:szCs w:val="16"/>
          <w:vertAlign w:val="superscript"/>
        </w:rPr>
        <w:t xml:space="preserve">(d) </w:t>
      </w:r>
      <w:r w:rsidRPr="00492EB8">
        <w:rPr>
          <w:rFonts w:asciiTheme="minorHAnsi" w:hAnsiTheme="minorHAnsi" w:cs="Times New Roman"/>
          <w:sz w:val="18"/>
          <w:szCs w:val="16"/>
        </w:rPr>
        <w:t xml:space="preserve"> Serious adverse events (SAE) occurring from Visit 1 (screening) to Visit 8 have to be recorded at the study site In the Diary SAE will be recorded up to visit 7. If an SAE is not resolved at the last visit of the concerned subject, it must be followed up until resolution or stabilisation.</w:t>
      </w:r>
    </w:p>
    <w:p w:rsidR="00492EB8" w:rsidRPr="00492EB8" w:rsidRDefault="00492EB8" w:rsidP="00492EB8">
      <w:pPr>
        <w:pStyle w:val="NormalR05"/>
        <w:numPr>
          <w:ilvl w:val="0"/>
          <w:numId w:val="0"/>
        </w:numPr>
        <w:spacing w:before="0"/>
        <w:rPr>
          <w:rFonts w:asciiTheme="minorHAnsi" w:hAnsiTheme="minorHAnsi" w:cs="Times New Roman"/>
          <w:sz w:val="18"/>
          <w:szCs w:val="16"/>
        </w:rPr>
      </w:pPr>
      <w:r w:rsidRPr="00492EB8">
        <w:rPr>
          <w:rFonts w:asciiTheme="minorHAnsi" w:hAnsiTheme="minorHAnsi" w:cs="Times New Roman"/>
          <w:b/>
          <w:bCs/>
          <w:sz w:val="28"/>
          <w:szCs w:val="16"/>
          <w:vertAlign w:val="superscript"/>
        </w:rPr>
        <w:t xml:space="preserve">(e) </w:t>
      </w:r>
      <w:r w:rsidRPr="00492EB8">
        <w:rPr>
          <w:rFonts w:asciiTheme="minorHAnsi" w:hAnsiTheme="minorHAnsi" w:cs="Times New Roman"/>
          <w:sz w:val="18"/>
          <w:szCs w:val="16"/>
        </w:rPr>
        <w:t xml:space="preserve"> </w:t>
      </w:r>
      <w:proofErr w:type="spellStart"/>
      <w:r w:rsidRPr="00492EB8">
        <w:rPr>
          <w:rFonts w:asciiTheme="minorHAnsi" w:hAnsiTheme="minorHAnsi" w:cs="Times New Roman"/>
          <w:sz w:val="18"/>
          <w:szCs w:val="16"/>
        </w:rPr>
        <w:t>Hematology</w:t>
      </w:r>
      <w:proofErr w:type="spellEnd"/>
      <w:r w:rsidRPr="00492EB8">
        <w:rPr>
          <w:rFonts w:asciiTheme="minorHAnsi" w:hAnsiTheme="minorHAnsi" w:cs="Times New Roman"/>
          <w:sz w:val="18"/>
          <w:szCs w:val="16"/>
        </w:rPr>
        <w:t xml:space="preserve"> (haemoglobin, total and differential WBC, RBC, platelets)</w:t>
      </w:r>
    </w:p>
    <w:p w:rsidR="00492EB8" w:rsidRPr="00492EB8" w:rsidRDefault="00492EB8" w:rsidP="00492EB8">
      <w:pPr>
        <w:spacing w:line="240" w:lineRule="auto"/>
        <w:jc w:val="both"/>
        <w:rPr>
          <w:rFonts w:asciiTheme="minorHAnsi" w:hAnsiTheme="minorHAnsi"/>
          <w:sz w:val="18"/>
          <w:szCs w:val="16"/>
          <w:lang w:val="en-GB" w:eastAsia="fr-FR"/>
        </w:rPr>
      </w:pPr>
      <w:r w:rsidRPr="00492EB8">
        <w:rPr>
          <w:rFonts w:asciiTheme="minorHAnsi" w:hAnsiTheme="minorHAnsi"/>
          <w:b/>
          <w:bCs/>
          <w:szCs w:val="16"/>
          <w:vertAlign w:val="superscript"/>
          <w:lang w:val="en-GB" w:eastAsia="fr-FR"/>
        </w:rPr>
        <w:t xml:space="preserve">(f) </w:t>
      </w:r>
      <w:r w:rsidRPr="00492EB8">
        <w:rPr>
          <w:rFonts w:asciiTheme="minorHAnsi" w:hAnsiTheme="minorHAnsi"/>
          <w:sz w:val="18"/>
          <w:szCs w:val="16"/>
          <w:lang w:val="en-GB" w:eastAsia="fr-FR"/>
        </w:rPr>
        <w:t xml:space="preserve"> Blood chemistry (potassium, calcium, sodium, </w:t>
      </w:r>
      <w:proofErr w:type="spellStart"/>
      <w:r w:rsidRPr="00492EB8">
        <w:rPr>
          <w:rFonts w:asciiTheme="minorHAnsi" w:hAnsiTheme="minorHAnsi"/>
          <w:sz w:val="18"/>
          <w:szCs w:val="16"/>
          <w:lang w:val="en-GB" w:eastAsia="fr-FR"/>
        </w:rPr>
        <w:t>creatinin</w:t>
      </w:r>
      <w:proofErr w:type="spellEnd"/>
      <w:r w:rsidRPr="00492EB8">
        <w:rPr>
          <w:rFonts w:asciiTheme="minorHAnsi" w:hAnsiTheme="minorHAnsi"/>
          <w:sz w:val="18"/>
          <w:szCs w:val="16"/>
          <w:lang w:val="en-GB" w:eastAsia="fr-FR"/>
        </w:rPr>
        <w:t xml:space="preserve">, albumin, serum </w:t>
      </w:r>
      <w:proofErr w:type="spellStart"/>
      <w:r w:rsidRPr="00492EB8">
        <w:rPr>
          <w:rFonts w:asciiTheme="minorHAnsi" w:hAnsiTheme="minorHAnsi"/>
          <w:sz w:val="18"/>
          <w:szCs w:val="16"/>
          <w:lang w:val="en-GB" w:eastAsia="fr-FR"/>
        </w:rPr>
        <w:t>bilirubin</w:t>
      </w:r>
      <w:proofErr w:type="spellEnd"/>
      <w:r w:rsidRPr="00492EB8">
        <w:rPr>
          <w:rFonts w:asciiTheme="minorHAnsi" w:hAnsiTheme="minorHAnsi"/>
          <w:sz w:val="18"/>
          <w:szCs w:val="16"/>
          <w:lang w:val="en-GB" w:eastAsia="fr-FR"/>
        </w:rPr>
        <w:t xml:space="preserve">, alkaline </w:t>
      </w:r>
      <w:proofErr w:type="spellStart"/>
      <w:r w:rsidRPr="00492EB8">
        <w:rPr>
          <w:rFonts w:asciiTheme="minorHAnsi" w:hAnsiTheme="minorHAnsi"/>
          <w:sz w:val="18"/>
          <w:szCs w:val="16"/>
          <w:lang w:val="en-GB" w:eastAsia="fr-FR"/>
        </w:rPr>
        <w:t>phosphatases</w:t>
      </w:r>
      <w:proofErr w:type="spellEnd"/>
      <w:r w:rsidRPr="00492EB8">
        <w:rPr>
          <w:rFonts w:asciiTheme="minorHAnsi" w:hAnsiTheme="minorHAnsi"/>
          <w:sz w:val="18"/>
          <w:szCs w:val="16"/>
          <w:lang w:val="en-GB" w:eastAsia="fr-FR"/>
        </w:rPr>
        <w:t xml:space="preserve">, </w:t>
      </w:r>
      <w:proofErr w:type="spellStart"/>
      <w:r w:rsidRPr="00492EB8">
        <w:rPr>
          <w:rFonts w:asciiTheme="minorHAnsi" w:hAnsiTheme="minorHAnsi"/>
          <w:sz w:val="18"/>
          <w:szCs w:val="16"/>
          <w:lang w:val="en-GB" w:eastAsia="fr-FR"/>
        </w:rPr>
        <w:t>alaninaminotransferase</w:t>
      </w:r>
      <w:proofErr w:type="spellEnd"/>
      <w:r w:rsidRPr="00492EB8">
        <w:rPr>
          <w:rFonts w:asciiTheme="minorHAnsi" w:hAnsiTheme="minorHAnsi"/>
          <w:sz w:val="18"/>
          <w:szCs w:val="16"/>
          <w:lang w:val="en-GB" w:eastAsia="fr-FR"/>
        </w:rPr>
        <w:t xml:space="preserve"> (ALAT), </w:t>
      </w:r>
      <w:proofErr w:type="spellStart"/>
      <w:r w:rsidRPr="00492EB8">
        <w:rPr>
          <w:rFonts w:asciiTheme="minorHAnsi" w:hAnsiTheme="minorHAnsi"/>
          <w:sz w:val="18"/>
          <w:szCs w:val="16"/>
          <w:lang w:val="en-GB" w:eastAsia="fr-FR"/>
        </w:rPr>
        <w:t>aspartataminotransferase</w:t>
      </w:r>
      <w:proofErr w:type="spellEnd"/>
      <w:r w:rsidRPr="00492EB8">
        <w:rPr>
          <w:rFonts w:asciiTheme="minorHAnsi" w:hAnsiTheme="minorHAnsi"/>
          <w:sz w:val="18"/>
          <w:szCs w:val="16"/>
          <w:lang w:val="en-GB" w:eastAsia="fr-FR"/>
        </w:rPr>
        <w:t xml:space="preserve"> (ASAT), </w:t>
      </w:r>
      <w:proofErr w:type="spellStart"/>
      <w:r w:rsidRPr="00492EB8">
        <w:rPr>
          <w:rFonts w:asciiTheme="minorHAnsi" w:hAnsiTheme="minorHAnsi"/>
          <w:sz w:val="18"/>
          <w:szCs w:val="16"/>
          <w:lang w:val="en-GB" w:eastAsia="fr-FR"/>
        </w:rPr>
        <w:t>glutamyltransferase</w:t>
      </w:r>
      <w:proofErr w:type="spellEnd"/>
      <w:r w:rsidRPr="00492EB8">
        <w:rPr>
          <w:rFonts w:asciiTheme="minorHAnsi" w:hAnsiTheme="minorHAnsi"/>
          <w:sz w:val="18"/>
          <w:szCs w:val="16"/>
          <w:lang w:val="en-GB" w:eastAsia="fr-FR"/>
        </w:rPr>
        <w:t xml:space="preserve"> (GT), high sensitive C-reactive protein, blood glucose, </w:t>
      </w:r>
      <w:proofErr w:type="spellStart"/>
      <w:r w:rsidRPr="00492EB8">
        <w:rPr>
          <w:rFonts w:asciiTheme="minorHAnsi" w:hAnsiTheme="minorHAnsi"/>
          <w:sz w:val="18"/>
          <w:szCs w:val="16"/>
          <w:lang w:val="en-GB" w:eastAsia="fr-FR"/>
        </w:rPr>
        <w:t>thyreoidea</w:t>
      </w:r>
      <w:proofErr w:type="spellEnd"/>
      <w:r w:rsidRPr="00492EB8">
        <w:rPr>
          <w:rFonts w:asciiTheme="minorHAnsi" w:hAnsiTheme="minorHAnsi"/>
          <w:sz w:val="18"/>
          <w:szCs w:val="16"/>
          <w:lang w:val="en-GB" w:eastAsia="fr-FR"/>
        </w:rPr>
        <w:t xml:space="preserve"> stimulating hormone (TSH).</w:t>
      </w:r>
    </w:p>
    <w:p w:rsidR="00492EB8" w:rsidRPr="00492EB8" w:rsidRDefault="00492EB8" w:rsidP="00492EB8">
      <w:pPr>
        <w:spacing w:line="240" w:lineRule="auto"/>
        <w:ind w:right="-108"/>
        <w:jc w:val="both"/>
        <w:rPr>
          <w:rFonts w:asciiTheme="minorHAnsi" w:hAnsiTheme="minorHAnsi"/>
          <w:sz w:val="18"/>
          <w:szCs w:val="16"/>
          <w:lang w:val="en-GB" w:eastAsia="fr-FR"/>
        </w:rPr>
      </w:pPr>
      <w:r w:rsidRPr="00492EB8">
        <w:rPr>
          <w:rFonts w:asciiTheme="minorHAnsi" w:hAnsiTheme="minorHAnsi"/>
          <w:b/>
          <w:bCs/>
          <w:szCs w:val="16"/>
          <w:vertAlign w:val="superscript"/>
          <w:lang w:val="en-GB" w:eastAsia="fr-FR"/>
        </w:rPr>
        <w:t xml:space="preserve">(g) </w:t>
      </w:r>
      <w:r w:rsidRPr="00492EB8">
        <w:rPr>
          <w:rFonts w:asciiTheme="minorHAnsi" w:hAnsiTheme="minorHAnsi"/>
          <w:b/>
          <w:bCs/>
          <w:sz w:val="18"/>
          <w:szCs w:val="16"/>
          <w:vertAlign w:val="superscript"/>
          <w:lang w:val="en-GB" w:eastAsia="fr-FR"/>
        </w:rPr>
        <w:t xml:space="preserve"> </w:t>
      </w:r>
      <w:r w:rsidRPr="00492EB8">
        <w:rPr>
          <w:rFonts w:asciiTheme="minorHAnsi" w:hAnsiTheme="minorHAnsi"/>
          <w:sz w:val="18"/>
          <w:szCs w:val="16"/>
          <w:lang w:val="en-GB" w:eastAsia="fr-FR"/>
        </w:rPr>
        <w:t xml:space="preserve">Including HIV1/HIV2, </w:t>
      </w:r>
      <w:proofErr w:type="spellStart"/>
      <w:r w:rsidRPr="00492EB8">
        <w:rPr>
          <w:rFonts w:asciiTheme="minorHAnsi" w:hAnsiTheme="minorHAnsi"/>
          <w:sz w:val="18"/>
          <w:szCs w:val="16"/>
          <w:lang w:val="en-GB" w:eastAsia="fr-FR"/>
        </w:rPr>
        <w:t>HBsAg</w:t>
      </w:r>
      <w:proofErr w:type="spellEnd"/>
      <w:r w:rsidRPr="00492EB8">
        <w:rPr>
          <w:rFonts w:asciiTheme="minorHAnsi" w:hAnsiTheme="minorHAnsi"/>
          <w:sz w:val="18"/>
          <w:szCs w:val="16"/>
          <w:lang w:val="en-GB" w:eastAsia="fr-FR"/>
        </w:rPr>
        <w:t>, anti-</w:t>
      </w:r>
      <w:proofErr w:type="spellStart"/>
      <w:r w:rsidRPr="00492EB8">
        <w:rPr>
          <w:rFonts w:asciiTheme="minorHAnsi" w:hAnsiTheme="minorHAnsi"/>
          <w:sz w:val="18"/>
          <w:szCs w:val="16"/>
          <w:lang w:val="en-GB" w:eastAsia="fr-FR"/>
        </w:rPr>
        <w:t>HBc</w:t>
      </w:r>
      <w:proofErr w:type="spellEnd"/>
      <w:r w:rsidRPr="00492EB8">
        <w:rPr>
          <w:rFonts w:asciiTheme="minorHAnsi" w:hAnsiTheme="minorHAnsi"/>
          <w:sz w:val="18"/>
          <w:szCs w:val="16"/>
          <w:lang w:val="en-GB" w:eastAsia="fr-FR"/>
        </w:rPr>
        <w:t xml:space="preserve"> and anti-HCV.</w:t>
      </w:r>
    </w:p>
    <w:p w:rsidR="00492EB8" w:rsidRPr="00492EB8" w:rsidRDefault="00492EB8" w:rsidP="00492EB8">
      <w:pPr>
        <w:spacing w:line="240" w:lineRule="auto"/>
        <w:ind w:right="-108"/>
        <w:jc w:val="both"/>
        <w:rPr>
          <w:rFonts w:asciiTheme="minorHAnsi" w:hAnsiTheme="minorHAnsi"/>
          <w:sz w:val="18"/>
          <w:szCs w:val="16"/>
          <w:lang w:val="en-GB" w:eastAsia="fr-FR"/>
        </w:rPr>
      </w:pPr>
      <w:r w:rsidRPr="00492EB8">
        <w:rPr>
          <w:rFonts w:asciiTheme="minorHAnsi" w:hAnsiTheme="minorHAnsi"/>
          <w:b/>
          <w:bCs/>
          <w:szCs w:val="16"/>
          <w:vertAlign w:val="superscript"/>
          <w:lang w:val="en-GB" w:eastAsia="fr-FR"/>
        </w:rPr>
        <w:t xml:space="preserve">(h) </w:t>
      </w:r>
      <w:r w:rsidRPr="00492EB8">
        <w:rPr>
          <w:rFonts w:asciiTheme="minorHAnsi" w:hAnsiTheme="minorHAnsi"/>
          <w:b/>
          <w:bCs/>
          <w:sz w:val="18"/>
          <w:szCs w:val="16"/>
          <w:vertAlign w:val="superscript"/>
          <w:lang w:val="en-GB" w:eastAsia="fr-FR"/>
        </w:rPr>
        <w:t xml:space="preserve"> </w:t>
      </w:r>
      <w:r w:rsidRPr="00492EB8">
        <w:rPr>
          <w:rFonts w:asciiTheme="minorHAnsi" w:hAnsiTheme="minorHAnsi"/>
          <w:sz w:val="18"/>
          <w:szCs w:val="16"/>
          <w:lang w:val="en-GB" w:eastAsia="fr-FR"/>
        </w:rPr>
        <w:t xml:space="preserve">Dipstick analysis of pH, erythrocytes, leucocytes, protein, glucose, </w:t>
      </w:r>
      <w:proofErr w:type="spellStart"/>
      <w:r w:rsidRPr="00492EB8">
        <w:rPr>
          <w:rFonts w:asciiTheme="minorHAnsi" w:hAnsiTheme="minorHAnsi"/>
          <w:sz w:val="18"/>
          <w:szCs w:val="16"/>
          <w:lang w:val="en-GB" w:eastAsia="fr-FR"/>
        </w:rPr>
        <w:t>ketones</w:t>
      </w:r>
      <w:proofErr w:type="spellEnd"/>
      <w:r w:rsidRPr="00492EB8">
        <w:rPr>
          <w:rFonts w:asciiTheme="minorHAnsi" w:hAnsiTheme="minorHAnsi"/>
          <w:sz w:val="18"/>
          <w:szCs w:val="16"/>
          <w:lang w:val="en-GB" w:eastAsia="fr-FR"/>
        </w:rPr>
        <w:t xml:space="preserve"> and bacteria (nitrite) and the drugs </w:t>
      </w:r>
      <w:r w:rsidRPr="00492EB8">
        <w:rPr>
          <w:rFonts w:asciiTheme="minorHAnsi" w:hAnsiTheme="minorHAnsi"/>
          <w:sz w:val="18"/>
          <w:szCs w:val="16"/>
          <w:lang w:val="en-GB"/>
        </w:rPr>
        <w:t xml:space="preserve">cocaine, amphetamine, cannabis, morphine, benzodiazepines, and </w:t>
      </w:r>
      <w:proofErr w:type="spellStart"/>
      <w:r w:rsidRPr="00492EB8">
        <w:rPr>
          <w:rFonts w:asciiTheme="minorHAnsi" w:hAnsiTheme="minorHAnsi"/>
          <w:sz w:val="18"/>
          <w:szCs w:val="16"/>
          <w:lang w:val="en-GB"/>
        </w:rPr>
        <w:t>methylenedioxymethamphetamine</w:t>
      </w:r>
      <w:proofErr w:type="spellEnd"/>
      <w:r w:rsidRPr="00492EB8">
        <w:rPr>
          <w:rFonts w:asciiTheme="minorHAnsi" w:hAnsiTheme="minorHAnsi"/>
          <w:sz w:val="18"/>
          <w:szCs w:val="16"/>
          <w:lang w:val="en-GB"/>
        </w:rPr>
        <w:t>.</w:t>
      </w:r>
    </w:p>
    <w:p w:rsidR="00492EB8" w:rsidRPr="00492EB8" w:rsidRDefault="00492EB8" w:rsidP="00492EB8">
      <w:pPr>
        <w:spacing w:line="240" w:lineRule="auto"/>
        <w:ind w:right="-108"/>
        <w:jc w:val="both"/>
        <w:rPr>
          <w:rFonts w:asciiTheme="minorHAnsi" w:hAnsiTheme="minorHAnsi"/>
          <w:sz w:val="18"/>
          <w:szCs w:val="16"/>
          <w:lang w:val="en-GB" w:eastAsia="fr-FR"/>
        </w:rPr>
      </w:pPr>
      <w:r w:rsidRPr="00492EB8">
        <w:rPr>
          <w:rFonts w:asciiTheme="minorHAnsi" w:hAnsiTheme="minorHAnsi"/>
          <w:b/>
          <w:bCs/>
          <w:szCs w:val="16"/>
          <w:vertAlign w:val="superscript"/>
          <w:lang w:val="en-GB" w:eastAsia="fr-FR"/>
        </w:rPr>
        <w:t>(</w:t>
      </w:r>
      <w:proofErr w:type="spellStart"/>
      <w:r w:rsidRPr="00492EB8">
        <w:rPr>
          <w:rFonts w:asciiTheme="minorHAnsi" w:hAnsiTheme="minorHAnsi"/>
          <w:b/>
          <w:bCs/>
          <w:szCs w:val="16"/>
          <w:vertAlign w:val="superscript"/>
          <w:lang w:val="en-GB" w:eastAsia="fr-FR"/>
        </w:rPr>
        <w:t>i</w:t>
      </w:r>
      <w:proofErr w:type="spellEnd"/>
      <w:r w:rsidRPr="00492EB8">
        <w:rPr>
          <w:rFonts w:asciiTheme="minorHAnsi" w:hAnsiTheme="minorHAnsi"/>
          <w:b/>
          <w:bCs/>
          <w:szCs w:val="16"/>
          <w:vertAlign w:val="superscript"/>
          <w:lang w:val="en-GB" w:eastAsia="fr-FR"/>
        </w:rPr>
        <w:t xml:space="preserve">) </w:t>
      </w:r>
      <w:r w:rsidRPr="00492EB8">
        <w:rPr>
          <w:rFonts w:asciiTheme="minorHAnsi" w:hAnsiTheme="minorHAnsi"/>
          <w:b/>
          <w:bCs/>
          <w:sz w:val="18"/>
          <w:szCs w:val="16"/>
          <w:vertAlign w:val="superscript"/>
          <w:lang w:val="en-GB" w:eastAsia="fr-FR"/>
        </w:rPr>
        <w:t xml:space="preserve"> </w:t>
      </w:r>
      <w:r w:rsidRPr="00492EB8">
        <w:rPr>
          <w:rFonts w:asciiTheme="minorHAnsi" w:hAnsiTheme="minorHAnsi"/>
          <w:sz w:val="18"/>
          <w:szCs w:val="16"/>
          <w:lang w:val="en-GB" w:eastAsia="fr-FR"/>
        </w:rPr>
        <w:t>If positive culture after 4 weeks a new nasopharyngeal sample should be collected 2-3 weeks later for culture.</w:t>
      </w:r>
    </w:p>
    <w:p w:rsidR="00492EB8" w:rsidRPr="00492EB8" w:rsidRDefault="00492EB8" w:rsidP="00492EB8">
      <w:pPr>
        <w:spacing w:line="240" w:lineRule="auto"/>
        <w:rPr>
          <w:rFonts w:asciiTheme="minorHAnsi" w:eastAsia="Arial Unicode MS" w:hAnsiTheme="minorHAnsi"/>
          <w:b/>
          <w:bCs/>
          <w:sz w:val="22"/>
          <w:szCs w:val="24"/>
          <w:lang w:val="en-GB"/>
        </w:rPr>
      </w:pPr>
    </w:p>
    <w:p w:rsidR="00FF29B8" w:rsidRPr="00492EB8" w:rsidRDefault="00FF29B8">
      <w:pPr>
        <w:rPr>
          <w:lang w:val="en-GB"/>
        </w:rPr>
      </w:pPr>
    </w:p>
    <w:sectPr w:rsidR="00FF29B8" w:rsidRPr="00492EB8" w:rsidSect="00492EB8">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drawingGridHorizontalSpacing w:val="110"/>
  <w:displayHorizontalDrawingGridEvery w:val="2"/>
  <w:characterSpacingControl w:val="doNotCompress"/>
  <w:compat/>
  <w:rsids>
    <w:rsidRoot w:val="00492EB8"/>
    <w:rsid w:val="00492EB8"/>
    <w:rsid w:val="00B954BD"/>
    <w:rsid w:val="00CC5E46"/>
    <w:rsid w:val="00DD5B32"/>
    <w:rsid w:val="00EA49EE"/>
    <w:rsid w:val="00FF29B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EB8"/>
    <w:pPr>
      <w:spacing w:after="0" w:line="480" w:lineRule="auto"/>
    </w:pPr>
    <w:rPr>
      <w:rFonts w:ascii="Times New Roman" w:eastAsia="Times New Roman" w:hAnsi="Times New Roman" w:cs="Times New Roman"/>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R05">
    <w:name w:val="NormalR0.5"/>
    <w:basedOn w:val="Normal"/>
    <w:uiPriority w:val="99"/>
    <w:rsid w:val="00492EB8"/>
    <w:pPr>
      <w:widowControl w:val="0"/>
      <w:numPr>
        <w:ilvl w:val="12"/>
      </w:numPr>
      <w:spacing w:before="120" w:line="240" w:lineRule="auto"/>
      <w:jc w:val="both"/>
    </w:pPr>
    <w:rPr>
      <w:rFonts w:ascii="Times" w:hAnsi="Times" w:cs="Times"/>
      <w:sz w:val="22"/>
      <w:szCs w:val="22"/>
      <w:lang w:val="en-GB" w:eastAsia="fr-FR"/>
    </w:rPr>
  </w:style>
  <w:style w:type="paragraph" w:styleId="Rubrik">
    <w:name w:val="Title"/>
    <w:aliases w:val="wcp_Title"/>
    <w:basedOn w:val="Normal"/>
    <w:link w:val="RubrikChar"/>
    <w:uiPriority w:val="99"/>
    <w:qFormat/>
    <w:rsid w:val="00492EB8"/>
    <w:pPr>
      <w:spacing w:line="240" w:lineRule="auto"/>
      <w:jc w:val="center"/>
    </w:pPr>
    <w:rPr>
      <w:rFonts w:ascii="Arial Unicode MS" w:eastAsia="Arial Unicode MS" w:cs="Arial Unicode MS"/>
      <w:b/>
      <w:bCs/>
      <w:sz w:val="24"/>
      <w:szCs w:val="24"/>
      <w:lang w:val="fr-FR" w:eastAsia="fr-FR"/>
    </w:rPr>
  </w:style>
  <w:style w:type="character" w:customStyle="1" w:styleId="RubrikChar">
    <w:name w:val="Rubrik Char"/>
    <w:aliases w:val="wcp_Title Char"/>
    <w:basedOn w:val="Standardstycketeckensnitt"/>
    <w:link w:val="Rubrik"/>
    <w:uiPriority w:val="99"/>
    <w:rsid w:val="00492EB8"/>
    <w:rPr>
      <w:rFonts w:ascii="Arial Unicode MS" w:eastAsia="Arial Unicode MS" w:hAnsi="Times New Roman" w:cs="Arial Unicode MS"/>
      <w:b/>
      <w:bCs/>
      <w:sz w:val="24"/>
      <w:szCs w:val="24"/>
      <w:lang w:val="fr-FR" w:eastAsia="fr-FR"/>
    </w:rPr>
  </w:style>
  <w:style w:type="table" w:styleId="Tabellrutnt">
    <w:name w:val="Table Grid"/>
    <w:basedOn w:val="Normaltabell"/>
    <w:uiPriority w:val="59"/>
    <w:rsid w:val="00DD5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463</Words>
  <Characters>2458</Characters>
  <Application>Microsoft Office Word</Application>
  <DocSecurity>0</DocSecurity>
  <Lines>20</Lines>
  <Paragraphs>5</Paragraphs>
  <ScaleCrop>false</ScaleCrop>
  <Company>Smittskyddsinstitutet</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Wehlin</dc:creator>
  <cp:lastModifiedBy>rigmor thorstensson</cp:lastModifiedBy>
  <cp:revision>2</cp:revision>
  <dcterms:created xsi:type="dcterms:W3CDTF">2013-11-19T14:47:00Z</dcterms:created>
  <dcterms:modified xsi:type="dcterms:W3CDTF">2013-11-19T14:47:00Z</dcterms:modified>
</cp:coreProperties>
</file>