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59" w:rsidRPr="00F54385" w:rsidRDefault="00774217">
      <w:pPr>
        <w:rPr>
          <w:b/>
          <w:sz w:val="24"/>
          <w:szCs w:val="24"/>
        </w:rPr>
      </w:pPr>
      <w:bookmarkStart w:id="0" w:name="_GoBack"/>
      <w:bookmarkEnd w:id="0"/>
      <w:r>
        <w:rPr>
          <w:b/>
          <w:sz w:val="24"/>
          <w:szCs w:val="24"/>
        </w:rPr>
        <w:t xml:space="preserve">S </w:t>
      </w:r>
      <w:r w:rsidR="0051777A">
        <w:rPr>
          <w:b/>
          <w:sz w:val="24"/>
          <w:szCs w:val="24"/>
        </w:rPr>
        <w:t>1</w:t>
      </w:r>
      <w:r w:rsidR="00AA0AB8" w:rsidRPr="00F54385">
        <w:rPr>
          <w:b/>
          <w:sz w:val="24"/>
          <w:szCs w:val="24"/>
        </w:rPr>
        <w:t xml:space="preserve"> – </w:t>
      </w:r>
      <w:r w:rsidR="00AD29C1" w:rsidRPr="00F54385">
        <w:rPr>
          <w:b/>
          <w:sz w:val="24"/>
          <w:szCs w:val="24"/>
        </w:rPr>
        <w:t>Parameters</w:t>
      </w:r>
      <w:r w:rsidR="00AA0AB8" w:rsidRPr="00F54385">
        <w:rPr>
          <w:b/>
          <w:sz w:val="24"/>
          <w:szCs w:val="24"/>
        </w:rPr>
        <w:t xml:space="preserve"> of uptake kinetics </w:t>
      </w:r>
    </w:p>
    <w:p w:rsidR="00B86173" w:rsidRDefault="00DC19EA">
      <w:r w:rsidRPr="00F54385">
        <w:t>In this section we discuss the consequences of using 2 or 3 parameters to describe nitrogen uptake kinetics in (</w:t>
      </w:r>
      <w:r w:rsidRPr="00F54385">
        <w:rPr>
          <w:i/>
        </w:rPr>
        <w:t>Sphagnum</w:t>
      </w:r>
      <w:r w:rsidRPr="00F54385">
        <w:t xml:space="preserve">) mosses. </w:t>
      </w:r>
      <w:r w:rsidR="00B86173" w:rsidRPr="00F54385">
        <w:t xml:space="preserve">To our knowledge </w:t>
      </w:r>
      <w:r w:rsidR="002B51B8">
        <w:t xml:space="preserve">most studies on </w:t>
      </w:r>
      <w:r w:rsidR="00B86173" w:rsidRPr="00F54385">
        <w:t>nitrogen uptake kinetics</w:t>
      </w:r>
      <w:r w:rsidR="002B51B8">
        <w:t xml:space="preserve"> in mosses have used </w:t>
      </w:r>
      <w:r w:rsidR="00F54385">
        <w:t xml:space="preserve">a 2-parameter </w:t>
      </w:r>
      <w:proofErr w:type="spellStart"/>
      <w:r w:rsidR="00F54385">
        <w:t>Mich</w:t>
      </w:r>
      <w:r w:rsidR="00B86173" w:rsidRPr="00F54385">
        <w:t>a</w:t>
      </w:r>
      <w:r w:rsidR="00F54385">
        <w:t>e</w:t>
      </w:r>
      <w:r w:rsidR="009805F0">
        <w:t>lis-Menten</w:t>
      </w:r>
      <w:proofErr w:type="spellEnd"/>
      <w:r w:rsidR="009805F0">
        <w:t xml:space="preserve"> </w:t>
      </w:r>
      <w:r w:rsidR="00B86173" w:rsidRPr="00F54385">
        <w:t>equation</w:t>
      </w:r>
      <w:r w:rsidR="009805F0">
        <w:t xml:space="preserve"> (Eq. 3) </w:t>
      </w:r>
      <w:r w:rsidR="00590111" w:rsidRPr="00F54385">
        <w:t>[</w:t>
      </w:r>
      <w:r w:rsidR="002B51B8">
        <w:t>16,</w:t>
      </w:r>
      <w:r w:rsidR="009805F0">
        <w:t xml:space="preserve"> 39, </w:t>
      </w:r>
      <w:r w:rsidR="00085518">
        <w:t>and 47</w:t>
      </w:r>
      <w:r w:rsidR="002B51B8">
        <w:t>]</w:t>
      </w:r>
      <w:r w:rsidR="00B86173" w:rsidRPr="00F54385">
        <w:t xml:space="preserve">. </w:t>
      </w:r>
      <w:r w:rsidR="00D77F8E" w:rsidRPr="00F54385">
        <w:t>The first compon</w:t>
      </w:r>
      <w:r w:rsidR="00B86173" w:rsidRPr="00F54385">
        <w:t xml:space="preserve">ent, </w:t>
      </w:r>
      <w:proofErr w:type="spellStart"/>
      <w:r w:rsidR="00B86173" w:rsidRPr="00F54385">
        <w:t>V</w:t>
      </w:r>
      <w:r w:rsidR="00B86173" w:rsidRPr="00F54385">
        <w:rPr>
          <w:vertAlign w:val="subscript"/>
        </w:rPr>
        <w:t>max</w:t>
      </w:r>
      <w:proofErr w:type="spellEnd"/>
      <w:r w:rsidR="00D77F8E" w:rsidRPr="00F54385">
        <w:t xml:space="preserve">, </w:t>
      </w:r>
      <w:r w:rsidR="00B86173" w:rsidRPr="00F54385">
        <w:t xml:space="preserve">describes the plateau </w:t>
      </w:r>
      <w:r w:rsidR="00590111" w:rsidRPr="00F54385">
        <w:t>at which</w:t>
      </w:r>
      <w:r w:rsidR="00B86173" w:rsidRPr="00F54385">
        <w:t xml:space="preserve"> </w:t>
      </w:r>
      <w:r w:rsidR="00590111" w:rsidRPr="00F54385">
        <w:t>uptake rates level off for high nitrogen</w:t>
      </w:r>
      <w:r w:rsidR="00D77F8E" w:rsidRPr="00F54385">
        <w:t xml:space="preserve"> concentrations. The second component (also</w:t>
      </w:r>
      <w:r w:rsidR="00774217">
        <w:t xml:space="preserve"> termed</w:t>
      </w:r>
      <w:r w:rsidR="00D77F8E" w:rsidRPr="00F54385">
        <w:t xml:space="preserve"> </w:t>
      </w:r>
      <w:r w:rsidR="00774217">
        <w:t>‘</w:t>
      </w:r>
      <w:r w:rsidR="00D77F8E" w:rsidRPr="00F54385">
        <w:t>half saturation constant</w:t>
      </w:r>
      <w:r w:rsidR="00774217">
        <w:t>’</w:t>
      </w:r>
      <w:r w:rsidR="00D77F8E" w:rsidRPr="00F54385">
        <w:t xml:space="preserve">), </w:t>
      </w:r>
      <w:r w:rsidR="00085518" w:rsidRPr="00F54385">
        <w:t>K</w:t>
      </w:r>
      <w:r w:rsidR="00085518" w:rsidRPr="00F54385">
        <w:rPr>
          <w:vertAlign w:val="subscript"/>
        </w:rPr>
        <w:t>m</w:t>
      </w:r>
      <w:r w:rsidR="00085518" w:rsidRPr="00F54385">
        <w:t>,</w:t>
      </w:r>
      <w:r w:rsidR="00D77F8E" w:rsidRPr="00F54385">
        <w:t xml:space="preserve"> stands for the substrate concentration at which uptake occurs at half of the maximal uptake </w:t>
      </w:r>
      <w:proofErr w:type="spellStart"/>
      <w:r w:rsidR="00D77F8E" w:rsidRPr="00F54385">
        <w:t>V</w:t>
      </w:r>
      <w:r w:rsidR="00D77F8E" w:rsidRPr="00F54385">
        <w:rPr>
          <w:vertAlign w:val="subscript"/>
        </w:rPr>
        <w:t>max</w:t>
      </w:r>
      <w:proofErr w:type="spellEnd"/>
      <w:r w:rsidR="00D77F8E" w:rsidRPr="00F54385">
        <w:t xml:space="preserve">. </w:t>
      </w:r>
      <w:r w:rsidRPr="00F54385">
        <w:t xml:space="preserve">However, a large body of experimental data suggests that uptake rates can still increase at high concentrations (e.g. uptake rate curves that keep trending upwards with increasing substrate </w:t>
      </w:r>
      <w:r w:rsidRPr="00774217">
        <w:t>concentration) literature [4</w:t>
      </w:r>
      <w:r w:rsidR="002B51B8" w:rsidRPr="00774217">
        <w:t>5</w:t>
      </w:r>
      <w:r w:rsidRPr="00774217">
        <w:t>, 4</w:t>
      </w:r>
      <w:r w:rsidR="002B51B8" w:rsidRPr="00774217">
        <w:t>6</w:t>
      </w:r>
      <w:r w:rsidRPr="0077421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B51B8" w:rsidTr="002B51B8">
        <w:tc>
          <w:tcPr>
            <w:tcW w:w="4788" w:type="dxa"/>
          </w:tcPr>
          <w:p w:rsidR="002B51B8" w:rsidRDefault="00DB0FC3" w:rsidP="00DB0FC3">
            <w:r w:rsidRPr="00DB0FC3">
              <w:rPr>
                <w:position w:val="-32"/>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34.95pt" o:ole="">
                  <v:imagedata r:id="rId6" o:title=""/>
                </v:shape>
                <o:OLEObject Type="Embed" ProgID="Equation.DSMT4" ShapeID="_x0000_i1025" DrawAspect="Content" ObjectID="_1322636146" r:id="rId7"/>
              </w:object>
            </w:r>
            <w:r w:rsidR="002B51B8" w:rsidRPr="00DA46F6">
              <w:t xml:space="preserve"> </w:t>
            </w:r>
            <w:r w:rsidR="002B51B8">
              <w:t xml:space="preserve">   </w:t>
            </w:r>
          </w:p>
        </w:tc>
        <w:tc>
          <w:tcPr>
            <w:tcW w:w="4788" w:type="dxa"/>
          </w:tcPr>
          <w:p w:rsidR="002B51B8" w:rsidRPr="00F54385" w:rsidRDefault="002B51B8" w:rsidP="002B51B8">
            <w:pPr>
              <w:jc w:val="right"/>
            </w:pPr>
            <w:r>
              <w:t>(Eq. 3)</w:t>
            </w:r>
          </w:p>
          <w:p w:rsidR="002B51B8" w:rsidRDefault="002B51B8"/>
        </w:tc>
      </w:tr>
    </w:tbl>
    <w:p w:rsidR="001D7D9B" w:rsidRDefault="001D7D9B" w:rsidP="00AB62C4"/>
    <w:p w:rsidR="00AB62C4" w:rsidRDefault="00091C19" w:rsidP="00AB62C4">
      <w:r w:rsidRPr="00F54385">
        <w:t>From Figure 1</w:t>
      </w:r>
      <w:r w:rsidR="00F71A26">
        <w:t xml:space="preserve"> (main document)</w:t>
      </w:r>
      <w:r w:rsidRPr="00F54385">
        <w:t xml:space="preserve"> it can be inferred that a</w:t>
      </w:r>
      <w:r w:rsidR="00BA6B35" w:rsidRPr="00F54385">
        <w:t>n uptake curve (rectangular parabolic) using</w:t>
      </w:r>
      <w:r w:rsidRPr="00F54385">
        <w:t xml:space="preserve"> 3 parameter</w:t>
      </w:r>
      <w:r w:rsidR="00BA6B35" w:rsidRPr="00F54385">
        <w:t>s</w:t>
      </w:r>
      <w:r w:rsidRPr="00F54385">
        <w:t xml:space="preserve"> </w:t>
      </w:r>
      <w:r w:rsidR="00BA6B35" w:rsidRPr="00F54385">
        <w:t xml:space="preserve">describes the observed uptake rates (r²=0.97 for nitrate and r²=0.98 for ammonium) better than curves based on a 2-parameter </w:t>
      </w:r>
      <w:proofErr w:type="spellStart"/>
      <w:r w:rsidR="00BA6B35" w:rsidRPr="00F54385">
        <w:t>Michealis-Menten</w:t>
      </w:r>
      <w:proofErr w:type="spellEnd"/>
      <w:r w:rsidR="00BA6B35" w:rsidRPr="00F54385">
        <w:t xml:space="preserve"> approach (r²=0.81 for nitrate and r²=0.93 for ammonium)</w:t>
      </w:r>
      <w:r w:rsidR="00E806F7">
        <w:t xml:space="preserve"> as reported in Table S1</w:t>
      </w:r>
      <w:r w:rsidR="00BA6B35" w:rsidRPr="00F54385">
        <w:t>.</w:t>
      </w:r>
      <w:r w:rsidR="00FD16EF" w:rsidRPr="00F54385">
        <w:t xml:space="preserve"> </w:t>
      </w:r>
    </w:p>
    <w:p w:rsidR="00AB62C4" w:rsidRDefault="00AB62C4" w:rsidP="00AB62C4">
      <w:r>
        <w:t xml:space="preserve">Table S1: </w:t>
      </w:r>
      <w:r w:rsidR="00085518">
        <w:t>Comparison</w:t>
      </w:r>
      <w:r>
        <w:t xml:space="preserve"> of fits based</w:t>
      </w:r>
      <w:r w:rsidR="00CD6BC9">
        <w:t xml:space="preserve"> on AIC values of equation 1 (3-parameters) and equation 2 (simpler, 2-parameters). The comparison was performed in </w:t>
      </w:r>
      <w:r w:rsidR="00085518">
        <w:t>Prism</w:t>
      </w:r>
      <w:r w:rsidR="00CD6BC9">
        <w:t xml:space="preserve"> 6 ® </w:t>
      </w:r>
      <w:proofErr w:type="spellStart"/>
      <w:r w:rsidR="00CD6BC9">
        <w:t>Graphpad</w:t>
      </w:r>
      <w:proofErr w:type="spellEnd"/>
      <w:r w:rsidR="00CD6BC9">
        <w:t xml:space="preserve"> software. Comparing fittings based on a </w:t>
      </w:r>
      <w:r w:rsidR="00CD6BC9" w:rsidRPr="00CD6BC9">
        <w:t>square root of residuals</w:t>
      </w:r>
      <w:r w:rsidR="00CD6BC9">
        <w:t xml:space="preserve"> also </w:t>
      </w:r>
      <w:r w:rsidR="00085518">
        <w:t>preferred</w:t>
      </w:r>
      <w:r w:rsidR="00CD6BC9">
        <w:t xml:space="preserve"> a fit based on Eq. 1. </w:t>
      </w:r>
    </w:p>
    <w:tbl>
      <w:tblPr>
        <w:tblW w:w="9072" w:type="dxa"/>
        <w:tblCellMar>
          <w:left w:w="0" w:type="dxa"/>
          <w:right w:w="0" w:type="dxa"/>
        </w:tblCellMar>
        <w:tblLook w:val="04A0" w:firstRow="1" w:lastRow="0" w:firstColumn="1" w:lastColumn="0" w:noHBand="0" w:noVBand="1"/>
      </w:tblPr>
      <w:tblGrid>
        <w:gridCol w:w="2391"/>
        <w:gridCol w:w="3705"/>
        <w:gridCol w:w="2976"/>
      </w:tblGrid>
      <w:tr w:rsidR="00AB62C4" w:rsidRPr="00391DCA" w:rsidTr="008A7A16">
        <w:trPr>
          <w:gridAfter w:val="1"/>
          <w:wAfter w:w="2976" w:type="dxa"/>
        </w:trPr>
        <w:tc>
          <w:tcPr>
            <w:tcW w:w="2391" w:type="dxa"/>
            <w:vAlign w:val="center"/>
            <w:hideMark/>
          </w:tcPr>
          <w:p w:rsidR="00AB62C4" w:rsidRPr="00391DCA" w:rsidRDefault="00AB62C4" w:rsidP="00774217">
            <w:pPr>
              <w:spacing w:after="0" w:line="240" w:lineRule="auto"/>
              <w:rPr>
                <w:rFonts w:ascii="Times New Roman" w:eastAsia="Times New Roman" w:hAnsi="Times New Roman" w:cs="Times New Roman"/>
                <w:b/>
                <w:bCs/>
                <w:sz w:val="24"/>
                <w:szCs w:val="24"/>
                <w:lang w:val="en-US"/>
              </w:rPr>
            </w:pPr>
          </w:p>
        </w:tc>
        <w:tc>
          <w:tcPr>
            <w:tcW w:w="3705" w:type="dxa"/>
            <w:vAlign w:val="center"/>
          </w:tcPr>
          <w:p w:rsidR="00AB62C4" w:rsidRPr="00391DCA" w:rsidRDefault="00AB62C4" w:rsidP="00774217">
            <w:pPr>
              <w:spacing w:after="0" w:line="240" w:lineRule="auto"/>
              <w:rPr>
                <w:rFonts w:ascii="Times New Roman" w:eastAsia="Times New Roman" w:hAnsi="Times New Roman" w:cs="Times New Roman"/>
                <w:b/>
                <w:bCs/>
                <w:sz w:val="24"/>
                <w:szCs w:val="24"/>
                <w:lang w:val="en-US"/>
              </w:rPr>
            </w:pPr>
          </w:p>
        </w:tc>
      </w:tr>
      <w:tr w:rsidR="00AB62C4" w:rsidRPr="00391DCA" w:rsidTr="008A7A16">
        <w:tc>
          <w:tcPr>
            <w:tcW w:w="2391" w:type="dxa"/>
            <w:tcBorders>
              <w:top w:val="single" w:sz="4" w:space="0" w:color="auto"/>
              <w:left w:val="single" w:sz="4" w:space="0" w:color="auto"/>
              <w:bottom w:val="single" w:sz="6" w:space="0" w:color="auto"/>
              <w:right w:val="single" w:sz="6" w:space="0" w:color="auto"/>
            </w:tcBorders>
            <w:vAlign w:val="center"/>
            <w:hideMark/>
          </w:tcPr>
          <w:p w:rsidR="00AB62C4" w:rsidRDefault="00AB62C4" w:rsidP="008A7A16">
            <w:pPr>
              <w:spacing w:after="0" w:line="240" w:lineRule="auto"/>
              <w:rPr>
                <w:rFonts w:ascii="Times New Roman" w:eastAsia="Times New Roman" w:hAnsi="Times New Roman" w:cs="Times New Roman"/>
                <w:sz w:val="24"/>
                <w:szCs w:val="24"/>
                <w:lang w:val="en-US"/>
              </w:rPr>
            </w:pPr>
          </w:p>
          <w:p w:rsidR="00AB62C4" w:rsidRPr="00391DCA" w:rsidRDefault="00AB62C4" w:rsidP="008A7A16">
            <w:pPr>
              <w:spacing w:after="0" w:line="240" w:lineRule="auto"/>
              <w:rPr>
                <w:rFonts w:ascii="Times New Roman" w:eastAsia="Times New Roman" w:hAnsi="Times New Roman" w:cs="Times New Roman"/>
                <w:sz w:val="24"/>
                <w:szCs w:val="24"/>
                <w:lang w:val="en-US"/>
              </w:rPr>
            </w:pPr>
            <w:r w:rsidRPr="00391DCA">
              <w:rPr>
                <w:rFonts w:ascii="Times New Roman" w:eastAsia="Times New Roman" w:hAnsi="Times New Roman" w:cs="Times New Roman"/>
                <w:sz w:val="24"/>
                <w:szCs w:val="24"/>
                <w:lang w:val="en-US"/>
              </w:rPr>
              <w:t>Comparison of Fits</w:t>
            </w:r>
          </w:p>
        </w:tc>
        <w:tc>
          <w:tcPr>
            <w:tcW w:w="3705" w:type="dxa"/>
            <w:tcBorders>
              <w:top w:val="single" w:sz="4" w:space="0" w:color="auto"/>
              <w:left w:val="single" w:sz="6" w:space="0" w:color="auto"/>
              <w:bottom w:val="single" w:sz="6" w:space="0" w:color="auto"/>
              <w:right w:val="single" w:sz="6" w:space="0" w:color="auto"/>
            </w:tcBorders>
            <w:vAlign w:val="center"/>
            <w:hideMark/>
          </w:tcPr>
          <w:p w:rsidR="00AB62C4" w:rsidRPr="00391DCA" w:rsidRDefault="00AB62C4" w:rsidP="008A7A1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Ammonium uptake</w:t>
            </w:r>
          </w:p>
        </w:tc>
        <w:tc>
          <w:tcPr>
            <w:tcW w:w="2976" w:type="dxa"/>
            <w:tcBorders>
              <w:top w:val="single" w:sz="4" w:space="0" w:color="auto"/>
              <w:left w:val="single" w:sz="6" w:space="0" w:color="auto"/>
              <w:bottom w:val="single" w:sz="6" w:space="0" w:color="auto"/>
              <w:right w:val="single" w:sz="4" w:space="0" w:color="auto"/>
            </w:tcBorders>
            <w:vAlign w:val="center"/>
            <w:hideMark/>
          </w:tcPr>
          <w:p w:rsidR="00AB62C4" w:rsidRPr="00391DCA" w:rsidRDefault="00AB62C4" w:rsidP="008A7A1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Nitrate uptake</w:t>
            </w:r>
          </w:p>
        </w:tc>
      </w:tr>
      <w:tr w:rsidR="00AB62C4" w:rsidRPr="00391DCA" w:rsidTr="008A7A16">
        <w:tc>
          <w:tcPr>
            <w:tcW w:w="0" w:type="auto"/>
            <w:tcBorders>
              <w:top w:val="single" w:sz="6" w:space="0" w:color="auto"/>
              <w:left w:val="single" w:sz="4" w:space="0" w:color="auto"/>
              <w:bottom w:val="single" w:sz="6" w:space="0" w:color="auto"/>
              <w:right w:val="single" w:sz="6" w:space="0" w:color="auto"/>
            </w:tcBorders>
            <w:vAlign w:val="center"/>
            <w:hideMark/>
          </w:tcPr>
          <w:p w:rsidR="00AB62C4" w:rsidRPr="00391DCA" w:rsidRDefault="00AB62C4" w:rsidP="008A7A16">
            <w:pPr>
              <w:spacing w:after="0" w:line="240" w:lineRule="auto"/>
              <w:rPr>
                <w:rFonts w:ascii="Times New Roman" w:eastAsia="Times New Roman" w:hAnsi="Times New Roman" w:cs="Times New Roman"/>
                <w:sz w:val="24"/>
                <w:szCs w:val="24"/>
                <w:lang w:val="en-US"/>
              </w:rPr>
            </w:pPr>
            <w:r w:rsidRPr="00391DCA">
              <w:rPr>
                <w:rFonts w:ascii="Times New Roman" w:eastAsia="Times New Roman" w:hAnsi="Times New Roman" w:cs="Times New Roman"/>
                <w:sz w:val="24"/>
                <w:szCs w:val="24"/>
                <w:lang w:val="en-US"/>
              </w:rPr>
              <w:t>Simpler model</w:t>
            </w:r>
          </w:p>
        </w:tc>
        <w:tc>
          <w:tcPr>
            <w:tcW w:w="3705" w:type="dxa"/>
            <w:tcBorders>
              <w:top w:val="single" w:sz="6" w:space="0" w:color="auto"/>
              <w:left w:val="single" w:sz="6" w:space="0" w:color="auto"/>
              <w:bottom w:val="single" w:sz="6" w:space="0" w:color="auto"/>
              <w:right w:val="single" w:sz="6" w:space="0" w:color="auto"/>
            </w:tcBorders>
            <w:vAlign w:val="center"/>
            <w:hideMark/>
          </w:tcPr>
          <w:p w:rsidR="00AB62C4" w:rsidRPr="00391DCA" w:rsidRDefault="00AB62C4" w:rsidP="008A7A1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MM-2 Parameters (Eq. 3)</w:t>
            </w:r>
          </w:p>
        </w:tc>
        <w:tc>
          <w:tcPr>
            <w:tcW w:w="2976" w:type="dxa"/>
            <w:tcBorders>
              <w:top w:val="single" w:sz="6" w:space="0" w:color="auto"/>
              <w:left w:val="single" w:sz="6" w:space="0" w:color="auto"/>
              <w:bottom w:val="single" w:sz="6" w:space="0" w:color="auto"/>
              <w:right w:val="single" w:sz="4" w:space="0" w:color="auto"/>
            </w:tcBorders>
            <w:vAlign w:val="center"/>
            <w:hideMark/>
          </w:tcPr>
          <w:p w:rsidR="00AB62C4" w:rsidRPr="00391DCA" w:rsidRDefault="00AB62C4" w:rsidP="008A7A1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MM-2 Parameters (Eq. 3)</w:t>
            </w:r>
          </w:p>
        </w:tc>
      </w:tr>
      <w:tr w:rsidR="00AB62C4" w:rsidRPr="00391DCA" w:rsidTr="008A7A16">
        <w:tc>
          <w:tcPr>
            <w:tcW w:w="0" w:type="auto"/>
            <w:tcBorders>
              <w:top w:val="single" w:sz="6" w:space="0" w:color="auto"/>
              <w:left w:val="single" w:sz="4" w:space="0" w:color="auto"/>
              <w:bottom w:val="single" w:sz="6" w:space="0" w:color="auto"/>
              <w:right w:val="single" w:sz="6" w:space="0" w:color="auto"/>
            </w:tcBorders>
            <w:vAlign w:val="center"/>
            <w:hideMark/>
          </w:tcPr>
          <w:p w:rsidR="00AB62C4" w:rsidRPr="00391DCA" w:rsidRDefault="00AB62C4" w:rsidP="008A7A16">
            <w:pPr>
              <w:spacing w:after="0" w:line="240" w:lineRule="auto"/>
              <w:rPr>
                <w:rFonts w:ascii="Times New Roman" w:eastAsia="Times New Roman" w:hAnsi="Times New Roman" w:cs="Times New Roman"/>
                <w:sz w:val="24"/>
                <w:szCs w:val="24"/>
                <w:lang w:val="en-US"/>
              </w:rPr>
            </w:pPr>
            <w:r w:rsidRPr="00391DCA">
              <w:rPr>
                <w:rFonts w:ascii="Times New Roman" w:eastAsia="Times New Roman" w:hAnsi="Times New Roman" w:cs="Times New Roman"/>
                <w:sz w:val="24"/>
                <w:szCs w:val="24"/>
                <w:lang w:val="en-US"/>
              </w:rPr>
              <w:t>Probability it is correct</w:t>
            </w:r>
          </w:p>
        </w:tc>
        <w:tc>
          <w:tcPr>
            <w:tcW w:w="3705" w:type="dxa"/>
            <w:tcBorders>
              <w:top w:val="single" w:sz="6" w:space="0" w:color="auto"/>
              <w:left w:val="single" w:sz="6" w:space="0" w:color="auto"/>
              <w:bottom w:val="single" w:sz="6" w:space="0" w:color="auto"/>
              <w:right w:val="single" w:sz="6" w:space="0" w:color="auto"/>
            </w:tcBorders>
            <w:vAlign w:val="center"/>
            <w:hideMark/>
          </w:tcPr>
          <w:p w:rsidR="00AB62C4" w:rsidRPr="00391DCA" w:rsidRDefault="00AB62C4" w:rsidP="008A7A16">
            <w:pPr>
              <w:spacing w:after="0" w:line="240" w:lineRule="auto"/>
              <w:jc w:val="center"/>
              <w:rPr>
                <w:rFonts w:ascii="Times New Roman" w:eastAsia="Times New Roman" w:hAnsi="Times New Roman" w:cs="Times New Roman"/>
                <w:sz w:val="24"/>
                <w:szCs w:val="24"/>
                <w:lang w:val="en-US"/>
              </w:rPr>
            </w:pPr>
            <w:r w:rsidRPr="00391DCA">
              <w:rPr>
                <w:rFonts w:ascii="Times New Roman" w:eastAsia="Times New Roman" w:hAnsi="Times New Roman" w:cs="Times New Roman"/>
                <w:sz w:val="24"/>
                <w:szCs w:val="24"/>
                <w:lang w:val="en-US"/>
              </w:rPr>
              <w:t>1.81%</w:t>
            </w:r>
          </w:p>
        </w:tc>
        <w:tc>
          <w:tcPr>
            <w:tcW w:w="2976" w:type="dxa"/>
            <w:tcBorders>
              <w:top w:val="single" w:sz="6" w:space="0" w:color="auto"/>
              <w:left w:val="single" w:sz="6" w:space="0" w:color="auto"/>
              <w:bottom w:val="single" w:sz="6" w:space="0" w:color="auto"/>
              <w:right w:val="single" w:sz="4" w:space="0" w:color="auto"/>
            </w:tcBorders>
            <w:vAlign w:val="center"/>
            <w:hideMark/>
          </w:tcPr>
          <w:p w:rsidR="00AB62C4" w:rsidRPr="00391DCA" w:rsidRDefault="00AB62C4" w:rsidP="008A7A16">
            <w:pPr>
              <w:spacing w:after="0" w:line="240" w:lineRule="auto"/>
              <w:jc w:val="center"/>
              <w:rPr>
                <w:rFonts w:ascii="Times New Roman" w:eastAsia="Times New Roman" w:hAnsi="Times New Roman" w:cs="Times New Roman"/>
                <w:sz w:val="24"/>
                <w:szCs w:val="24"/>
                <w:lang w:val="en-US"/>
              </w:rPr>
            </w:pPr>
            <w:r w:rsidRPr="00391DCA">
              <w:rPr>
                <w:rFonts w:ascii="Times New Roman" w:eastAsia="Times New Roman" w:hAnsi="Times New Roman" w:cs="Times New Roman"/>
                <w:sz w:val="24"/>
                <w:szCs w:val="24"/>
                <w:lang w:val="en-US"/>
              </w:rPr>
              <w:t>0.02%</w:t>
            </w:r>
          </w:p>
        </w:tc>
      </w:tr>
      <w:tr w:rsidR="00AB62C4" w:rsidRPr="00391DCA" w:rsidTr="008A7A16">
        <w:tc>
          <w:tcPr>
            <w:tcW w:w="0" w:type="auto"/>
            <w:tcBorders>
              <w:top w:val="single" w:sz="6" w:space="0" w:color="auto"/>
              <w:left w:val="single" w:sz="4" w:space="0" w:color="auto"/>
              <w:bottom w:val="single" w:sz="6" w:space="0" w:color="auto"/>
              <w:right w:val="single" w:sz="6" w:space="0" w:color="auto"/>
            </w:tcBorders>
            <w:vAlign w:val="center"/>
            <w:hideMark/>
          </w:tcPr>
          <w:p w:rsidR="00AB62C4" w:rsidRPr="00391DCA" w:rsidRDefault="00AB62C4" w:rsidP="008A7A16">
            <w:pPr>
              <w:spacing w:after="0" w:line="240" w:lineRule="auto"/>
              <w:rPr>
                <w:rFonts w:ascii="Times New Roman" w:eastAsia="Times New Roman" w:hAnsi="Times New Roman" w:cs="Times New Roman"/>
                <w:sz w:val="24"/>
                <w:szCs w:val="24"/>
                <w:lang w:val="en-US"/>
              </w:rPr>
            </w:pPr>
            <w:r w:rsidRPr="00391DCA">
              <w:rPr>
                <w:rFonts w:ascii="Times New Roman" w:eastAsia="Times New Roman" w:hAnsi="Times New Roman" w:cs="Times New Roman"/>
                <w:sz w:val="24"/>
                <w:szCs w:val="24"/>
                <w:lang w:val="en-US"/>
              </w:rPr>
              <w:t>Alternative model</w:t>
            </w:r>
          </w:p>
        </w:tc>
        <w:tc>
          <w:tcPr>
            <w:tcW w:w="3705" w:type="dxa"/>
            <w:tcBorders>
              <w:top w:val="single" w:sz="6" w:space="0" w:color="auto"/>
              <w:left w:val="single" w:sz="6" w:space="0" w:color="auto"/>
              <w:bottom w:val="single" w:sz="6" w:space="0" w:color="auto"/>
              <w:right w:val="single" w:sz="6" w:space="0" w:color="auto"/>
            </w:tcBorders>
            <w:vAlign w:val="center"/>
            <w:hideMark/>
          </w:tcPr>
          <w:p w:rsidR="00AB62C4" w:rsidRPr="00391DCA" w:rsidRDefault="00AB62C4" w:rsidP="008A7A1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 Parameters (Eq.1)</w:t>
            </w:r>
          </w:p>
        </w:tc>
        <w:tc>
          <w:tcPr>
            <w:tcW w:w="2976" w:type="dxa"/>
            <w:tcBorders>
              <w:top w:val="single" w:sz="6" w:space="0" w:color="auto"/>
              <w:left w:val="single" w:sz="6" w:space="0" w:color="auto"/>
              <w:bottom w:val="single" w:sz="6" w:space="0" w:color="auto"/>
              <w:right w:val="single" w:sz="4" w:space="0" w:color="auto"/>
            </w:tcBorders>
            <w:vAlign w:val="center"/>
            <w:hideMark/>
          </w:tcPr>
          <w:p w:rsidR="00AB62C4" w:rsidRPr="00391DCA" w:rsidRDefault="00AB62C4" w:rsidP="008A7A1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 Parameters (Eq.1)</w:t>
            </w:r>
          </w:p>
        </w:tc>
      </w:tr>
      <w:tr w:rsidR="00AB62C4" w:rsidRPr="00391DCA" w:rsidTr="008A7A16">
        <w:tc>
          <w:tcPr>
            <w:tcW w:w="0" w:type="auto"/>
            <w:tcBorders>
              <w:top w:val="single" w:sz="6" w:space="0" w:color="auto"/>
              <w:left w:val="single" w:sz="4" w:space="0" w:color="auto"/>
              <w:bottom w:val="single" w:sz="6" w:space="0" w:color="auto"/>
              <w:right w:val="single" w:sz="6" w:space="0" w:color="auto"/>
            </w:tcBorders>
            <w:vAlign w:val="center"/>
            <w:hideMark/>
          </w:tcPr>
          <w:p w:rsidR="00AB62C4" w:rsidRPr="00391DCA" w:rsidRDefault="00AB62C4" w:rsidP="008A7A16">
            <w:pPr>
              <w:spacing w:after="0" w:line="240" w:lineRule="auto"/>
              <w:rPr>
                <w:rFonts w:ascii="Times New Roman" w:eastAsia="Times New Roman" w:hAnsi="Times New Roman" w:cs="Times New Roman"/>
                <w:sz w:val="24"/>
                <w:szCs w:val="24"/>
                <w:lang w:val="en-US"/>
              </w:rPr>
            </w:pPr>
            <w:r w:rsidRPr="00391DCA">
              <w:rPr>
                <w:rFonts w:ascii="Times New Roman" w:eastAsia="Times New Roman" w:hAnsi="Times New Roman" w:cs="Times New Roman"/>
                <w:sz w:val="24"/>
                <w:szCs w:val="24"/>
                <w:lang w:val="en-US"/>
              </w:rPr>
              <w:t>Probability it is correct</w:t>
            </w:r>
          </w:p>
        </w:tc>
        <w:tc>
          <w:tcPr>
            <w:tcW w:w="3705" w:type="dxa"/>
            <w:tcBorders>
              <w:top w:val="single" w:sz="6" w:space="0" w:color="auto"/>
              <w:left w:val="single" w:sz="6" w:space="0" w:color="auto"/>
              <w:bottom w:val="single" w:sz="6" w:space="0" w:color="auto"/>
              <w:right w:val="single" w:sz="6" w:space="0" w:color="auto"/>
            </w:tcBorders>
            <w:vAlign w:val="center"/>
            <w:hideMark/>
          </w:tcPr>
          <w:p w:rsidR="00AB62C4" w:rsidRPr="00391DCA" w:rsidRDefault="00AB62C4" w:rsidP="008A7A16">
            <w:pPr>
              <w:spacing w:after="0" w:line="240" w:lineRule="auto"/>
              <w:jc w:val="center"/>
              <w:rPr>
                <w:rFonts w:ascii="Times New Roman" w:eastAsia="Times New Roman" w:hAnsi="Times New Roman" w:cs="Times New Roman"/>
                <w:sz w:val="24"/>
                <w:szCs w:val="24"/>
                <w:lang w:val="en-US"/>
              </w:rPr>
            </w:pPr>
            <w:r w:rsidRPr="00391DCA">
              <w:rPr>
                <w:rFonts w:ascii="Times New Roman" w:eastAsia="Times New Roman" w:hAnsi="Times New Roman" w:cs="Times New Roman"/>
                <w:sz w:val="24"/>
                <w:szCs w:val="24"/>
                <w:lang w:val="en-US"/>
              </w:rPr>
              <w:t>98.19%</w:t>
            </w:r>
          </w:p>
        </w:tc>
        <w:tc>
          <w:tcPr>
            <w:tcW w:w="2976" w:type="dxa"/>
            <w:tcBorders>
              <w:top w:val="single" w:sz="6" w:space="0" w:color="auto"/>
              <w:left w:val="single" w:sz="6" w:space="0" w:color="auto"/>
              <w:bottom w:val="single" w:sz="6" w:space="0" w:color="auto"/>
              <w:right w:val="single" w:sz="4" w:space="0" w:color="auto"/>
            </w:tcBorders>
            <w:vAlign w:val="center"/>
            <w:hideMark/>
          </w:tcPr>
          <w:p w:rsidR="00AB62C4" w:rsidRPr="00391DCA" w:rsidRDefault="00AB62C4" w:rsidP="008A7A16">
            <w:pPr>
              <w:spacing w:after="0" w:line="240" w:lineRule="auto"/>
              <w:jc w:val="center"/>
              <w:rPr>
                <w:rFonts w:ascii="Times New Roman" w:eastAsia="Times New Roman" w:hAnsi="Times New Roman" w:cs="Times New Roman"/>
                <w:sz w:val="24"/>
                <w:szCs w:val="24"/>
                <w:lang w:val="en-US"/>
              </w:rPr>
            </w:pPr>
            <w:r w:rsidRPr="00391DCA">
              <w:rPr>
                <w:rFonts w:ascii="Times New Roman" w:eastAsia="Times New Roman" w:hAnsi="Times New Roman" w:cs="Times New Roman"/>
                <w:sz w:val="24"/>
                <w:szCs w:val="24"/>
                <w:lang w:val="en-US"/>
              </w:rPr>
              <w:t>99.98%</w:t>
            </w:r>
          </w:p>
        </w:tc>
      </w:tr>
      <w:tr w:rsidR="00AB62C4" w:rsidRPr="00391DCA" w:rsidTr="008A7A16">
        <w:tc>
          <w:tcPr>
            <w:tcW w:w="0" w:type="auto"/>
            <w:tcBorders>
              <w:top w:val="single" w:sz="6" w:space="0" w:color="auto"/>
              <w:left w:val="single" w:sz="4" w:space="0" w:color="auto"/>
              <w:bottom w:val="single" w:sz="6" w:space="0" w:color="auto"/>
              <w:right w:val="single" w:sz="6" w:space="0" w:color="auto"/>
            </w:tcBorders>
            <w:vAlign w:val="center"/>
            <w:hideMark/>
          </w:tcPr>
          <w:p w:rsidR="00AB62C4" w:rsidRPr="00391DCA" w:rsidRDefault="00AB62C4" w:rsidP="008A7A16">
            <w:pPr>
              <w:spacing w:after="0" w:line="240" w:lineRule="auto"/>
              <w:rPr>
                <w:rFonts w:ascii="Times New Roman" w:eastAsia="Times New Roman" w:hAnsi="Times New Roman" w:cs="Times New Roman"/>
                <w:sz w:val="24"/>
                <w:szCs w:val="24"/>
                <w:lang w:val="en-US"/>
              </w:rPr>
            </w:pPr>
            <w:r w:rsidRPr="00391DCA">
              <w:rPr>
                <w:rFonts w:ascii="Times New Roman" w:eastAsia="Times New Roman" w:hAnsi="Times New Roman" w:cs="Times New Roman"/>
                <w:sz w:val="24"/>
                <w:szCs w:val="24"/>
                <w:lang w:val="en-US"/>
              </w:rPr>
              <w:t>Ratio of probabilities</w:t>
            </w:r>
          </w:p>
        </w:tc>
        <w:tc>
          <w:tcPr>
            <w:tcW w:w="3705" w:type="dxa"/>
            <w:tcBorders>
              <w:top w:val="single" w:sz="6" w:space="0" w:color="auto"/>
              <w:left w:val="single" w:sz="6" w:space="0" w:color="auto"/>
              <w:bottom w:val="single" w:sz="6" w:space="0" w:color="auto"/>
              <w:right w:val="single" w:sz="6" w:space="0" w:color="auto"/>
            </w:tcBorders>
            <w:vAlign w:val="center"/>
            <w:hideMark/>
          </w:tcPr>
          <w:p w:rsidR="00AB62C4" w:rsidRPr="00391DCA" w:rsidRDefault="00AB62C4" w:rsidP="008A7A16">
            <w:pPr>
              <w:spacing w:after="0" w:line="240" w:lineRule="auto"/>
              <w:jc w:val="center"/>
              <w:rPr>
                <w:rFonts w:ascii="Times New Roman" w:eastAsia="Times New Roman" w:hAnsi="Times New Roman" w:cs="Times New Roman"/>
                <w:sz w:val="24"/>
                <w:szCs w:val="24"/>
                <w:lang w:val="en-US"/>
              </w:rPr>
            </w:pPr>
            <w:r w:rsidRPr="00391DCA">
              <w:rPr>
                <w:rFonts w:ascii="Times New Roman" w:eastAsia="Times New Roman" w:hAnsi="Times New Roman" w:cs="Times New Roman"/>
                <w:sz w:val="24"/>
                <w:szCs w:val="24"/>
                <w:lang w:val="en-US"/>
              </w:rPr>
              <w:t>54.17</w:t>
            </w:r>
          </w:p>
        </w:tc>
        <w:tc>
          <w:tcPr>
            <w:tcW w:w="2976" w:type="dxa"/>
            <w:tcBorders>
              <w:top w:val="single" w:sz="6" w:space="0" w:color="auto"/>
              <w:left w:val="single" w:sz="6" w:space="0" w:color="auto"/>
              <w:bottom w:val="single" w:sz="6" w:space="0" w:color="auto"/>
              <w:right w:val="single" w:sz="4" w:space="0" w:color="auto"/>
            </w:tcBorders>
            <w:vAlign w:val="center"/>
            <w:hideMark/>
          </w:tcPr>
          <w:p w:rsidR="00AB62C4" w:rsidRPr="00391DCA" w:rsidRDefault="00AB62C4" w:rsidP="008A7A16">
            <w:pPr>
              <w:spacing w:after="0" w:line="240" w:lineRule="auto"/>
              <w:jc w:val="center"/>
              <w:rPr>
                <w:rFonts w:ascii="Times New Roman" w:eastAsia="Times New Roman" w:hAnsi="Times New Roman" w:cs="Times New Roman"/>
                <w:sz w:val="24"/>
                <w:szCs w:val="24"/>
                <w:lang w:val="en-US"/>
              </w:rPr>
            </w:pPr>
            <w:r w:rsidRPr="00391DCA">
              <w:rPr>
                <w:rFonts w:ascii="Times New Roman" w:eastAsia="Times New Roman" w:hAnsi="Times New Roman" w:cs="Times New Roman"/>
                <w:sz w:val="24"/>
                <w:szCs w:val="24"/>
                <w:lang w:val="en-US"/>
              </w:rPr>
              <w:t>5130.80</w:t>
            </w:r>
          </w:p>
        </w:tc>
      </w:tr>
      <w:tr w:rsidR="00AB62C4" w:rsidRPr="00391DCA" w:rsidTr="008A7A16">
        <w:tc>
          <w:tcPr>
            <w:tcW w:w="0" w:type="auto"/>
            <w:tcBorders>
              <w:top w:val="single" w:sz="6" w:space="0" w:color="auto"/>
              <w:left w:val="single" w:sz="4" w:space="0" w:color="auto"/>
              <w:bottom w:val="single" w:sz="6" w:space="0" w:color="auto"/>
              <w:right w:val="single" w:sz="6" w:space="0" w:color="auto"/>
            </w:tcBorders>
            <w:vAlign w:val="center"/>
            <w:hideMark/>
          </w:tcPr>
          <w:p w:rsidR="00AB62C4" w:rsidRPr="00391DCA" w:rsidRDefault="00AB62C4" w:rsidP="008A7A16">
            <w:pPr>
              <w:spacing w:after="0" w:line="240" w:lineRule="auto"/>
              <w:rPr>
                <w:rFonts w:ascii="Times New Roman" w:eastAsia="Times New Roman" w:hAnsi="Times New Roman" w:cs="Times New Roman"/>
                <w:sz w:val="24"/>
                <w:szCs w:val="24"/>
                <w:lang w:val="en-US"/>
              </w:rPr>
            </w:pPr>
            <w:r w:rsidRPr="00391DCA">
              <w:rPr>
                <w:rFonts w:ascii="Times New Roman" w:eastAsia="Times New Roman" w:hAnsi="Times New Roman" w:cs="Times New Roman"/>
                <w:sz w:val="24"/>
                <w:szCs w:val="24"/>
                <w:lang w:val="en-US"/>
              </w:rPr>
              <w:t>Preferred model</w:t>
            </w:r>
          </w:p>
        </w:tc>
        <w:tc>
          <w:tcPr>
            <w:tcW w:w="3705" w:type="dxa"/>
            <w:tcBorders>
              <w:top w:val="single" w:sz="6" w:space="0" w:color="auto"/>
              <w:left w:val="single" w:sz="6" w:space="0" w:color="auto"/>
              <w:bottom w:val="single" w:sz="6" w:space="0" w:color="auto"/>
              <w:right w:val="single" w:sz="6" w:space="0" w:color="auto"/>
            </w:tcBorders>
            <w:vAlign w:val="center"/>
            <w:hideMark/>
          </w:tcPr>
          <w:p w:rsidR="00AB62C4" w:rsidRPr="00391DCA" w:rsidRDefault="00AB62C4" w:rsidP="008A7A1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 Parameters (Eq.1)</w:t>
            </w:r>
          </w:p>
        </w:tc>
        <w:tc>
          <w:tcPr>
            <w:tcW w:w="2976" w:type="dxa"/>
            <w:tcBorders>
              <w:top w:val="single" w:sz="6" w:space="0" w:color="auto"/>
              <w:left w:val="single" w:sz="6" w:space="0" w:color="auto"/>
              <w:bottom w:val="single" w:sz="6" w:space="0" w:color="auto"/>
              <w:right w:val="single" w:sz="4" w:space="0" w:color="auto"/>
            </w:tcBorders>
            <w:vAlign w:val="center"/>
            <w:hideMark/>
          </w:tcPr>
          <w:p w:rsidR="00AB62C4" w:rsidRPr="00391DCA" w:rsidRDefault="00AB62C4" w:rsidP="008A7A1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 Parameters (Eq.1)</w:t>
            </w:r>
          </w:p>
        </w:tc>
      </w:tr>
      <w:tr w:rsidR="00AB62C4" w:rsidRPr="00391DCA" w:rsidTr="008A7A16">
        <w:tc>
          <w:tcPr>
            <w:tcW w:w="0" w:type="auto"/>
            <w:tcBorders>
              <w:top w:val="single" w:sz="6" w:space="0" w:color="auto"/>
              <w:left w:val="single" w:sz="4" w:space="0" w:color="auto"/>
              <w:bottom w:val="single" w:sz="4" w:space="0" w:color="auto"/>
              <w:right w:val="single" w:sz="6" w:space="0" w:color="auto"/>
            </w:tcBorders>
            <w:vAlign w:val="center"/>
            <w:hideMark/>
          </w:tcPr>
          <w:p w:rsidR="00AB62C4" w:rsidRPr="00391DCA" w:rsidRDefault="00AB62C4" w:rsidP="008A7A16">
            <w:pPr>
              <w:spacing w:after="0" w:line="240" w:lineRule="auto"/>
              <w:rPr>
                <w:rFonts w:ascii="Times New Roman" w:eastAsia="Times New Roman" w:hAnsi="Times New Roman" w:cs="Times New Roman"/>
                <w:sz w:val="24"/>
                <w:szCs w:val="24"/>
                <w:lang w:val="en-US"/>
              </w:rPr>
            </w:pPr>
            <w:r w:rsidRPr="00391DCA">
              <w:rPr>
                <w:rFonts w:ascii="Times New Roman" w:eastAsia="Times New Roman" w:hAnsi="Times New Roman" w:cs="Times New Roman"/>
                <w:sz w:val="24"/>
                <w:szCs w:val="24"/>
                <w:lang w:val="en-US"/>
              </w:rPr>
              <w:t xml:space="preserve">Difference in </w:t>
            </w:r>
            <w:proofErr w:type="spellStart"/>
            <w:r w:rsidRPr="00391DCA">
              <w:rPr>
                <w:rFonts w:ascii="Times New Roman" w:eastAsia="Times New Roman" w:hAnsi="Times New Roman" w:cs="Times New Roman"/>
                <w:sz w:val="24"/>
                <w:szCs w:val="24"/>
                <w:lang w:val="en-US"/>
              </w:rPr>
              <w:t>AICc</w:t>
            </w:r>
            <w:proofErr w:type="spellEnd"/>
          </w:p>
        </w:tc>
        <w:tc>
          <w:tcPr>
            <w:tcW w:w="3705" w:type="dxa"/>
            <w:tcBorders>
              <w:top w:val="single" w:sz="6" w:space="0" w:color="auto"/>
              <w:left w:val="single" w:sz="6" w:space="0" w:color="auto"/>
              <w:bottom w:val="single" w:sz="4" w:space="0" w:color="auto"/>
              <w:right w:val="single" w:sz="6" w:space="0" w:color="auto"/>
            </w:tcBorders>
            <w:vAlign w:val="center"/>
            <w:hideMark/>
          </w:tcPr>
          <w:p w:rsidR="00AB62C4" w:rsidRPr="00391DCA" w:rsidRDefault="00AB62C4" w:rsidP="008A7A16">
            <w:pPr>
              <w:spacing w:after="0" w:line="240" w:lineRule="auto"/>
              <w:jc w:val="center"/>
              <w:rPr>
                <w:rFonts w:ascii="Times New Roman" w:eastAsia="Times New Roman" w:hAnsi="Times New Roman" w:cs="Times New Roman"/>
                <w:sz w:val="24"/>
                <w:szCs w:val="24"/>
                <w:lang w:val="en-US"/>
              </w:rPr>
            </w:pPr>
            <w:r w:rsidRPr="00391DCA">
              <w:rPr>
                <w:rFonts w:ascii="Times New Roman" w:eastAsia="Times New Roman" w:hAnsi="Times New Roman" w:cs="Times New Roman"/>
                <w:sz w:val="24"/>
                <w:szCs w:val="24"/>
                <w:lang w:val="en-US"/>
              </w:rPr>
              <w:t>7.984</w:t>
            </w:r>
          </w:p>
        </w:tc>
        <w:tc>
          <w:tcPr>
            <w:tcW w:w="2976" w:type="dxa"/>
            <w:tcBorders>
              <w:top w:val="single" w:sz="6" w:space="0" w:color="auto"/>
              <w:left w:val="single" w:sz="6" w:space="0" w:color="auto"/>
              <w:bottom w:val="single" w:sz="4" w:space="0" w:color="auto"/>
              <w:right w:val="single" w:sz="4" w:space="0" w:color="auto"/>
            </w:tcBorders>
            <w:vAlign w:val="center"/>
            <w:hideMark/>
          </w:tcPr>
          <w:p w:rsidR="00AB62C4" w:rsidRPr="00391DCA" w:rsidRDefault="00AB62C4" w:rsidP="008A7A16">
            <w:pPr>
              <w:spacing w:after="0" w:line="240" w:lineRule="auto"/>
              <w:jc w:val="center"/>
              <w:rPr>
                <w:rFonts w:ascii="Times New Roman" w:eastAsia="Times New Roman" w:hAnsi="Times New Roman" w:cs="Times New Roman"/>
                <w:sz w:val="24"/>
                <w:szCs w:val="24"/>
                <w:lang w:val="en-US"/>
              </w:rPr>
            </w:pPr>
            <w:r w:rsidRPr="00391DCA">
              <w:rPr>
                <w:rFonts w:ascii="Times New Roman" w:eastAsia="Times New Roman" w:hAnsi="Times New Roman" w:cs="Times New Roman"/>
                <w:sz w:val="24"/>
                <w:szCs w:val="24"/>
                <w:lang w:val="en-US"/>
              </w:rPr>
              <w:t>17.09</w:t>
            </w:r>
          </w:p>
        </w:tc>
      </w:tr>
    </w:tbl>
    <w:p w:rsidR="00AB62C4" w:rsidRPr="00F54385" w:rsidRDefault="00AB62C4" w:rsidP="00AB62C4"/>
    <w:p w:rsidR="00091C19" w:rsidRPr="00F54385" w:rsidRDefault="00FD16EF" w:rsidP="001D7D9B">
      <w:pPr>
        <w:spacing w:after="0"/>
      </w:pPr>
      <w:r w:rsidRPr="00F54385">
        <w:t xml:space="preserve">There are several factors that may have increased uptake rates linearly related to the medium substrate concentration. Firstly, depletion of nitrogen </w:t>
      </w:r>
      <w:r w:rsidR="00835417" w:rsidRPr="00F54385">
        <w:t>took</w:t>
      </w:r>
      <w:r w:rsidRPr="00F54385">
        <w:t xml:space="preserve"> place in the hyaline cells and</w:t>
      </w:r>
      <w:r w:rsidR="0051360D" w:rsidRPr="00F54385">
        <w:t xml:space="preserve"> around</w:t>
      </w:r>
      <w:r w:rsidRPr="00F54385">
        <w:t xml:space="preserve"> the leaf surface of the </w:t>
      </w:r>
      <w:r w:rsidRPr="00F54385">
        <w:rPr>
          <w:i/>
        </w:rPr>
        <w:t>Sphagnum</w:t>
      </w:r>
      <w:r w:rsidR="0051360D" w:rsidRPr="00F54385">
        <w:t xml:space="preserve"> mosses despite mixing of the solution by stirring.</w:t>
      </w:r>
      <w:r w:rsidR="00835417" w:rsidRPr="00F54385">
        <w:t xml:space="preserve"> In the case of insufficient mixing diffusion of nitrogen species may become a limiting factor on uptake rates. However, diffusion coefficient of ammonium (1.74 10</w:t>
      </w:r>
      <w:r w:rsidR="00835417" w:rsidRPr="00F54385">
        <w:rPr>
          <w:vertAlign w:val="superscript"/>
        </w:rPr>
        <w:t>-5</w:t>
      </w:r>
      <w:r w:rsidR="00835417" w:rsidRPr="00F54385">
        <w:t xml:space="preserve"> cm</w:t>
      </w:r>
      <w:r w:rsidR="00835417" w:rsidRPr="00F54385">
        <w:rPr>
          <w:vertAlign w:val="superscript"/>
        </w:rPr>
        <w:t>2</w:t>
      </w:r>
      <w:r w:rsidR="00835417" w:rsidRPr="00F54385">
        <w:t>.s</w:t>
      </w:r>
      <w:r w:rsidR="00835417" w:rsidRPr="00F54385">
        <w:rPr>
          <w:vertAlign w:val="superscript"/>
        </w:rPr>
        <w:t>-1</w:t>
      </w:r>
      <w:r w:rsidR="00835417" w:rsidRPr="00F54385">
        <w:t>)</w:t>
      </w:r>
      <w:r w:rsidR="00835417" w:rsidRPr="00F54385">
        <w:rPr>
          <w:vertAlign w:val="superscript"/>
        </w:rPr>
        <w:t xml:space="preserve"> </w:t>
      </w:r>
      <w:r w:rsidR="00835417" w:rsidRPr="00F54385">
        <w:t>is</w:t>
      </w:r>
      <w:r w:rsidR="00AB62C4">
        <w:t xml:space="preserve"> almost</w:t>
      </w:r>
      <w:r w:rsidR="00835417" w:rsidRPr="00F54385">
        <w:t xml:space="preserve"> similar to the diffusion coefficient of nitrate (1.67 10</w:t>
      </w:r>
      <w:r w:rsidR="00835417" w:rsidRPr="00F54385">
        <w:rPr>
          <w:vertAlign w:val="superscript"/>
        </w:rPr>
        <w:t>-5</w:t>
      </w:r>
      <w:r w:rsidR="00835417" w:rsidRPr="00F54385">
        <w:t xml:space="preserve"> cm</w:t>
      </w:r>
      <w:r w:rsidR="00835417" w:rsidRPr="00F54385">
        <w:rPr>
          <w:vertAlign w:val="superscript"/>
        </w:rPr>
        <w:t>2</w:t>
      </w:r>
      <w:r w:rsidR="00835417" w:rsidRPr="00F54385">
        <w:t>.s</w:t>
      </w:r>
      <w:r w:rsidR="00835417" w:rsidRPr="00F54385">
        <w:rPr>
          <w:vertAlign w:val="superscript"/>
        </w:rPr>
        <w:t>-1</w:t>
      </w:r>
      <w:r w:rsidR="00835417" w:rsidRPr="00F54385">
        <w:t xml:space="preserve">) whereas the linear </w:t>
      </w:r>
      <w:r w:rsidR="00F54385" w:rsidRPr="00F54385">
        <w:t>component</w:t>
      </w:r>
      <w:r w:rsidR="00835417" w:rsidRPr="00F54385">
        <w:t xml:space="preserve"> k (Eq. 1) is almost one magnitude higher for ammonium compared to nitrate. </w:t>
      </w:r>
    </w:p>
    <w:p w:rsidR="00835417" w:rsidRPr="00AB62C4" w:rsidRDefault="00F54385" w:rsidP="001D7D9B">
      <w:pPr>
        <w:spacing w:after="0"/>
      </w:pPr>
      <w:r w:rsidRPr="00F54385">
        <w:lastRenderedPageBreak/>
        <w:t>Secondly, higher uptake rates at higher concentration may be an artefact due to the exten</w:t>
      </w:r>
      <w:r>
        <w:t>t</w:t>
      </w:r>
      <w:r w:rsidRPr="00F54385">
        <w:t xml:space="preserve"> and the intensity of the washing process. Even though</w:t>
      </w:r>
      <w:r w:rsidR="00835417" w:rsidRPr="00F54385">
        <w:t xml:space="preserve"> mosses where taken out </w:t>
      </w:r>
      <w:r w:rsidR="00835417" w:rsidRPr="00AB62C4">
        <w:t>of the solution immediately after 30 min it took several minutes until the mosses where washed thoroughly. During the washing period nitrogen concentration in the hyaline cells may have been still high, especially in the treatments with ammonium concentrations of 100 and 500 µ</w:t>
      </w:r>
      <w:proofErr w:type="spellStart"/>
      <w:r w:rsidR="00835417" w:rsidRPr="00AB62C4">
        <w:t>mol</w:t>
      </w:r>
      <w:proofErr w:type="spellEnd"/>
      <w:r w:rsidR="00835417" w:rsidRPr="00AB62C4">
        <w:t xml:space="preserve"> l</w:t>
      </w:r>
      <w:r w:rsidR="00835417" w:rsidRPr="00AB62C4">
        <w:rPr>
          <w:vertAlign w:val="superscript"/>
        </w:rPr>
        <w:t>-1</w:t>
      </w:r>
      <w:r w:rsidR="00055915" w:rsidRPr="00AB62C4">
        <w:t xml:space="preserve">. Ammonium as a </w:t>
      </w:r>
      <w:proofErr w:type="spellStart"/>
      <w:r w:rsidR="00055915" w:rsidRPr="00AB62C4">
        <w:t>cation</w:t>
      </w:r>
      <w:proofErr w:type="spellEnd"/>
      <w:r w:rsidR="00055915" w:rsidRPr="00AB62C4">
        <w:t xml:space="preserve"> is easily adsorbed to </w:t>
      </w:r>
      <w:r w:rsidRPr="00AB62C4">
        <w:t>cell walls</w:t>
      </w:r>
      <w:r w:rsidR="00055915" w:rsidRPr="00AB62C4">
        <w:t xml:space="preserve"> which makes more difficult to remove during the washing process (</w:t>
      </w:r>
      <w:proofErr w:type="spellStart"/>
      <w:r w:rsidR="00055915" w:rsidRPr="00AB62C4">
        <w:t>Clymo</w:t>
      </w:r>
      <w:proofErr w:type="spellEnd"/>
      <w:r w:rsidR="00055915" w:rsidRPr="00AB62C4">
        <w:t xml:space="preserve"> 1963, </w:t>
      </w:r>
      <w:proofErr w:type="spellStart"/>
      <w:r w:rsidR="00055915" w:rsidRPr="00AB62C4">
        <w:t>Brehm</w:t>
      </w:r>
      <w:proofErr w:type="spellEnd"/>
      <w:r w:rsidR="00055915" w:rsidRPr="00AB62C4">
        <w:t xml:space="preserve"> 1968). This delay may have extended the time plants where exposed to nitrogen by several minutes.</w:t>
      </w:r>
    </w:p>
    <w:p w:rsidR="00055915" w:rsidRPr="00F54385" w:rsidRDefault="00055915" w:rsidP="001D7D9B">
      <w:pPr>
        <w:spacing w:after="0"/>
      </w:pPr>
      <w:r w:rsidRPr="00F54385">
        <w:t xml:space="preserve">Thirdly, linear </w:t>
      </w:r>
      <w:r w:rsidR="00F54385" w:rsidRPr="00F54385">
        <w:t>component</w:t>
      </w:r>
      <w:r w:rsidRPr="00F54385">
        <w:t xml:space="preserve"> of ion uptake has been associated with low affinity transporters. Unfortunately, the lack of studies on </w:t>
      </w:r>
      <w:r w:rsidRPr="00F54385">
        <w:rPr>
          <w:i/>
        </w:rPr>
        <w:t>Sphagnum</w:t>
      </w:r>
      <w:r w:rsidRPr="00F54385">
        <w:t xml:space="preserve"> mosses restricts further speculations on the importance of complex sets of ion transporters in the nitrogen uptake of Sphagnum mosses.</w:t>
      </w:r>
    </w:p>
    <w:p w:rsidR="00607E6D" w:rsidRPr="00F54385" w:rsidRDefault="00607E6D" w:rsidP="00607E6D">
      <w:pPr>
        <w:rPr>
          <w:b/>
        </w:rPr>
      </w:pPr>
      <w:r w:rsidRPr="00F54385">
        <w:rPr>
          <w:b/>
        </w:rPr>
        <w:t xml:space="preserve">Comparison of models </w:t>
      </w:r>
    </w:p>
    <w:p w:rsidR="00407389" w:rsidRPr="00F54385" w:rsidRDefault="00AD29C1">
      <w:r w:rsidRPr="00F54385">
        <w:t xml:space="preserve">The </w:t>
      </w:r>
      <w:r w:rsidR="00F54385" w:rsidRPr="00F54385">
        <w:t>conceptualised</w:t>
      </w:r>
      <w:r w:rsidRPr="00F54385">
        <w:t xml:space="preserve"> model (Fig.6) was tested for </w:t>
      </w:r>
      <w:r w:rsidR="00CA167D" w:rsidRPr="00F54385">
        <w:t>its sensibility to changes</w:t>
      </w:r>
      <w:r w:rsidR="004D56CE" w:rsidRPr="00F54385">
        <w:t xml:space="preserve"> in number of parameters used. Figure S</w:t>
      </w:r>
      <w:r w:rsidR="002949BD">
        <w:t>3</w:t>
      </w:r>
      <w:r w:rsidR="004D56CE" w:rsidRPr="00F54385">
        <w:t xml:space="preserve"> (</w:t>
      </w:r>
      <w:r w:rsidR="00CA167D" w:rsidRPr="00F54385">
        <w:t>below</w:t>
      </w:r>
      <w:r w:rsidR="004D56CE" w:rsidRPr="00F54385">
        <w:t>)</w:t>
      </w:r>
      <w:r w:rsidR="00CA167D" w:rsidRPr="00F54385">
        <w:t xml:space="preserve"> </w:t>
      </w:r>
      <w:r w:rsidR="004D56CE" w:rsidRPr="00F54385">
        <w:t>suggests small differences between models in a range from</w:t>
      </w:r>
      <w:r w:rsidR="00CA167D" w:rsidRPr="00F54385">
        <w:t xml:space="preserve"> </w:t>
      </w:r>
      <w:r w:rsidR="004D56CE" w:rsidRPr="00F54385">
        <w:t>10 µM to 5000 µM</w:t>
      </w:r>
      <w:r w:rsidR="00CA167D" w:rsidRPr="00F54385">
        <w:t>. Large differences have only been found for high concentrations (</w:t>
      </w:r>
      <w:proofErr w:type="spellStart"/>
      <w:r w:rsidR="00CA167D" w:rsidRPr="00F54385">
        <w:t>milimolar</w:t>
      </w:r>
      <w:proofErr w:type="spellEnd"/>
      <w:r w:rsidR="00CA167D" w:rsidRPr="00F54385">
        <w:t xml:space="preserve"> range) where the linear compo</w:t>
      </w:r>
      <w:r w:rsidR="004D56CE" w:rsidRPr="00F54385">
        <w:t>nent</w:t>
      </w:r>
      <w:r w:rsidR="00CA167D" w:rsidRPr="00F54385">
        <w:t xml:space="preserve"> in Eq. 1 dampens increasing exposure times whereas the classical 2-parameters </w:t>
      </w:r>
      <w:proofErr w:type="spellStart"/>
      <w:r w:rsidR="00CA167D" w:rsidRPr="00F54385">
        <w:t>Michaelis-Menten</w:t>
      </w:r>
      <w:proofErr w:type="spellEnd"/>
      <w:r w:rsidR="00674BEA">
        <w:t xml:space="preserve"> (Eq. 3)</w:t>
      </w:r>
      <w:r w:rsidR="00CA167D" w:rsidRPr="00F54385">
        <w:t xml:space="preserve"> approach has already reached the plateau of </w:t>
      </w:r>
      <w:proofErr w:type="spellStart"/>
      <w:r w:rsidR="00CA167D" w:rsidRPr="00F54385">
        <w:t>V</w:t>
      </w:r>
      <w:r w:rsidR="00CA167D" w:rsidRPr="00F54385">
        <w:rPr>
          <w:vertAlign w:val="subscript"/>
        </w:rPr>
        <w:t>max</w:t>
      </w:r>
      <w:proofErr w:type="spellEnd"/>
      <w:r w:rsidR="00CA167D" w:rsidRPr="00F54385">
        <w:t>.</w:t>
      </w:r>
    </w:p>
    <w:p w:rsidR="004D56CE" w:rsidRPr="00F54385" w:rsidRDefault="00567789">
      <w:r w:rsidRPr="00F54385">
        <w:t xml:space="preserve">The work presented here </w:t>
      </w:r>
      <w:r w:rsidR="004D56CE" w:rsidRPr="00F54385">
        <w:t>suggests</w:t>
      </w:r>
      <w:r w:rsidRPr="00F54385">
        <w:t xml:space="preserve"> that</w:t>
      </w:r>
      <w:r w:rsidR="004D56CE" w:rsidRPr="00F54385">
        <w:t xml:space="preserve"> </w:t>
      </w:r>
      <w:r w:rsidRPr="00F54385">
        <w:t xml:space="preserve">both estimations of uptake kinetics may be used for simulation within a range of nitrogen up to a few </w:t>
      </w:r>
      <w:proofErr w:type="spellStart"/>
      <w:r w:rsidRPr="00F54385">
        <w:t>milimols</w:t>
      </w:r>
      <w:proofErr w:type="spellEnd"/>
      <w:r w:rsidRPr="00F54385">
        <w:t xml:space="preserve">. Latter </w:t>
      </w:r>
      <w:r w:rsidR="00F54385" w:rsidRPr="00F54385">
        <w:t>facilitates</w:t>
      </w:r>
      <w:r w:rsidRPr="00F54385">
        <w:t xml:space="preserve"> the comparison with other studies. </w:t>
      </w:r>
    </w:p>
    <w:p w:rsidR="00AD29C1" w:rsidRPr="00F54385" w:rsidRDefault="00AD29C1">
      <w:r w:rsidRPr="00F54385">
        <w:rPr>
          <w:noProof/>
          <w:lang w:val="en-US"/>
        </w:rPr>
        <w:drawing>
          <wp:inline distT="0" distB="0" distL="0" distR="0" wp14:anchorId="5F0DD869" wp14:editId="31342896">
            <wp:extent cx="4475593" cy="261632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5269" cy="2616138"/>
                    </a:xfrm>
                    <a:prstGeom prst="rect">
                      <a:avLst/>
                    </a:prstGeom>
                    <a:noFill/>
                  </pic:spPr>
                </pic:pic>
              </a:graphicData>
            </a:graphic>
          </wp:inline>
        </w:drawing>
      </w:r>
    </w:p>
    <w:p w:rsidR="00AB62C4" w:rsidRPr="00F54385" w:rsidRDefault="005E1650">
      <w:r>
        <w:t xml:space="preserve">Supplementary </w:t>
      </w:r>
      <w:r w:rsidR="00CA167D" w:rsidRPr="00F54385">
        <w:t>Fig</w:t>
      </w:r>
      <w:r>
        <w:t>ure</w:t>
      </w:r>
      <w:r w:rsidR="00CA167D" w:rsidRPr="00F54385">
        <w:t xml:space="preserve"> S</w:t>
      </w:r>
      <w:r w:rsidR="00933360">
        <w:t>3</w:t>
      </w:r>
      <w:r w:rsidR="00DB0FC3">
        <w:t xml:space="preserve"> compares simulated exposure times of different models calculating the uptake kinetics. For</w:t>
      </w:r>
      <w:r w:rsidR="00D064D2" w:rsidRPr="00F54385">
        <w:t xml:space="preserve"> solid lines </w:t>
      </w:r>
      <w:r w:rsidR="00DB0FC3">
        <w:t>the</w:t>
      </w:r>
      <w:r w:rsidR="00D064D2" w:rsidRPr="00F54385">
        <w:t xml:space="preserve"> curves were calculated using 3 parameters and </w:t>
      </w:r>
      <w:r w:rsidR="00DB0FC3">
        <w:t xml:space="preserve">the </w:t>
      </w:r>
      <w:r w:rsidR="00D064D2" w:rsidRPr="00F54385">
        <w:t>dash dotted lines were calculated using 2 parameters</w:t>
      </w:r>
      <w:r w:rsidR="00D477B4" w:rsidRPr="00F54385">
        <w:t xml:space="preserve"> </w:t>
      </w:r>
      <w:r w:rsidR="00DB0FC3">
        <w:t xml:space="preserve">similar as </w:t>
      </w:r>
      <w:r w:rsidR="00D477B4" w:rsidRPr="00F54385">
        <w:t>in Figure 1</w:t>
      </w:r>
      <w:r w:rsidR="00D064D2" w:rsidRPr="00F54385">
        <w:t>.</w:t>
      </w:r>
      <w:r w:rsidR="00CA167D" w:rsidRPr="00F54385">
        <w:t xml:space="preserve"> Black solid line </w:t>
      </w:r>
      <w:r w:rsidR="00DB0FC3">
        <w:t xml:space="preserve">shows the simulation </w:t>
      </w:r>
      <w:r w:rsidR="00CA167D" w:rsidRPr="00F54385">
        <w:t>for ammonium (</w:t>
      </w:r>
      <w:proofErr w:type="spellStart"/>
      <w:r w:rsidR="00CA167D" w:rsidRPr="00F54385">
        <w:t>V</w:t>
      </w:r>
      <w:r w:rsidR="00CA167D" w:rsidRPr="00F54385">
        <w:rPr>
          <w:vertAlign w:val="subscript"/>
        </w:rPr>
        <w:t>max</w:t>
      </w:r>
      <w:proofErr w:type="spellEnd"/>
      <w:r w:rsidR="00CA167D" w:rsidRPr="00F54385">
        <w:t xml:space="preserve"> =</w:t>
      </w:r>
      <w:r w:rsidR="00D064D2" w:rsidRPr="00F54385">
        <w:t xml:space="preserve"> 28</w:t>
      </w:r>
      <w:r w:rsidR="00CA167D" w:rsidRPr="00F54385">
        <w:t xml:space="preserve"> ; K</w:t>
      </w:r>
      <w:r w:rsidR="00CA167D" w:rsidRPr="00F54385">
        <w:rPr>
          <w:vertAlign w:val="subscript"/>
        </w:rPr>
        <w:t>m</w:t>
      </w:r>
      <w:r w:rsidR="00CA167D" w:rsidRPr="00F54385">
        <w:t xml:space="preserve"> </w:t>
      </w:r>
      <w:r w:rsidR="00D064D2" w:rsidRPr="00F54385">
        <w:t>= 6.5</w:t>
      </w:r>
      <w:r w:rsidR="00CA167D" w:rsidRPr="00F54385">
        <w:t xml:space="preserve">; </w:t>
      </w:r>
      <w:r w:rsidR="00D064D2" w:rsidRPr="00F54385">
        <w:t>k</w:t>
      </w:r>
      <w:r w:rsidR="00CA167D" w:rsidRPr="00F54385">
        <w:t xml:space="preserve"> =</w:t>
      </w:r>
      <w:r w:rsidR="00D064D2" w:rsidRPr="00F54385">
        <w:t xml:space="preserve"> 0.02</w:t>
      </w:r>
      <w:r w:rsidR="009B1AB6" w:rsidRPr="00F54385">
        <w:t>2</w:t>
      </w:r>
      <w:r w:rsidR="00CA167D" w:rsidRPr="00F54385">
        <w:t xml:space="preserve"> ) </w:t>
      </w:r>
      <w:r w:rsidR="00D064D2" w:rsidRPr="00F54385">
        <w:t>against the</w:t>
      </w:r>
      <w:r w:rsidR="00CA167D" w:rsidRPr="00F54385">
        <w:t xml:space="preserve"> dash-dotted</w:t>
      </w:r>
      <w:r w:rsidR="00D064D2" w:rsidRPr="00F54385">
        <w:t xml:space="preserve"> black</w:t>
      </w:r>
      <w:r w:rsidR="00CA167D" w:rsidRPr="00F54385">
        <w:t xml:space="preserve"> line ammonium (</w:t>
      </w:r>
      <w:proofErr w:type="spellStart"/>
      <w:r w:rsidR="00CA167D" w:rsidRPr="00F54385">
        <w:t>V</w:t>
      </w:r>
      <w:r w:rsidR="00CA167D" w:rsidRPr="00F54385">
        <w:rPr>
          <w:vertAlign w:val="subscript"/>
        </w:rPr>
        <w:t>max</w:t>
      </w:r>
      <w:proofErr w:type="spellEnd"/>
      <w:r w:rsidR="00CA167D" w:rsidRPr="00F54385">
        <w:t xml:space="preserve"> = </w:t>
      </w:r>
      <w:r w:rsidR="00D064D2" w:rsidRPr="00F54385">
        <w:t>35</w:t>
      </w:r>
      <w:r w:rsidR="00CA167D" w:rsidRPr="00F54385">
        <w:t>; K</w:t>
      </w:r>
      <w:r w:rsidR="00CA167D" w:rsidRPr="00F54385">
        <w:rPr>
          <w:vertAlign w:val="subscript"/>
        </w:rPr>
        <w:t>m</w:t>
      </w:r>
      <w:r w:rsidR="00CA167D" w:rsidRPr="00F54385">
        <w:t xml:space="preserve"> = </w:t>
      </w:r>
      <w:r w:rsidR="00D064D2" w:rsidRPr="00F54385">
        <w:t>11.3</w:t>
      </w:r>
      <w:r w:rsidR="00CA167D" w:rsidRPr="00F54385">
        <w:t xml:space="preserve"> ).</w:t>
      </w:r>
      <w:r w:rsidR="00D064D2" w:rsidRPr="00F54385">
        <w:t xml:space="preserve"> Above these curves </w:t>
      </w:r>
      <w:r w:rsidR="00DB0FC3">
        <w:t xml:space="preserve">we plotted the </w:t>
      </w:r>
      <w:r w:rsidR="00D064D2" w:rsidRPr="00F54385">
        <w:t>blue solid line (</w:t>
      </w:r>
      <w:proofErr w:type="spellStart"/>
      <w:r w:rsidR="00D064D2" w:rsidRPr="00F54385">
        <w:t>V</w:t>
      </w:r>
      <w:r w:rsidR="00D064D2" w:rsidRPr="00F54385">
        <w:rPr>
          <w:vertAlign w:val="subscript"/>
        </w:rPr>
        <w:t>max</w:t>
      </w:r>
      <w:proofErr w:type="spellEnd"/>
      <w:r w:rsidR="00D064D2" w:rsidRPr="00F54385">
        <w:t xml:space="preserve"> = 2.5; K</w:t>
      </w:r>
      <w:r w:rsidR="00D064D2" w:rsidRPr="00F54385">
        <w:rPr>
          <w:vertAlign w:val="subscript"/>
        </w:rPr>
        <w:t>m</w:t>
      </w:r>
      <w:r w:rsidR="00D064D2" w:rsidRPr="00F54385">
        <w:t xml:space="preserve"> </w:t>
      </w:r>
      <w:r w:rsidR="009B1AB6" w:rsidRPr="00F54385">
        <w:t>= 3.5;</w:t>
      </w:r>
      <w:r w:rsidR="00D064D2" w:rsidRPr="00F54385">
        <w:t xml:space="preserve"> k =</w:t>
      </w:r>
      <w:r w:rsidR="009B1AB6" w:rsidRPr="00F54385">
        <w:t xml:space="preserve"> 0.004</w:t>
      </w:r>
      <w:r w:rsidR="00D064D2" w:rsidRPr="00F54385">
        <w:t xml:space="preserve"> ) against </w:t>
      </w:r>
      <w:r w:rsidR="00DB0FC3">
        <w:t xml:space="preserve">the </w:t>
      </w:r>
      <w:r w:rsidR="00D064D2" w:rsidRPr="00F54385">
        <w:t>dash-dotted blue line nitrate (</w:t>
      </w:r>
      <w:proofErr w:type="spellStart"/>
      <w:r w:rsidR="00D477B4" w:rsidRPr="00F54385">
        <w:t>V</w:t>
      </w:r>
      <w:r w:rsidR="00D477B4" w:rsidRPr="00F54385">
        <w:rPr>
          <w:vertAlign w:val="subscript"/>
        </w:rPr>
        <w:t>max</w:t>
      </w:r>
      <w:proofErr w:type="spellEnd"/>
      <w:r w:rsidR="00D477B4" w:rsidRPr="00F54385">
        <w:t xml:space="preserve"> = 3.7; K</w:t>
      </w:r>
      <w:r w:rsidR="00D477B4" w:rsidRPr="00F54385">
        <w:rPr>
          <w:vertAlign w:val="subscript"/>
        </w:rPr>
        <w:t>m</w:t>
      </w:r>
      <w:r w:rsidR="00D477B4" w:rsidRPr="00F54385">
        <w:t xml:space="preserve"> = 11.0).</w:t>
      </w:r>
      <w:r w:rsidR="00DB0FC3">
        <w:t xml:space="preserve"> The orange box represents the range of nitrogen concentration found in rain water from pristine and polluted areas as well as </w:t>
      </w:r>
      <w:proofErr w:type="spellStart"/>
      <w:r w:rsidR="00DB0FC3">
        <w:t>artifical</w:t>
      </w:r>
      <w:proofErr w:type="spellEnd"/>
      <w:r w:rsidR="00DB0FC3">
        <w:t xml:space="preserve"> rain</w:t>
      </w:r>
      <w:r w:rsidR="007C3E0E">
        <w:t xml:space="preserve"> used</w:t>
      </w:r>
      <w:r w:rsidR="00DB0FC3">
        <w:t xml:space="preserve"> in N-addition experiments.</w:t>
      </w:r>
    </w:p>
    <w:sectPr w:rsidR="00AB62C4" w:rsidRPr="00F54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E0"/>
    <w:rsid w:val="00055915"/>
    <w:rsid w:val="00085518"/>
    <w:rsid w:val="00091C19"/>
    <w:rsid w:val="000B36DC"/>
    <w:rsid w:val="001D7D9B"/>
    <w:rsid w:val="001F021B"/>
    <w:rsid w:val="002949BD"/>
    <w:rsid w:val="002B51B8"/>
    <w:rsid w:val="00391DCA"/>
    <w:rsid w:val="00407389"/>
    <w:rsid w:val="004C3D01"/>
    <w:rsid w:val="004D56CE"/>
    <w:rsid w:val="0051360D"/>
    <w:rsid w:val="0051777A"/>
    <w:rsid w:val="00567789"/>
    <w:rsid w:val="00590111"/>
    <w:rsid w:val="005E1650"/>
    <w:rsid w:val="00607E6D"/>
    <w:rsid w:val="00674BEA"/>
    <w:rsid w:val="00774217"/>
    <w:rsid w:val="007C3E0E"/>
    <w:rsid w:val="00835417"/>
    <w:rsid w:val="00933360"/>
    <w:rsid w:val="009805F0"/>
    <w:rsid w:val="009B1AB6"/>
    <w:rsid w:val="00A21FE0"/>
    <w:rsid w:val="00AA0AB8"/>
    <w:rsid w:val="00AB62C4"/>
    <w:rsid w:val="00AD29C1"/>
    <w:rsid w:val="00B532FB"/>
    <w:rsid w:val="00B86173"/>
    <w:rsid w:val="00BA6B35"/>
    <w:rsid w:val="00C47ADA"/>
    <w:rsid w:val="00CA167D"/>
    <w:rsid w:val="00CD6BC9"/>
    <w:rsid w:val="00D064D2"/>
    <w:rsid w:val="00D477B4"/>
    <w:rsid w:val="00D77F8E"/>
    <w:rsid w:val="00DB0FC3"/>
    <w:rsid w:val="00DC19EA"/>
    <w:rsid w:val="00E57159"/>
    <w:rsid w:val="00E806F7"/>
    <w:rsid w:val="00F54385"/>
    <w:rsid w:val="00F71A26"/>
    <w:rsid w:val="00FD1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0111"/>
    <w:rPr>
      <w:sz w:val="16"/>
      <w:szCs w:val="16"/>
    </w:rPr>
  </w:style>
  <w:style w:type="paragraph" w:styleId="CommentText">
    <w:name w:val="annotation text"/>
    <w:basedOn w:val="Normal"/>
    <w:link w:val="CommentTextChar"/>
    <w:uiPriority w:val="99"/>
    <w:semiHidden/>
    <w:unhideWhenUsed/>
    <w:rsid w:val="00590111"/>
    <w:pPr>
      <w:spacing w:line="240" w:lineRule="auto"/>
    </w:pPr>
    <w:rPr>
      <w:sz w:val="20"/>
      <w:szCs w:val="20"/>
    </w:rPr>
  </w:style>
  <w:style w:type="character" w:customStyle="1" w:styleId="CommentTextChar">
    <w:name w:val="Comment Text Char"/>
    <w:basedOn w:val="DefaultParagraphFont"/>
    <w:link w:val="CommentText"/>
    <w:uiPriority w:val="99"/>
    <w:semiHidden/>
    <w:rsid w:val="00590111"/>
    <w:rPr>
      <w:sz w:val="20"/>
      <w:szCs w:val="20"/>
      <w:lang w:val="en-GB"/>
    </w:rPr>
  </w:style>
  <w:style w:type="paragraph" w:styleId="CommentSubject">
    <w:name w:val="annotation subject"/>
    <w:basedOn w:val="CommentText"/>
    <w:next w:val="CommentText"/>
    <w:link w:val="CommentSubjectChar"/>
    <w:uiPriority w:val="99"/>
    <w:semiHidden/>
    <w:unhideWhenUsed/>
    <w:rsid w:val="00590111"/>
    <w:rPr>
      <w:b/>
      <w:bCs/>
    </w:rPr>
  </w:style>
  <w:style w:type="character" w:customStyle="1" w:styleId="CommentSubjectChar">
    <w:name w:val="Comment Subject Char"/>
    <w:basedOn w:val="CommentTextChar"/>
    <w:link w:val="CommentSubject"/>
    <w:uiPriority w:val="99"/>
    <w:semiHidden/>
    <w:rsid w:val="00590111"/>
    <w:rPr>
      <w:b/>
      <w:bCs/>
      <w:sz w:val="20"/>
      <w:szCs w:val="20"/>
      <w:lang w:val="en-GB"/>
    </w:rPr>
  </w:style>
  <w:style w:type="paragraph" w:styleId="BalloonText">
    <w:name w:val="Balloon Text"/>
    <w:basedOn w:val="Normal"/>
    <w:link w:val="BalloonTextChar"/>
    <w:uiPriority w:val="99"/>
    <w:semiHidden/>
    <w:unhideWhenUsed/>
    <w:rsid w:val="00590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111"/>
    <w:rPr>
      <w:rFonts w:ascii="Tahoma" w:hAnsi="Tahoma" w:cs="Tahoma"/>
      <w:sz w:val="16"/>
      <w:szCs w:val="16"/>
      <w:lang w:val="en-GB"/>
    </w:rPr>
  </w:style>
  <w:style w:type="paragraph" w:styleId="Revision">
    <w:name w:val="Revision"/>
    <w:hidden/>
    <w:uiPriority w:val="99"/>
    <w:semiHidden/>
    <w:rsid w:val="00590111"/>
    <w:pPr>
      <w:spacing w:after="0" w:line="240" w:lineRule="auto"/>
    </w:pPr>
    <w:rPr>
      <w:lang w:val="en-GB"/>
    </w:rPr>
  </w:style>
  <w:style w:type="table" w:styleId="TableGrid">
    <w:name w:val="Table Grid"/>
    <w:basedOn w:val="TableNormal"/>
    <w:uiPriority w:val="59"/>
    <w:rsid w:val="002B5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0111"/>
    <w:rPr>
      <w:sz w:val="16"/>
      <w:szCs w:val="16"/>
    </w:rPr>
  </w:style>
  <w:style w:type="paragraph" w:styleId="CommentText">
    <w:name w:val="annotation text"/>
    <w:basedOn w:val="Normal"/>
    <w:link w:val="CommentTextChar"/>
    <w:uiPriority w:val="99"/>
    <w:semiHidden/>
    <w:unhideWhenUsed/>
    <w:rsid w:val="00590111"/>
    <w:pPr>
      <w:spacing w:line="240" w:lineRule="auto"/>
    </w:pPr>
    <w:rPr>
      <w:sz w:val="20"/>
      <w:szCs w:val="20"/>
    </w:rPr>
  </w:style>
  <w:style w:type="character" w:customStyle="1" w:styleId="CommentTextChar">
    <w:name w:val="Comment Text Char"/>
    <w:basedOn w:val="DefaultParagraphFont"/>
    <w:link w:val="CommentText"/>
    <w:uiPriority w:val="99"/>
    <w:semiHidden/>
    <w:rsid w:val="00590111"/>
    <w:rPr>
      <w:sz w:val="20"/>
      <w:szCs w:val="20"/>
      <w:lang w:val="en-GB"/>
    </w:rPr>
  </w:style>
  <w:style w:type="paragraph" w:styleId="CommentSubject">
    <w:name w:val="annotation subject"/>
    <w:basedOn w:val="CommentText"/>
    <w:next w:val="CommentText"/>
    <w:link w:val="CommentSubjectChar"/>
    <w:uiPriority w:val="99"/>
    <w:semiHidden/>
    <w:unhideWhenUsed/>
    <w:rsid w:val="00590111"/>
    <w:rPr>
      <w:b/>
      <w:bCs/>
    </w:rPr>
  </w:style>
  <w:style w:type="character" w:customStyle="1" w:styleId="CommentSubjectChar">
    <w:name w:val="Comment Subject Char"/>
    <w:basedOn w:val="CommentTextChar"/>
    <w:link w:val="CommentSubject"/>
    <w:uiPriority w:val="99"/>
    <w:semiHidden/>
    <w:rsid w:val="00590111"/>
    <w:rPr>
      <w:b/>
      <w:bCs/>
      <w:sz w:val="20"/>
      <w:szCs w:val="20"/>
      <w:lang w:val="en-GB"/>
    </w:rPr>
  </w:style>
  <w:style w:type="paragraph" w:styleId="BalloonText">
    <w:name w:val="Balloon Text"/>
    <w:basedOn w:val="Normal"/>
    <w:link w:val="BalloonTextChar"/>
    <w:uiPriority w:val="99"/>
    <w:semiHidden/>
    <w:unhideWhenUsed/>
    <w:rsid w:val="00590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111"/>
    <w:rPr>
      <w:rFonts w:ascii="Tahoma" w:hAnsi="Tahoma" w:cs="Tahoma"/>
      <w:sz w:val="16"/>
      <w:szCs w:val="16"/>
      <w:lang w:val="en-GB"/>
    </w:rPr>
  </w:style>
  <w:style w:type="paragraph" w:styleId="Revision">
    <w:name w:val="Revision"/>
    <w:hidden/>
    <w:uiPriority w:val="99"/>
    <w:semiHidden/>
    <w:rsid w:val="00590111"/>
    <w:pPr>
      <w:spacing w:after="0" w:line="240" w:lineRule="auto"/>
    </w:pPr>
    <w:rPr>
      <w:lang w:val="en-GB"/>
    </w:rPr>
  </w:style>
  <w:style w:type="table" w:styleId="TableGrid">
    <w:name w:val="Table Grid"/>
    <w:basedOn w:val="TableNormal"/>
    <w:uiPriority w:val="59"/>
    <w:rsid w:val="002B5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2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800D-C5CF-1B4F-B8F2-65F25C4D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4150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Steve Barry</cp:lastModifiedBy>
  <cp:revision>2</cp:revision>
  <dcterms:created xsi:type="dcterms:W3CDTF">2013-12-17T18:09:00Z</dcterms:created>
  <dcterms:modified xsi:type="dcterms:W3CDTF">2013-12-17T18:09:00Z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