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EF" w:rsidRPr="003E3C4E" w:rsidRDefault="008F1FEF" w:rsidP="003E3C4E">
      <w:pPr>
        <w:autoSpaceDE w:val="0"/>
        <w:autoSpaceDN w:val="0"/>
        <w:adjustRightInd w:val="0"/>
        <w:spacing w:after="0" w:line="480" w:lineRule="auto"/>
        <w:jc w:val="both"/>
        <w:rPr>
          <w:rFonts w:ascii="Arial" w:hAnsi="Arial" w:cs="Arial"/>
          <w:b/>
          <w:sz w:val="24"/>
          <w:szCs w:val="24"/>
          <w:lang w:val="en-US"/>
        </w:rPr>
      </w:pPr>
      <w:r w:rsidRPr="00116C8C">
        <w:rPr>
          <w:rFonts w:ascii="Arial" w:hAnsi="Arial" w:cs="Arial"/>
          <w:b/>
          <w:sz w:val="24"/>
          <w:szCs w:val="24"/>
          <w:lang w:val="en-US"/>
        </w:rPr>
        <w:t>Supporting Information</w:t>
      </w:r>
      <w:r w:rsidRPr="003E3C4E">
        <w:rPr>
          <w:rFonts w:ascii="Arial" w:hAnsi="Arial" w:cs="Arial"/>
          <w:b/>
          <w:sz w:val="24"/>
          <w:szCs w:val="24"/>
          <w:lang w:val="en-US"/>
        </w:rPr>
        <w:t xml:space="preserve"> file S1</w:t>
      </w:r>
    </w:p>
    <w:p w:rsidR="008F1FEF" w:rsidRPr="003E3C4E" w:rsidRDefault="008F1FEF" w:rsidP="003E3C4E">
      <w:pPr>
        <w:autoSpaceDE w:val="0"/>
        <w:autoSpaceDN w:val="0"/>
        <w:adjustRightInd w:val="0"/>
        <w:spacing w:after="0" w:line="480" w:lineRule="auto"/>
        <w:jc w:val="both"/>
        <w:rPr>
          <w:rFonts w:ascii="Arial" w:hAnsi="Arial" w:cs="Arial"/>
          <w:sz w:val="24"/>
          <w:szCs w:val="24"/>
          <w:lang w:val="en-US"/>
        </w:rPr>
      </w:pPr>
      <w:r w:rsidRPr="003E3C4E">
        <w:rPr>
          <w:rFonts w:ascii="Arial" w:hAnsi="Arial" w:cs="Arial"/>
          <w:sz w:val="24"/>
          <w:szCs w:val="24"/>
          <w:lang w:val="en-US"/>
        </w:rPr>
        <w:t xml:space="preserve">According to consensus guidelines, persons of age more than 5 years have impaired polysaccharide responsiveness if more than 30% of responses to individual polysaccharides are insufficient </w:t>
      </w:r>
      <w:r w:rsidRPr="003E3C4E">
        <w:rPr>
          <w:rFonts w:ascii="Arial" w:hAnsi="Arial" w:cs="Arial"/>
          <w:sz w:val="24"/>
          <w:szCs w:val="24"/>
          <w:lang w:val="en-US"/>
        </w:rPr>
        <w:fldChar w:fldCharType="begin"/>
      </w:r>
      <w:r w:rsidRPr="003E3C4E">
        <w:rPr>
          <w:rFonts w:ascii="Arial" w:hAnsi="Arial" w:cs="Arial"/>
          <w:sz w:val="24"/>
          <w:szCs w:val="24"/>
          <w:lang w:val="en-US"/>
        </w:rPr>
        <w:instrText>ADDIN RW.CITE{{1 Bonilla,F.A. 2005}}</w:instrText>
      </w:r>
      <w:r w:rsidRPr="003E3C4E">
        <w:rPr>
          <w:rFonts w:ascii="Arial" w:hAnsi="Arial" w:cs="Arial"/>
          <w:sz w:val="24"/>
          <w:szCs w:val="24"/>
          <w:lang w:val="en-US"/>
        </w:rPr>
        <w:fldChar w:fldCharType="separate"/>
      </w:r>
      <w:r>
        <w:rPr>
          <w:rFonts w:ascii="Arial" w:hAnsi="Arial" w:cs="Arial"/>
          <w:sz w:val="24"/>
          <w:szCs w:val="24"/>
          <w:lang w:val="en-US"/>
        </w:rPr>
        <w:t>[1]</w:t>
      </w:r>
      <w:r w:rsidRPr="003E3C4E">
        <w:rPr>
          <w:rFonts w:ascii="Arial" w:hAnsi="Arial" w:cs="Arial"/>
          <w:sz w:val="24"/>
          <w:szCs w:val="24"/>
          <w:lang w:val="en-US"/>
        </w:rPr>
        <w:fldChar w:fldCharType="end"/>
      </w:r>
      <w:r w:rsidRPr="003E3C4E">
        <w:rPr>
          <w:rFonts w:ascii="Arial" w:hAnsi="Arial" w:cs="Arial"/>
          <w:sz w:val="24"/>
          <w:szCs w:val="24"/>
          <w:lang w:val="en-US"/>
        </w:rPr>
        <w:t xml:space="preserve">. The </w:t>
      </w:r>
      <w:r w:rsidRPr="003E3C4E">
        <w:rPr>
          <w:rFonts w:ascii="Arial" w:hAnsi="Arial" w:cs="Arial"/>
          <w:i/>
          <w:sz w:val="24"/>
          <w:szCs w:val="24"/>
          <w:lang w:val="en-US"/>
        </w:rPr>
        <w:t>exact</w:t>
      </w:r>
      <w:r w:rsidRPr="003E3C4E">
        <w:rPr>
          <w:rFonts w:ascii="Arial" w:hAnsi="Arial" w:cs="Arial"/>
          <w:sz w:val="24"/>
          <w:szCs w:val="24"/>
          <w:lang w:val="en-US"/>
        </w:rPr>
        <w:t xml:space="preserve"> number of responses to be examined is not defined which we claim undermines the usability of the consensus guidelines. The explanation is given here.</w:t>
      </w:r>
    </w:p>
    <w:p w:rsidR="008F1FEF" w:rsidRPr="003E3C4E" w:rsidRDefault="008F1FEF" w:rsidP="003E3C4E">
      <w:pPr>
        <w:autoSpaceDE w:val="0"/>
        <w:autoSpaceDN w:val="0"/>
        <w:adjustRightInd w:val="0"/>
        <w:spacing w:after="0" w:line="480" w:lineRule="auto"/>
        <w:jc w:val="both"/>
        <w:rPr>
          <w:rFonts w:ascii="Arial" w:hAnsi="Arial" w:cs="Arial"/>
          <w:sz w:val="24"/>
          <w:szCs w:val="24"/>
          <w:lang w:val="en-US"/>
        </w:rPr>
      </w:pPr>
      <w:r w:rsidRPr="003E3C4E">
        <w:rPr>
          <w:rFonts w:ascii="Arial" w:hAnsi="Arial" w:cs="Arial"/>
          <w:sz w:val="24"/>
          <w:szCs w:val="24"/>
          <w:lang w:val="en-US"/>
        </w:rPr>
        <w:t>Common to examination of 1, 2, or 3 individual polysaccharide responses: one (or more) insufficient response will satisfy the criterion for impaired responsiveness because more than 30% of individual responses are insufficient. However, the risk of producing at least 1 insufficient response increases with the number of examined individual responses. Therefore, classification as “impaired responsiveness” is most likely when 3 responses are examined, less likely when 2 responses are examined and least likely when 1 response is examined.</w:t>
      </w:r>
    </w:p>
    <w:p w:rsidR="008F1FEF" w:rsidRPr="003E3C4E" w:rsidRDefault="008F1FEF" w:rsidP="003E3C4E">
      <w:pPr>
        <w:autoSpaceDE w:val="0"/>
        <w:autoSpaceDN w:val="0"/>
        <w:adjustRightInd w:val="0"/>
        <w:spacing w:after="0" w:line="480" w:lineRule="auto"/>
        <w:jc w:val="both"/>
        <w:rPr>
          <w:rFonts w:ascii="Arial" w:hAnsi="Arial" w:cs="Arial"/>
          <w:sz w:val="24"/>
          <w:szCs w:val="24"/>
          <w:lang w:val="en-US"/>
        </w:rPr>
      </w:pPr>
      <w:r w:rsidRPr="003E3C4E">
        <w:rPr>
          <w:rFonts w:ascii="Arial" w:hAnsi="Arial" w:cs="Arial"/>
          <w:sz w:val="24"/>
          <w:szCs w:val="24"/>
          <w:lang w:val="en-US"/>
        </w:rPr>
        <w:t>Common to examination of 4, 5 or 6 responses: two (or more) insufficient responses will satisfy the criterion for impaired responsiveness. The risk of producing at least 2 insufficient responses increases with the number of examined responses. Therefore, “impaired responsiveness” is most likely when 6 responses are examined, less likely when 5 responses are examined and least likely when 4 responses are examined.</w:t>
      </w:r>
    </w:p>
    <w:p w:rsidR="008F1FEF" w:rsidRPr="003E3C4E" w:rsidRDefault="008F1FEF" w:rsidP="003E3C4E">
      <w:pPr>
        <w:autoSpaceDE w:val="0"/>
        <w:autoSpaceDN w:val="0"/>
        <w:adjustRightInd w:val="0"/>
        <w:spacing w:after="0" w:line="480" w:lineRule="auto"/>
        <w:jc w:val="both"/>
        <w:rPr>
          <w:rFonts w:ascii="Arial" w:hAnsi="Arial" w:cs="Arial"/>
          <w:sz w:val="24"/>
          <w:szCs w:val="24"/>
          <w:lang w:val="en-US"/>
        </w:rPr>
      </w:pPr>
      <w:r w:rsidRPr="003E3C4E">
        <w:rPr>
          <w:rFonts w:ascii="Arial" w:hAnsi="Arial" w:cs="Arial"/>
          <w:sz w:val="24"/>
          <w:szCs w:val="24"/>
          <w:lang w:val="en-US"/>
        </w:rPr>
        <w:t xml:space="preserve">This relation continues in steps containing 3 consecutive numbers of responses. On the first step (1, 2, or 3 responses), “impaired responsiveness” is most likely from examination of 3&gt;2&gt;1 responses, on the second step: 6&gt;5&gt;4 responses, on the third step: 9&gt;8&gt;7 responses, on the fourth step: 12&gt;11&gt;10 responses, on the fifth step: 15&gt;14&gt;13 responses, on the sixth step: 18&gt;17&gt;16 responses, on the seventh step: 21&gt;20&gt;19 responses, and on the eighth steps: 23&gt;22 responses (the used vaccine typically contains 23 different polysaccharides wherefore 23 responses is the upper limit). Thus, </w:t>
      </w:r>
      <w:r w:rsidRPr="003E3C4E">
        <w:rPr>
          <w:rFonts w:ascii="Arial" w:hAnsi="Arial" w:cs="Arial"/>
          <w:i/>
          <w:sz w:val="24"/>
          <w:szCs w:val="24"/>
          <w:lang w:val="en-US"/>
        </w:rPr>
        <w:t>within</w:t>
      </w:r>
      <w:r w:rsidRPr="003E3C4E">
        <w:rPr>
          <w:rFonts w:ascii="Arial" w:hAnsi="Arial" w:cs="Arial"/>
          <w:sz w:val="24"/>
          <w:szCs w:val="24"/>
          <w:lang w:val="en-US"/>
        </w:rPr>
        <w:t xml:space="preserve"> any of these steps, an increase in number of examined responses causes an increased probability of fulfilling the criterion for impaired responsiveness.</w:t>
      </w:r>
    </w:p>
    <w:p w:rsidR="008F1FEF" w:rsidRPr="003E3C4E" w:rsidRDefault="008F1FEF" w:rsidP="003E3C4E">
      <w:pPr>
        <w:autoSpaceDE w:val="0"/>
        <w:autoSpaceDN w:val="0"/>
        <w:adjustRightInd w:val="0"/>
        <w:spacing w:after="0" w:line="480" w:lineRule="auto"/>
        <w:jc w:val="both"/>
        <w:rPr>
          <w:rFonts w:ascii="Arial" w:hAnsi="Arial" w:cs="Arial"/>
          <w:sz w:val="24"/>
          <w:szCs w:val="24"/>
          <w:lang w:val="en-US"/>
        </w:rPr>
      </w:pPr>
      <w:r w:rsidRPr="003E3C4E">
        <w:rPr>
          <w:rFonts w:ascii="Arial" w:hAnsi="Arial" w:cs="Arial"/>
          <w:sz w:val="24"/>
          <w:szCs w:val="24"/>
          <w:lang w:val="en-US"/>
        </w:rPr>
        <w:t xml:space="preserve">The influence on “impaired responsiveness” probability is less straightforward when numbers of responses from different steps are compared. The key is in the probabilities for producing sufficient individual responses. </w:t>
      </w:r>
      <w:r w:rsidRPr="003E3C4E">
        <w:rPr>
          <w:rFonts w:ascii="Arial" w:hAnsi="Arial" w:cs="Arial"/>
          <w:b/>
          <w:sz w:val="24"/>
          <w:szCs w:val="24"/>
          <w:lang w:val="en-US"/>
        </w:rPr>
        <w:t>Figure S1</w:t>
      </w:r>
      <w:r w:rsidRPr="003E3C4E">
        <w:rPr>
          <w:rFonts w:ascii="Arial" w:hAnsi="Arial" w:cs="Arial"/>
          <w:sz w:val="24"/>
          <w:szCs w:val="24"/>
          <w:lang w:val="en-US"/>
        </w:rPr>
        <w:t xml:space="preserve"> illustrates the relation in fictive populations with varying average probability of producing insufficient responses (</w:t>
      </w:r>
      <w:r w:rsidRPr="003E3C4E">
        <w:rPr>
          <w:rFonts w:ascii="Arial" w:hAnsi="Arial" w:cs="Arial"/>
          <w:position w:val="-6"/>
          <w:sz w:val="24"/>
          <w:szCs w:val="24"/>
          <w:lang w:val="en-US"/>
        </w:rPr>
        <w:object w:dxaOrig="2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3.5pt" o:ole="">
            <v:imagedata r:id="rId4" o:title=""/>
          </v:shape>
          <o:OLEObject Type="Embed" ProgID="Equation.3" ShapeID="_x0000_i1025" DrawAspect="Content" ObjectID="_1431503170" r:id="rId5"/>
        </w:object>
      </w:r>
      <w:r w:rsidRPr="003E3C4E">
        <w:rPr>
          <w:rFonts w:ascii="Arial" w:hAnsi="Arial" w:cs="Arial"/>
          <w:sz w:val="24"/>
          <w:szCs w:val="24"/>
          <w:lang w:val="en-US"/>
        </w:rPr>
        <w:t xml:space="preserve">). </w:t>
      </w:r>
    </w:p>
    <w:p w:rsidR="008F1FEF" w:rsidRPr="003E3C4E" w:rsidRDefault="008F1FEF" w:rsidP="003E3C4E">
      <w:pPr>
        <w:autoSpaceDE w:val="0"/>
        <w:autoSpaceDN w:val="0"/>
        <w:adjustRightInd w:val="0"/>
        <w:spacing w:after="0" w:line="480" w:lineRule="auto"/>
        <w:jc w:val="both"/>
        <w:rPr>
          <w:rFonts w:ascii="Arial" w:hAnsi="Arial" w:cs="Arial"/>
          <w:sz w:val="24"/>
          <w:szCs w:val="24"/>
          <w:lang w:val="en-US"/>
        </w:rPr>
      </w:pPr>
      <w:r w:rsidRPr="003E3C4E">
        <w:rPr>
          <w:rFonts w:ascii="Arial" w:hAnsi="Arial" w:cs="Arial"/>
          <w:sz w:val="24"/>
          <w:szCs w:val="24"/>
          <w:lang w:val="en-US"/>
        </w:rPr>
        <w:t xml:space="preserve">When </w:t>
      </w:r>
      <w:r w:rsidRPr="003E3C4E">
        <w:rPr>
          <w:rFonts w:ascii="Arial" w:hAnsi="Arial" w:cs="Arial"/>
          <w:position w:val="-6"/>
          <w:sz w:val="24"/>
          <w:szCs w:val="24"/>
          <w:lang w:val="en-US"/>
        </w:rPr>
        <w:object w:dxaOrig="200" w:dyaOrig="279">
          <v:shape id="_x0000_i1026" type="#_x0000_t75" style="width:9.75pt;height:13.5pt" o:ole="">
            <v:imagedata r:id="rId6" o:title=""/>
          </v:shape>
          <o:OLEObject Type="Embed" ProgID="Equation.3" ShapeID="_x0000_i1026" DrawAspect="Content" ObjectID="_1431503171" r:id="rId7"/>
        </w:object>
      </w:r>
      <w:r w:rsidRPr="003E3C4E">
        <w:rPr>
          <w:rFonts w:ascii="Arial" w:hAnsi="Arial" w:cs="Arial"/>
          <w:sz w:val="24"/>
          <w:szCs w:val="24"/>
          <w:lang w:val="en-US"/>
        </w:rPr>
        <w:t xml:space="preserve"> is low (&lt;0.35), then examination of more responses will tend to </w:t>
      </w:r>
      <w:r w:rsidRPr="003E3C4E">
        <w:rPr>
          <w:rFonts w:ascii="Arial" w:hAnsi="Arial" w:cs="Arial"/>
          <w:i/>
          <w:sz w:val="24"/>
          <w:szCs w:val="24"/>
          <w:lang w:val="en-US"/>
        </w:rPr>
        <w:t>decrease</w:t>
      </w:r>
      <w:r w:rsidRPr="003E3C4E">
        <w:rPr>
          <w:rFonts w:ascii="Arial" w:hAnsi="Arial" w:cs="Arial"/>
          <w:sz w:val="24"/>
          <w:szCs w:val="24"/>
          <w:lang w:val="en-US"/>
        </w:rPr>
        <w:t xml:space="preserve"> the probability of “impaired responsiveness” (</w:t>
      </w:r>
      <w:r w:rsidRPr="003E3C4E">
        <w:rPr>
          <w:rFonts w:ascii="Arial" w:hAnsi="Arial" w:cs="Arial"/>
          <w:b/>
          <w:sz w:val="24"/>
          <w:szCs w:val="24"/>
          <w:lang w:val="en-US"/>
        </w:rPr>
        <w:t>A-C</w:t>
      </w:r>
      <w:r w:rsidRPr="003E3C4E">
        <w:rPr>
          <w:rFonts w:ascii="Arial" w:hAnsi="Arial" w:cs="Arial"/>
          <w:sz w:val="24"/>
          <w:szCs w:val="24"/>
          <w:lang w:val="en-US"/>
        </w:rPr>
        <w:t xml:space="preserve"> in </w:t>
      </w:r>
      <w:r w:rsidRPr="003E3C4E">
        <w:rPr>
          <w:rFonts w:ascii="Arial" w:hAnsi="Arial" w:cs="Arial"/>
          <w:b/>
          <w:sz w:val="24"/>
          <w:szCs w:val="24"/>
          <w:lang w:val="en-US"/>
        </w:rPr>
        <w:t>Figure S1</w:t>
      </w:r>
      <w:r w:rsidRPr="003E3C4E">
        <w:rPr>
          <w:rFonts w:ascii="Arial" w:hAnsi="Arial" w:cs="Arial"/>
          <w:sz w:val="24"/>
          <w:szCs w:val="24"/>
          <w:lang w:val="en-US"/>
        </w:rPr>
        <w:t xml:space="preserve">). </w:t>
      </w:r>
      <w:r w:rsidRPr="003E3C4E">
        <w:rPr>
          <w:rFonts w:ascii="Arial" w:hAnsi="Arial" w:cs="Arial"/>
          <w:position w:val="-6"/>
          <w:sz w:val="24"/>
          <w:szCs w:val="24"/>
          <w:lang w:val="en-US"/>
        </w:rPr>
        <w:object w:dxaOrig="200" w:dyaOrig="279">
          <v:shape id="_x0000_i1027" type="#_x0000_t75" style="width:9.75pt;height:13.5pt" o:ole="">
            <v:imagedata r:id="rId6" o:title=""/>
          </v:shape>
          <o:OLEObject Type="Embed" ProgID="Equation.3" ShapeID="_x0000_i1027" DrawAspect="Content" ObjectID="_1431503172" r:id="rId8"/>
        </w:object>
      </w:r>
      <w:r w:rsidRPr="003E3C4E">
        <w:rPr>
          <w:rFonts w:ascii="Arial" w:hAnsi="Arial" w:cs="Arial"/>
          <w:sz w:val="24"/>
          <w:szCs w:val="24"/>
          <w:lang w:val="en-US"/>
        </w:rPr>
        <w:t xml:space="preserve"> is decreased by testing persons with fairly intact ability to produce polysaccharide antibodies, by examining responses to the more immunogenic polysaccharides (for instance serotypes 14, </w:t>
      </w:r>
      <w:smartTag w:uri="urn:schemas-microsoft-com:office:smarttags" w:element="metricconverter">
        <w:smartTagPr>
          <w:attr w:name="ProductID" w:val="19F"/>
        </w:smartTagPr>
        <w:r w:rsidRPr="003E3C4E">
          <w:rPr>
            <w:rFonts w:ascii="Arial" w:hAnsi="Arial" w:cs="Arial"/>
            <w:sz w:val="24"/>
            <w:szCs w:val="24"/>
            <w:lang w:val="en-US"/>
          </w:rPr>
          <w:t>19F</w:t>
        </w:r>
      </w:smartTag>
      <w:r w:rsidRPr="003E3C4E">
        <w:rPr>
          <w:rFonts w:ascii="Arial" w:hAnsi="Arial" w:cs="Arial"/>
          <w:sz w:val="24"/>
          <w:szCs w:val="24"/>
          <w:lang w:val="en-US"/>
        </w:rPr>
        <w:t>, and 19A</w:t>
      </w:r>
      <w:r>
        <w:rPr>
          <w:rFonts w:ascii="Arial" w:hAnsi="Arial" w:cs="Arial"/>
          <w:sz w:val="24"/>
          <w:szCs w:val="24"/>
          <w:lang w:val="en-US"/>
        </w:rPr>
        <w:t>,</w:t>
      </w:r>
      <w:r w:rsidRPr="003E3C4E">
        <w:rPr>
          <w:rFonts w:ascii="Arial" w:hAnsi="Arial" w:cs="Arial"/>
          <w:sz w:val="24"/>
          <w:szCs w:val="24"/>
          <w:lang w:val="en-US"/>
        </w:rPr>
        <w:t xml:space="preserve"> </w:t>
      </w:r>
      <w:r w:rsidRPr="003E3C4E">
        <w:rPr>
          <w:rFonts w:ascii="Arial" w:hAnsi="Arial" w:cs="Arial"/>
          <w:b/>
          <w:sz w:val="24"/>
          <w:szCs w:val="24"/>
          <w:lang w:val="en-US"/>
        </w:rPr>
        <w:t xml:space="preserve">Figure </w:t>
      </w:r>
      <w:r>
        <w:rPr>
          <w:rFonts w:ascii="Arial" w:hAnsi="Arial" w:cs="Arial"/>
          <w:b/>
          <w:sz w:val="24"/>
          <w:szCs w:val="24"/>
          <w:lang w:val="en-US"/>
        </w:rPr>
        <w:t>3</w:t>
      </w:r>
      <w:r w:rsidRPr="003E3C4E">
        <w:rPr>
          <w:rFonts w:ascii="Arial" w:hAnsi="Arial" w:cs="Arial"/>
          <w:b/>
          <w:sz w:val="24"/>
          <w:szCs w:val="24"/>
          <w:lang w:val="en-US"/>
        </w:rPr>
        <w:t xml:space="preserve">B </w:t>
      </w:r>
      <w:r w:rsidRPr="00681D04">
        <w:rPr>
          <w:rFonts w:ascii="Arial" w:hAnsi="Arial" w:cs="Arial"/>
          <w:sz w:val="24"/>
          <w:szCs w:val="24"/>
          <w:lang w:val="en-US"/>
        </w:rPr>
        <w:t>main text</w:t>
      </w:r>
      <w:r w:rsidRPr="003E3C4E">
        <w:rPr>
          <w:rFonts w:ascii="Arial" w:hAnsi="Arial" w:cs="Arial"/>
          <w:sz w:val="24"/>
          <w:szCs w:val="24"/>
          <w:lang w:val="en-US"/>
        </w:rPr>
        <w:t xml:space="preserve">) and by applying methodologies providing higher IgG concentration estimates (for instance fluorescence bead-based immunoassays instead of ELISA </w:t>
      </w:r>
      <w:r w:rsidRPr="003E3C4E">
        <w:rPr>
          <w:rFonts w:ascii="Arial" w:hAnsi="Arial" w:cs="Arial"/>
          <w:sz w:val="24"/>
          <w:szCs w:val="24"/>
          <w:lang w:val="en-US"/>
        </w:rPr>
        <w:fldChar w:fldCharType="begin"/>
      </w:r>
      <w:r w:rsidRPr="003E3C4E">
        <w:rPr>
          <w:rFonts w:ascii="Arial" w:hAnsi="Arial" w:cs="Arial"/>
          <w:sz w:val="24"/>
          <w:szCs w:val="24"/>
          <w:lang w:val="en-US"/>
        </w:rPr>
        <w:instrText>ADDIN RW.CITE{{121 Whaley,M.J. 2010}}</w:instrText>
      </w:r>
      <w:r w:rsidRPr="003E3C4E">
        <w:rPr>
          <w:rFonts w:ascii="Arial" w:hAnsi="Arial" w:cs="Arial"/>
          <w:sz w:val="24"/>
          <w:szCs w:val="24"/>
          <w:lang w:val="en-US"/>
        </w:rPr>
        <w:fldChar w:fldCharType="separate"/>
      </w:r>
      <w:r>
        <w:rPr>
          <w:rFonts w:ascii="Arial" w:hAnsi="Arial" w:cs="Arial"/>
          <w:sz w:val="24"/>
          <w:szCs w:val="24"/>
          <w:lang w:val="en-US"/>
        </w:rPr>
        <w:t>[2]</w:t>
      </w:r>
      <w:r w:rsidRPr="003E3C4E">
        <w:rPr>
          <w:rFonts w:ascii="Arial" w:hAnsi="Arial" w:cs="Arial"/>
          <w:sz w:val="24"/>
          <w:szCs w:val="24"/>
          <w:lang w:val="en-US"/>
        </w:rPr>
        <w:fldChar w:fldCharType="end"/>
      </w:r>
      <w:r w:rsidRPr="003E3C4E">
        <w:rPr>
          <w:rFonts w:ascii="Arial" w:hAnsi="Arial" w:cs="Arial"/>
          <w:sz w:val="24"/>
          <w:szCs w:val="24"/>
          <w:lang w:val="en-US"/>
        </w:rPr>
        <w:t xml:space="preserve">). When </w:t>
      </w:r>
      <w:r w:rsidRPr="003E3C4E">
        <w:rPr>
          <w:rFonts w:ascii="Arial" w:hAnsi="Arial" w:cs="Arial"/>
          <w:position w:val="-6"/>
          <w:sz w:val="24"/>
          <w:szCs w:val="24"/>
          <w:lang w:val="en-US"/>
        </w:rPr>
        <w:object w:dxaOrig="200" w:dyaOrig="279">
          <v:shape id="_x0000_i1028" type="#_x0000_t75" style="width:9.75pt;height:13.5pt" o:ole="">
            <v:imagedata r:id="rId6" o:title=""/>
          </v:shape>
          <o:OLEObject Type="Embed" ProgID="Equation.3" ShapeID="_x0000_i1028" DrawAspect="Content" ObjectID="_1431503173" r:id="rId9"/>
        </w:object>
      </w:r>
      <w:r w:rsidRPr="003E3C4E">
        <w:rPr>
          <w:rFonts w:ascii="Arial" w:hAnsi="Arial" w:cs="Arial"/>
          <w:sz w:val="24"/>
          <w:szCs w:val="24"/>
          <w:lang w:val="en-US"/>
        </w:rPr>
        <w:t xml:space="preserve"> is high (&gt;0.35), then examination of more responses will tend to </w:t>
      </w:r>
      <w:r w:rsidRPr="003E3C4E">
        <w:rPr>
          <w:rFonts w:ascii="Arial" w:hAnsi="Arial" w:cs="Arial"/>
          <w:i/>
          <w:sz w:val="24"/>
          <w:szCs w:val="24"/>
          <w:lang w:val="en-US"/>
        </w:rPr>
        <w:t>increase</w:t>
      </w:r>
      <w:r w:rsidRPr="003E3C4E">
        <w:rPr>
          <w:rFonts w:ascii="Arial" w:hAnsi="Arial" w:cs="Arial"/>
          <w:sz w:val="24"/>
          <w:szCs w:val="24"/>
          <w:lang w:val="en-US"/>
        </w:rPr>
        <w:t xml:space="preserve"> the probability of “impaired responsiveness” (</w:t>
      </w:r>
      <w:r w:rsidRPr="003E3C4E">
        <w:rPr>
          <w:rFonts w:ascii="Arial" w:hAnsi="Arial" w:cs="Arial"/>
          <w:b/>
          <w:sz w:val="24"/>
          <w:szCs w:val="24"/>
          <w:lang w:val="en-US"/>
        </w:rPr>
        <w:t>E</w:t>
      </w:r>
      <w:r w:rsidRPr="003E3C4E">
        <w:rPr>
          <w:rFonts w:ascii="Arial" w:hAnsi="Arial" w:cs="Arial"/>
          <w:sz w:val="24"/>
          <w:szCs w:val="24"/>
          <w:lang w:val="en-US"/>
        </w:rPr>
        <w:t xml:space="preserve"> in </w:t>
      </w:r>
      <w:r w:rsidRPr="003E3C4E">
        <w:rPr>
          <w:rFonts w:ascii="Arial" w:hAnsi="Arial" w:cs="Arial"/>
          <w:b/>
          <w:sz w:val="24"/>
          <w:szCs w:val="24"/>
          <w:lang w:val="en-US"/>
        </w:rPr>
        <w:t>Figure S1</w:t>
      </w:r>
      <w:r w:rsidRPr="003E3C4E">
        <w:rPr>
          <w:rFonts w:ascii="Arial" w:hAnsi="Arial" w:cs="Arial"/>
          <w:sz w:val="24"/>
          <w:szCs w:val="24"/>
          <w:lang w:val="en-US"/>
        </w:rPr>
        <w:t xml:space="preserve">). </w:t>
      </w:r>
      <w:r w:rsidRPr="003E3C4E">
        <w:rPr>
          <w:rFonts w:ascii="Arial" w:hAnsi="Arial" w:cs="Arial"/>
          <w:position w:val="-6"/>
          <w:sz w:val="24"/>
          <w:szCs w:val="24"/>
          <w:lang w:val="en-US"/>
        </w:rPr>
        <w:object w:dxaOrig="200" w:dyaOrig="279">
          <v:shape id="_x0000_i1029" type="#_x0000_t75" style="width:9.75pt;height:13.5pt" o:ole="">
            <v:imagedata r:id="rId6" o:title=""/>
          </v:shape>
          <o:OLEObject Type="Embed" ProgID="Equation.3" ShapeID="_x0000_i1029" DrawAspect="Content" ObjectID="_1431503174" r:id="rId10"/>
        </w:object>
      </w:r>
      <w:r w:rsidRPr="003E3C4E">
        <w:rPr>
          <w:rFonts w:ascii="Arial" w:hAnsi="Arial" w:cs="Arial"/>
          <w:sz w:val="24"/>
          <w:szCs w:val="24"/>
          <w:lang w:val="en-US"/>
        </w:rPr>
        <w:t xml:space="preserve"> is increased by testing persons with fairly deficient ability to produce polysaccharide antibodies, by examining responses to the less immunogenic polysaccharides (for instance serotypes 4, 1, and 9V </w:t>
      </w:r>
      <w:r w:rsidRPr="003E3C4E">
        <w:rPr>
          <w:rFonts w:ascii="Arial" w:hAnsi="Arial" w:cs="Arial"/>
          <w:b/>
          <w:sz w:val="24"/>
          <w:szCs w:val="24"/>
          <w:lang w:val="en-US"/>
        </w:rPr>
        <w:t xml:space="preserve">Figure </w:t>
      </w:r>
      <w:r>
        <w:rPr>
          <w:rFonts w:ascii="Arial" w:hAnsi="Arial" w:cs="Arial"/>
          <w:b/>
          <w:sz w:val="24"/>
          <w:szCs w:val="24"/>
          <w:lang w:val="en-US"/>
        </w:rPr>
        <w:t>3</w:t>
      </w:r>
      <w:r w:rsidRPr="003E3C4E">
        <w:rPr>
          <w:rFonts w:ascii="Arial" w:hAnsi="Arial" w:cs="Arial"/>
          <w:b/>
          <w:sz w:val="24"/>
          <w:szCs w:val="24"/>
          <w:lang w:val="en-US"/>
        </w:rPr>
        <w:t xml:space="preserve">B </w:t>
      </w:r>
      <w:r w:rsidRPr="00681D04">
        <w:rPr>
          <w:rFonts w:ascii="Arial" w:hAnsi="Arial" w:cs="Arial"/>
          <w:sz w:val="24"/>
          <w:szCs w:val="24"/>
          <w:lang w:val="en-US"/>
        </w:rPr>
        <w:t>main text</w:t>
      </w:r>
      <w:r w:rsidRPr="003E3C4E">
        <w:rPr>
          <w:rFonts w:ascii="Arial" w:hAnsi="Arial" w:cs="Arial"/>
          <w:sz w:val="24"/>
          <w:szCs w:val="24"/>
          <w:lang w:val="en-US"/>
        </w:rPr>
        <w:t xml:space="preserve">) and by applying methodologies providing lower IgG concentration estimates (for instance ELISA instead of fluorescence bead-based assays </w:t>
      </w:r>
      <w:r w:rsidRPr="003E3C4E">
        <w:rPr>
          <w:rFonts w:ascii="Arial" w:hAnsi="Arial" w:cs="Arial"/>
          <w:sz w:val="24"/>
          <w:szCs w:val="24"/>
          <w:lang w:val="en-US"/>
        </w:rPr>
        <w:fldChar w:fldCharType="begin"/>
      </w:r>
      <w:r w:rsidRPr="003E3C4E">
        <w:rPr>
          <w:rFonts w:ascii="Arial" w:hAnsi="Arial" w:cs="Arial"/>
          <w:sz w:val="24"/>
          <w:szCs w:val="24"/>
          <w:lang w:val="en-US"/>
        </w:rPr>
        <w:instrText>ADDIN RW.CITE{{121 Whaley,M.J. 2010}}</w:instrText>
      </w:r>
      <w:r w:rsidRPr="003E3C4E">
        <w:rPr>
          <w:rFonts w:ascii="Arial" w:hAnsi="Arial" w:cs="Arial"/>
          <w:sz w:val="24"/>
          <w:szCs w:val="24"/>
          <w:lang w:val="en-US"/>
        </w:rPr>
        <w:fldChar w:fldCharType="separate"/>
      </w:r>
      <w:r>
        <w:rPr>
          <w:rFonts w:ascii="Arial" w:hAnsi="Arial" w:cs="Arial"/>
          <w:sz w:val="24"/>
          <w:szCs w:val="24"/>
          <w:lang w:val="en-US"/>
        </w:rPr>
        <w:t>[2]</w:t>
      </w:r>
      <w:r w:rsidRPr="003E3C4E">
        <w:rPr>
          <w:rFonts w:ascii="Arial" w:hAnsi="Arial" w:cs="Arial"/>
          <w:sz w:val="24"/>
          <w:szCs w:val="24"/>
          <w:lang w:val="en-US"/>
        </w:rPr>
        <w:fldChar w:fldCharType="end"/>
      </w:r>
      <w:r w:rsidRPr="003E3C4E">
        <w:rPr>
          <w:rFonts w:ascii="Arial" w:hAnsi="Arial" w:cs="Arial"/>
          <w:sz w:val="24"/>
          <w:szCs w:val="24"/>
          <w:lang w:val="en-US"/>
        </w:rPr>
        <w:t>).</w:t>
      </w:r>
    </w:p>
    <w:p w:rsidR="008F1FEF" w:rsidRDefault="008F1FEF" w:rsidP="003E3C4E">
      <w:pPr>
        <w:autoSpaceDE w:val="0"/>
        <w:autoSpaceDN w:val="0"/>
        <w:adjustRightInd w:val="0"/>
        <w:spacing w:after="0" w:line="480" w:lineRule="auto"/>
        <w:jc w:val="both"/>
        <w:rPr>
          <w:rFonts w:ascii="Arial" w:hAnsi="Arial" w:cs="Arial"/>
          <w:sz w:val="24"/>
          <w:szCs w:val="24"/>
          <w:lang w:val="en-GB"/>
        </w:rPr>
      </w:pPr>
      <w:r w:rsidRPr="003E3C4E">
        <w:rPr>
          <w:rFonts w:ascii="Arial" w:hAnsi="Arial" w:cs="Arial"/>
          <w:sz w:val="24"/>
          <w:szCs w:val="24"/>
          <w:lang w:val="en-GB"/>
        </w:rPr>
        <w:t>For persons aged 2 years to 5</w:t>
      </w:r>
      <w:r w:rsidRPr="003E3C4E">
        <w:rPr>
          <w:rFonts w:ascii="Arial" w:hAnsi="Arial" w:cs="Arial"/>
          <w:b/>
          <w:sz w:val="24"/>
          <w:szCs w:val="24"/>
          <w:lang w:val="en-GB"/>
        </w:rPr>
        <w:t xml:space="preserve"> </w:t>
      </w:r>
      <w:r w:rsidRPr="003E3C4E">
        <w:rPr>
          <w:rFonts w:ascii="Arial" w:hAnsi="Arial" w:cs="Arial"/>
          <w:sz w:val="24"/>
          <w:szCs w:val="24"/>
          <w:lang w:val="en-GB"/>
        </w:rPr>
        <w:t xml:space="preserve">years, consensus guidelines define impaired responsiveness as sufficient responses to less than 50% of tested polysaccharides </w:t>
      </w:r>
      <w:r w:rsidRPr="003E3C4E">
        <w:rPr>
          <w:rFonts w:ascii="Arial" w:hAnsi="Arial" w:cs="Arial"/>
          <w:sz w:val="24"/>
          <w:szCs w:val="24"/>
          <w:lang w:val="en-GB"/>
        </w:rPr>
        <w:fldChar w:fldCharType="begin"/>
      </w:r>
      <w:r w:rsidRPr="003E3C4E">
        <w:rPr>
          <w:rFonts w:ascii="Arial" w:hAnsi="Arial" w:cs="Arial"/>
          <w:sz w:val="24"/>
          <w:szCs w:val="24"/>
          <w:lang w:val="en-GB"/>
        </w:rPr>
        <w:instrText>ADDIN RW.CITE{{1 Bonilla,F.A. 2005}}</w:instrText>
      </w:r>
      <w:r w:rsidRPr="003E3C4E">
        <w:rPr>
          <w:rFonts w:ascii="Arial" w:hAnsi="Arial" w:cs="Arial"/>
          <w:sz w:val="24"/>
          <w:szCs w:val="24"/>
          <w:lang w:val="en-GB"/>
        </w:rPr>
        <w:fldChar w:fldCharType="separate"/>
      </w:r>
      <w:r>
        <w:rPr>
          <w:rFonts w:ascii="Arial" w:hAnsi="Arial" w:cs="Arial"/>
          <w:sz w:val="24"/>
          <w:szCs w:val="24"/>
          <w:lang w:val="en-GB"/>
        </w:rPr>
        <w:t>[1]</w:t>
      </w:r>
      <w:r w:rsidRPr="003E3C4E">
        <w:rPr>
          <w:rFonts w:ascii="Arial" w:hAnsi="Arial" w:cs="Arial"/>
          <w:sz w:val="24"/>
          <w:szCs w:val="24"/>
          <w:lang w:val="en-GB"/>
        </w:rPr>
        <w:fldChar w:fldCharType="end"/>
      </w:r>
      <w:r w:rsidRPr="003E3C4E">
        <w:rPr>
          <w:rFonts w:ascii="Arial" w:hAnsi="Arial" w:cs="Arial"/>
          <w:sz w:val="24"/>
          <w:szCs w:val="24"/>
          <w:lang w:val="en-GB"/>
        </w:rPr>
        <w:t>. This definition entails a relationship much similar to the one discussed above; but the “steps” contain two consecutive numbers of responses instead of three.</w:t>
      </w:r>
    </w:p>
    <w:p w:rsidR="008F1FEF" w:rsidRPr="00116C8C" w:rsidRDefault="008F1FEF" w:rsidP="00116C8C">
      <w:pPr>
        <w:pStyle w:val="NormalWeb"/>
        <w:jc w:val="center"/>
        <w:rPr>
          <w:rFonts w:ascii="Arial" w:hAnsi="Arial" w:cs="Arial"/>
          <w:lang w:val="en-US"/>
        </w:rPr>
      </w:pPr>
      <w:r>
        <w:rPr>
          <w:rFonts w:ascii="Arial" w:hAnsi="Arial" w:cs="Arial"/>
          <w:lang w:val="en-US"/>
        </w:rPr>
        <w:fldChar w:fldCharType="begin"/>
      </w:r>
      <w:r>
        <w:rPr>
          <w:rFonts w:ascii="Arial" w:hAnsi="Arial" w:cs="Arial"/>
          <w:lang w:val="en-US"/>
        </w:rPr>
        <w:instrText>ADDIN RW.BIB</w:instrText>
      </w:r>
      <w:r>
        <w:rPr>
          <w:rFonts w:ascii="Arial" w:hAnsi="Arial" w:cs="Arial"/>
          <w:lang w:val="en-US"/>
        </w:rPr>
        <w:fldChar w:fldCharType="separate"/>
      </w:r>
      <w:r w:rsidRPr="00116C8C">
        <w:rPr>
          <w:rFonts w:ascii="Arial" w:hAnsi="Arial" w:cs="Arial"/>
          <w:lang w:val="en-US"/>
        </w:rPr>
        <w:t xml:space="preserve">References </w:t>
      </w:r>
    </w:p>
    <w:p w:rsidR="008F1FEF" w:rsidRPr="00116C8C" w:rsidRDefault="008F1FEF" w:rsidP="00116C8C">
      <w:pPr>
        <w:pStyle w:val="NormalWeb"/>
        <w:spacing w:line="480" w:lineRule="auto"/>
        <w:rPr>
          <w:rFonts w:ascii="Arial" w:hAnsi="Arial" w:cs="Arial"/>
          <w:lang w:val="en-US"/>
        </w:rPr>
      </w:pPr>
      <w:r w:rsidRPr="00116C8C">
        <w:rPr>
          <w:rFonts w:ascii="Arial" w:hAnsi="Arial" w:cs="Arial"/>
          <w:lang w:val="en-US"/>
        </w:rPr>
        <w:t xml:space="preserve">1. F.A. Bonilla, I.L. Bernstein, D.A. Khan, Z.K. Ballas, J. Chinen, M.M. Frank, L.J. Kobrynski, A.I. Levinson, B. Mazer, R.P. Nelson Jr, J.S. Orange, J.M. Routes, W.T. Shearer, R.U. Sorensen, American Academy of Allergy, Asthma and Immunology, American College of Allergy, Asthma and Immunology, Joint Council of Allergy, Asthma and Immunology, Practice parameter for the diagnosis and management of primary immunodeficiency, Ann Allergy Asthma Immunol 94 (2005) S1-63. </w:t>
      </w:r>
    </w:p>
    <w:p w:rsidR="008F1FEF" w:rsidRPr="00116C8C" w:rsidRDefault="008F1FEF" w:rsidP="00116C8C">
      <w:pPr>
        <w:pStyle w:val="NormalWeb"/>
        <w:spacing w:line="480" w:lineRule="auto"/>
        <w:rPr>
          <w:rFonts w:ascii="Arial" w:hAnsi="Arial" w:cs="Arial"/>
          <w:lang w:val="en-US"/>
        </w:rPr>
      </w:pPr>
      <w:r w:rsidRPr="00116C8C">
        <w:rPr>
          <w:rFonts w:ascii="Arial" w:hAnsi="Arial" w:cs="Arial"/>
          <w:lang w:val="en-US"/>
        </w:rPr>
        <w:t xml:space="preserve">2. M.J. Whaley, C. Rose, J. Martinez, G. Laher, D.L. Sammons, J.P. Smith, J.E. Snawder, R. Borrow, R.E. Biagini, B. Plikaytis, G.M. Carlone, S. Romero-Steiner, Interlaboratory comparison of three multiplexed bead-based immunoassays for measuring serum antibodies to pneumococcal polysaccharides, Clin Vaccine Immunol 17 (2010) 862-869. </w:t>
      </w:r>
    </w:p>
    <w:p w:rsidR="008F1FEF" w:rsidRDefault="008F1FEF" w:rsidP="00116C8C">
      <w:pPr>
        <w:spacing w:after="0" w:line="240" w:lineRule="auto"/>
        <w:rPr>
          <w:rFonts w:ascii="Arial" w:hAnsi="Arial" w:cs="Arial"/>
          <w:sz w:val="24"/>
          <w:szCs w:val="24"/>
          <w:lang w:val="en-GB"/>
        </w:rPr>
      </w:pPr>
      <w:r>
        <w:rPr>
          <w:rFonts w:ascii="Arial" w:hAnsi="Arial" w:cs="Arial"/>
          <w:lang w:val="en-US"/>
        </w:rPr>
        <w:fldChar w:fldCharType="end"/>
      </w:r>
      <w:r>
        <w:rPr>
          <w:rFonts w:ascii="Arial" w:hAnsi="Arial" w:cs="Arial"/>
          <w:sz w:val="24"/>
          <w:szCs w:val="24"/>
          <w:lang w:val="en-GB"/>
        </w:rPr>
        <w:br w:type="page"/>
      </w:r>
    </w:p>
    <w:p w:rsidR="008F1FEF" w:rsidRPr="003E3C4E" w:rsidRDefault="008F1FEF" w:rsidP="003E3C4E">
      <w:pPr>
        <w:autoSpaceDE w:val="0"/>
        <w:autoSpaceDN w:val="0"/>
        <w:adjustRightInd w:val="0"/>
        <w:spacing w:after="0" w:line="480" w:lineRule="auto"/>
        <w:jc w:val="both"/>
        <w:rPr>
          <w:rFonts w:ascii="Arial" w:hAnsi="Arial" w:cs="Arial"/>
          <w:b/>
          <w:sz w:val="24"/>
          <w:szCs w:val="24"/>
          <w:lang w:val="en-US"/>
        </w:rPr>
      </w:pPr>
      <w:r w:rsidRPr="003E3C4E">
        <w:rPr>
          <w:rFonts w:ascii="Arial" w:hAnsi="Arial" w:cs="Arial"/>
          <w:b/>
          <w:sz w:val="24"/>
          <w:szCs w:val="24"/>
          <w:lang w:val="en-US"/>
        </w:rPr>
        <w:t>Figure S1</w:t>
      </w:r>
      <w:r>
        <w:rPr>
          <w:rFonts w:ascii="Arial" w:hAnsi="Arial" w:cs="Arial"/>
          <w:b/>
          <w:sz w:val="24"/>
          <w:szCs w:val="24"/>
          <w:lang w:val="en-US"/>
        </w:rPr>
        <w:t xml:space="preserve">. </w:t>
      </w:r>
      <w:r w:rsidRPr="003E3C4E">
        <w:rPr>
          <w:rFonts w:ascii="Arial" w:hAnsi="Arial" w:cs="Arial"/>
          <w:b/>
          <w:sz w:val="24"/>
          <w:szCs w:val="24"/>
          <w:lang w:val="en-US"/>
        </w:rPr>
        <w:t>The probability of insufficient individual responses´ impact on impaired responsiveness frequency</w:t>
      </w:r>
      <w:r>
        <w:rPr>
          <w:rFonts w:ascii="Arial" w:hAnsi="Arial" w:cs="Arial"/>
          <w:b/>
          <w:sz w:val="24"/>
          <w:szCs w:val="24"/>
          <w:lang w:val="en-US"/>
        </w:rPr>
        <w:t>.</w:t>
      </w:r>
    </w:p>
    <w:p w:rsidR="008F1FEF" w:rsidRPr="00116C8C" w:rsidRDefault="008F1FEF" w:rsidP="00116C8C">
      <w:pPr>
        <w:autoSpaceDE w:val="0"/>
        <w:autoSpaceDN w:val="0"/>
        <w:adjustRightInd w:val="0"/>
        <w:spacing w:after="0" w:line="480" w:lineRule="auto"/>
        <w:jc w:val="both"/>
        <w:divId w:val="358169706"/>
        <w:rPr>
          <w:rFonts w:ascii="Arial" w:hAnsi="Arial" w:cs="Arial"/>
          <w:lang w:val="en-US"/>
        </w:rPr>
      </w:pPr>
      <w:r w:rsidRPr="003E3C4E">
        <w:rPr>
          <w:rFonts w:ascii="Arial" w:hAnsi="Arial" w:cs="Arial"/>
          <w:sz w:val="24"/>
          <w:szCs w:val="24"/>
          <w:lang w:val="en-US"/>
        </w:rPr>
        <w:t xml:space="preserve">Illustration of impaired responsiveness frequency in fictive populations with different </w:t>
      </w:r>
      <w:bookmarkStart w:id="0" w:name="OLE_LINK1"/>
      <w:r w:rsidRPr="003E3C4E">
        <w:rPr>
          <w:rFonts w:ascii="Arial" w:hAnsi="Arial" w:cs="Arial"/>
          <w:i/>
          <w:sz w:val="24"/>
          <w:szCs w:val="24"/>
          <w:lang w:val="en-US"/>
        </w:rPr>
        <w:t>k</w:t>
      </w:r>
      <w:r w:rsidRPr="003E3C4E">
        <w:rPr>
          <w:rFonts w:ascii="Arial" w:hAnsi="Arial" w:cs="Arial"/>
          <w:sz w:val="24"/>
          <w:szCs w:val="24"/>
          <w:lang w:val="en-US"/>
        </w:rPr>
        <w:t xml:space="preserve">-values </w:t>
      </w:r>
      <w:bookmarkEnd w:id="0"/>
      <w:r w:rsidRPr="003E3C4E">
        <w:rPr>
          <w:rFonts w:ascii="Arial" w:hAnsi="Arial" w:cs="Arial"/>
          <w:sz w:val="24"/>
          <w:szCs w:val="24"/>
          <w:lang w:val="en-US"/>
        </w:rPr>
        <w:t xml:space="preserve">as functions of the numbers of responses examined. The presented </w:t>
      </w:r>
      <w:r w:rsidRPr="003E3C4E">
        <w:rPr>
          <w:rFonts w:ascii="Arial" w:hAnsi="Arial" w:cs="Arial"/>
          <w:i/>
          <w:sz w:val="24"/>
          <w:szCs w:val="24"/>
          <w:lang w:val="en-US"/>
        </w:rPr>
        <w:t>k</w:t>
      </w:r>
      <w:r w:rsidRPr="003E3C4E">
        <w:rPr>
          <w:rFonts w:ascii="Arial" w:hAnsi="Arial" w:cs="Arial"/>
          <w:sz w:val="24"/>
          <w:szCs w:val="24"/>
          <w:lang w:val="en-US"/>
        </w:rPr>
        <w:t xml:space="preserve">-values are products of the average </w:t>
      </w:r>
      <w:r w:rsidRPr="003E3C4E">
        <w:rPr>
          <w:rFonts w:ascii="Arial" w:hAnsi="Arial" w:cs="Arial"/>
          <w:i/>
          <w:sz w:val="24"/>
          <w:szCs w:val="24"/>
          <w:lang w:val="en-US"/>
        </w:rPr>
        <w:t>k</w:t>
      </w:r>
      <w:r w:rsidRPr="003E3C4E">
        <w:rPr>
          <w:rFonts w:ascii="Arial" w:hAnsi="Arial" w:cs="Arial"/>
          <w:sz w:val="24"/>
          <w:szCs w:val="24"/>
          <w:lang w:val="en-US"/>
        </w:rPr>
        <w:t xml:space="preserve">-value in the present study (0.23) multiplied by the following multiplicands: </w:t>
      </w:r>
      <w:r w:rsidRPr="003E3C4E">
        <w:rPr>
          <w:rFonts w:ascii="Arial" w:hAnsi="Arial" w:cs="Arial"/>
          <w:b/>
          <w:sz w:val="24"/>
          <w:szCs w:val="24"/>
          <w:lang w:val="en-US"/>
        </w:rPr>
        <w:t>A</w:t>
      </w:r>
      <w:r w:rsidRPr="003E3C4E">
        <w:rPr>
          <w:rFonts w:ascii="Arial" w:hAnsi="Arial" w:cs="Arial"/>
          <w:sz w:val="24"/>
          <w:szCs w:val="24"/>
          <w:lang w:val="en-US"/>
        </w:rPr>
        <w:t xml:space="preserve">=1/2, </w:t>
      </w:r>
      <w:r w:rsidRPr="003E3C4E">
        <w:rPr>
          <w:rFonts w:ascii="Arial" w:hAnsi="Arial" w:cs="Arial"/>
          <w:b/>
          <w:sz w:val="24"/>
          <w:szCs w:val="24"/>
          <w:lang w:val="en-US"/>
        </w:rPr>
        <w:t>B</w:t>
      </w:r>
      <w:r w:rsidRPr="003E3C4E">
        <w:rPr>
          <w:rFonts w:ascii="Arial" w:hAnsi="Arial" w:cs="Arial"/>
          <w:sz w:val="24"/>
          <w:szCs w:val="24"/>
          <w:lang w:val="en-US"/>
        </w:rPr>
        <w:t xml:space="preserve">=2/3, </w:t>
      </w:r>
      <w:r w:rsidRPr="003E3C4E">
        <w:rPr>
          <w:rFonts w:ascii="Arial" w:hAnsi="Arial" w:cs="Arial"/>
          <w:b/>
          <w:sz w:val="24"/>
          <w:szCs w:val="24"/>
          <w:lang w:val="en-US"/>
        </w:rPr>
        <w:t>C</w:t>
      </w:r>
      <w:r w:rsidRPr="003E3C4E">
        <w:rPr>
          <w:rFonts w:ascii="Arial" w:hAnsi="Arial" w:cs="Arial"/>
          <w:sz w:val="24"/>
          <w:szCs w:val="24"/>
          <w:lang w:val="en-US"/>
        </w:rPr>
        <w:t xml:space="preserve">=1, </w:t>
      </w:r>
      <w:r w:rsidRPr="003E3C4E">
        <w:rPr>
          <w:rFonts w:ascii="Arial" w:hAnsi="Arial" w:cs="Arial"/>
          <w:b/>
          <w:sz w:val="24"/>
          <w:szCs w:val="24"/>
          <w:lang w:val="en-US"/>
        </w:rPr>
        <w:t>D</w:t>
      </w:r>
      <w:r w:rsidRPr="003E3C4E">
        <w:rPr>
          <w:rFonts w:ascii="Arial" w:hAnsi="Arial" w:cs="Arial"/>
          <w:sz w:val="24"/>
          <w:szCs w:val="24"/>
          <w:lang w:val="en-US"/>
        </w:rPr>
        <w:t xml:space="preserve">=3/2, and </w:t>
      </w:r>
      <w:r w:rsidRPr="003E3C4E">
        <w:rPr>
          <w:rFonts w:ascii="Arial" w:hAnsi="Arial" w:cs="Arial"/>
          <w:b/>
          <w:sz w:val="24"/>
          <w:szCs w:val="24"/>
          <w:lang w:val="en-US"/>
        </w:rPr>
        <w:t>E</w:t>
      </w:r>
      <w:r w:rsidRPr="003E3C4E">
        <w:rPr>
          <w:rFonts w:ascii="Arial" w:hAnsi="Arial" w:cs="Arial"/>
          <w:sz w:val="24"/>
          <w:szCs w:val="24"/>
          <w:lang w:val="en-US"/>
        </w:rPr>
        <w:t xml:space="preserve">=2). </w:t>
      </w:r>
      <w:bookmarkStart w:id="1" w:name="_GoBack"/>
      <w:bookmarkEnd w:id="1"/>
      <w:r w:rsidRPr="003E3C4E">
        <w:rPr>
          <w:rFonts w:ascii="Arial" w:hAnsi="Arial" w:cs="Arial"/>
          <w:sz w:val="24"/>
          <w:szCs w:val="24"/>
          <w:lang w:val="en-US"/>
        </w:rPr>
        <w:t xml:space="preserve">Impaired responsiveness frequency was calculated as the percentage of the population expected to respond insufficiently to at least 30% of polysaccharides (under the defined conditions). Thus, the percentage expected to have impaired responsiveness when number of responses belonging to “first step” (i.e. 1, 2, or 3 responses) is calculated as 1 minus the probability of producing maximal number of insufficient responses without qualifying for impaired responsiveness. Thus, on the “first step”: </w:t>
      </w:r>
      <w:r w:rsidRPr="003E3C4E">
        <w:rPr>
          <w:rFonts w:ascii="Arial" w:hAnsi="Arial" w:cs="Arial"/>
          <w:position w:val="-10"/>
          <w:sz w:val="24"/>
          <w:szCs w:val="24"/>
          <w:lang w:val="en-US"/>
        </w:rPr>
        <w:object w:dxaOrig="4300" w:dyaOrig="320">
          <v:shape id="_x0000_i1030" type="#_x0000_t75" style="width:213pt;height:15pt" o:ole="">
            <v:imagedata r:id="rId11" o:title=""/>
          </v:shape>
          <o:OLEObject Type="Embed" ProgID="Equation.3" ShapeID="_x0000_i1030" DrawAspect="Content" ObjectID="_1431503175" r:id="rId12"/>
        </w:object>
      </w:r>
      <w:r w:rsidRPr="003E3C4E">
        <w:rPr>
          <w:rFonts w:ascii="Arial" w:hAnsi="Arial" w:cs="Arial"/>
          <w:sz w:val="24"/>
          <w:szCs w:val="24"/>
          <w:lang w:val="en-US"/>
        </w:rPr>
        <w:t xml:space="preserve"> where </w:t>
      </w:r>
      <w:r w:rsidRPr="003E3C4E">
        <w:rPr>
          <w:rFonts w:ascii="Arial" w:hAnsi="Arial" w:cs="Arial"/>
          <w:position w:val="-6"/>
          <w:sz w:val="24"/>
          <w:szCs w:val="24"/>
          <w:lang w:val="en-US"/>
        </w:rPr>
        <w:object w:dxaOrig="260" w:dyaOrig="220">
          <v:shape id="_x0000_i1031" type="#_x0000_t75" style="width:13.5pt;height:11.25pt" o:ole="">
            <v:imagedata r:id="rId13" o:title=""/>
          </v:shape>
          <o:OLEObject Type="Embed" ProgID="Equation.3" ShapeID="_x0000_i1031" DrawAspect="Content" ObjectID="_1431503176" r:id="rId14"/>
        </w:object>
      </w:r>
      <w:r w:rsidRPr="003E3C4E">
        <w:rPr>
          <w:rFonts w:ascii="Arial" w:hAnsi="Arial" w:cs="Arial"/>
          <w:sz w:val="24"/>
          <w:szCs w:val="24"/>
          <w:lang w:val="en-US"/>
        </w:rPr>
        <w:t xml:space="preserve"> is the number of maximal allowed insufficient responses without qualifying for impaired responsiveness (on the first step no insufficient responses are allowed). An additional subtrahend is added for every subsequent “step”; namely </w:t>
      </w:r>
      <w:r w:rsidRPr="003E3C4E">
        <w:rPr>
          <w:rFonts w:ascii="Arial" w:hAnsi="Arial" w:cs="Arial"/>
          <w:position w:val="-10"/>
          <w:sz w:val="24"/>
          <w:szCs w:val="24"/>
        </w:rPr>
        <w:object w:dxaOrig="900" w:dyaOrig="320">
          <v:shape id="_x0000_i1032" type="#_x0000_t75" style="width:45pt;height:15pt" o:ole="">
            <v:imagedata r:id="rId15" o:title=""/>
          </v:shape>
          <o:OLEObject Type="Embed" ProgID="Equation.3" ShapeID="_x0000_i1032" DrawAspect="Content" ObjectID="_1431503177" r:id="rId16"/>
        </w:object>
      </w:r>
      <w:r w:rsidRPr="003E3C4E">
        <w:rPr>
          <w:rFonts w:ascii="Arial" w:hAnsi="Arial" w:cs="Arial"/>
          <w:sz w:val="24"/>
          <w:szCs w:val="24"/>
          <w:lang w:val="en-US"/>
        </w:rPr>
        <w:t xml:space="preserve"> on the “second step” and </w:t>
      </w:r>
      <w:r w:rsidRPr="003E3C4E">
        <w:rPr>
          <w:rFonts w:ascii="Arial" w:hAnsi="Arial" w:cs="Arial"/>
          <w:position w:val="-10"/>
          <w:sz w:val="24"/>
          <w:szCs w:val="24"/>
        </w:rPr>
        <w:object w:dxaOrig="960" w:dyaOrig="320">
          <v:shape id="_x0000_i1033" type="#_x0000_t75" style="width:48pt;height:15pt" o:ole="">
            <v:imagedata r:id="rId17" o:title=""/>
          </v:shape>
          <o:OLEObject Type="Embed" ProgID="Equation.3" ShapeID="_x0000_i1033" DrawAspect="Content" ObjectID="_1431503178" r:id="rId18"/>
        </w:object>
      </w:r>
      <w:r w:rsidRPr="003E3C4E">
        <w:rPr>
          <w:rFonts w:ascii="Arial" w:hAnsi="Arial" w:cs="Arial"/>
          <w:sz w:val="24"/>
          <w:szCs w:val="24"/>
          <w:lang w:val="en-US"/>
        </w:rPr>
        <w:t xml:space="preserve"> on the “third step” and so forth. Each subtrahend is given by: </w:t>
      </w:r>
      <w:r w:rsidRPr="003E3C4E">
        <w:rPr>
          <w:rFonts w:ascii="Arial" w:hAnsi="Arial" w:cs="Arial"/>
          <w:position w:val="-10"/>
          <w:sz w:val="24"/>
          <w:szCs w:val="24"/>
          <w:lang w:val="en-US"/>
        </w:rPr>
        <w:object w:dxaOrig="2760" w:dyaOrig="380">
          <v:shape id="_x0000_i1034" type="#_x0000_t75" style="width:135pt;height:18.75pt" o:ole="">
            <v:imagedata r:id="rId19" o:title=""/>
          </v:shape>
          <o:OLEObject Type="Embed" ProgID="Equation.3" ShapeID="_x0000_i1034" DrawAspect="Content" ObjectID="_1431503179" r:id="rId20"/>
        </w:object>
      </w:r>
      <w:r w:rsidRPr="003E3C4E">
        <w:rPr>
          <w:rFonts w:ascii="Arial" w:hAnsi="Arial" w:cs="Arial"/>
          <w:sz w:val="24"/>
          <w:szCs w:val="24"/>
          <w:lang w:val="en-US"/>
        </w:rPr>
        <w:t xml:space="preserve"> where </w:t>
      </w:r>
      <w:r w:rsidRPr="003E3C4E">
        <w:rPr>
          <w:rFonts w:ascii="Arial" w:hAnsi="Arial" w:cs="Arial"/>
          <w:position w:val="-6"/>
          <w:sz w:val="24"/>
          <w:szCs w:val="24"/>
          <w:lang w:val="en-US"/>
        </w:rPr>
        <w:object w:dxaOrig="200" w:dyaOrig="220">
          <v:shape id="_x0000_i1035" type="#_x0000_t75" style="width:9.75pt;height:11.25pt" o:ole="">
            <v:imagedata r:id="rId21" o:title=""/>
          </v:shape>
          <o:OLEObject Type="Embed" ProgID="Equation.3" ShapeID="_x0000_i1035" DrawAspect="Content" ObjectID="_1431503180" r:id="rId22"/>
        </w:object>
      </w:r>
      <w:r w:rsidRPr="003E3C4E">
        <w:rPr>
          <w:rFonts w:ascii="Arial" w:hAnsi="Arial" w:cs="Arial"/>
          <w:sz w:val="24"/>
          <w:szCs w:val="24"/>
          <w:lang w:val="en-US"/>
        </w:rPr>
        <w:t xml:space="preserve"> is the number of responses.</w:t>
      </w:r>
    </w:p>
    <w:sectPr w:rsidR="008F1FEF" w:rsidRPr="00116C8C" w:rsidSect="00BD53A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1FC"/>
    <w:rsid w:val="000061F1"/>
    <w:rsid w:val="00012FB3"/>
    <w:rsid w:val="00041773"/>
    <w:rsid w:val="00072A82"/>
    <w:rsid w:val="000901DE"/>
    <w:rsid w:val="0009187F"/>
    <w:rsid w:val="00097894"/>
    <w:rsid w:val="000A49A1"/>
    <w:rsid w:val="000A6333"/>
    <w:rsid w:val="000F099F"/>
    <w:rsid w:val="000F61DC"/>
    <w:rsid w:val="001020E5"/>
    <w:rsid w:val="0010494E"/>
    <w:rsid w:val="00116C8C"/>
    <w:rsid w:val="00116FB1"/>
    <w:rsid w:val="00137CEE"/>
    <w:rsid w:val="00165278"/>
    <w:rsid w:val="001B08ED"/>
    <w:rsid w:val="001B5542"/>
    <w:rsid w:val="001C1D49"/>
    <w:rsid w:val="001E29CF"/>
    <w:rsid w:val="0020074A"/>
    <w:rsid w:val="00215C2C"/>
    <w:rsid w:val="002642BA"/>
    <w:rsid w:val="00267186"/>
    <w:rsid w:val="002741EE"/>
    <w:rsid w:val="00305532"/>
    <w:rsid w:val="0034221C"/>
    <w:rsid w:val="00347236"/>
    <w:rsid w:val="00352363"/>
    <w:rsid w:val="003A56B8"/>
    <w:rsid w:val="003B6D56"/>
    <w:rsid w:val="003C1FA9"/>
    <w:rsid w:val="003E3C4E"/>
    <w:rsid w:val="003E54B5"/>
    <w:rsid w:val="003F77AE"/>
    <w:rsid w:val="00426AD5"/>
    <w:rsid w:val="004340D6"/>
    <w:rsid w:val="00454CF6"/>
    <w:rsid w:val="004868AB"/>
    <w:rsid w:val="004A2D31"/>
    <w:rsid w:val="004A51A6"/>
    <w:rsid w:val="004A6B39"/>
    <w:rsid w:val="004B425F"/>
    <w:rsid w:val="005155FF"/>
    <w:rsid w:val="0051609F"/>
    <w:rsid w:val="005200A1"/>
    <w:rsid w:val="0053554F"/>
    <w:rsid w:val="00546682"/>
    <w:rsid w:val="00550F3D"/>
    <w:rsid w:val="005E085D"/>
    <w:rsid w:val="0061332D"/>
    <w:rsid w:val="00623800"/>
    <w:rsid w:val="00632516"/>
    <w:rsid w:val="006421F8"/>
    <w:rsid w:val="00650354"/>
    <w:rsid w:val="0065626F"/>
    <w:rsid w:val="0066122D"/>
    <w:rsid w:val="00666427"/>
    <w:rsid w:val="00681D04"/>
    <w:rsid w:val="00686E6B"/>
    <w:rsid w:val="006A5F21"/>
    <w:rsid w:val="006B1703"/>
    <w:rsid w:val="006B77B9"/>
    <w:rsid w:val="006C327F"/>
    <w:rsid w:val="00704A30"/>
    <w:rsid w:val="00710453"/>
    <w:rsid w:val="007135F8"/>
    <w:rsid w:val="00760AE3"/>
    <w:rsid w:val="00763187"/>
    <w:rsid w:val="00784727"/>
    <w:rsid w:val="007D35A4"/>
    <w:rsid w:val="007E47AB"/>
    <w:rsid w:val="00800A46"/>
    <w:rsid w:val="008100AE"/>
    <w:rsid w:val="00810E6C"/>
    <w:rsid w:val="00823D46"/>
    <w:rsid w:val="00850F1F"/>
    <w:rsid w:val="00890D3E"/>
    <w:rsid w:val="008A40B3"/>
    <w:rsid w:val="008B7EEB"/>
    <w:rsid w:val="008D5635"/>
    <w:rsid w:val="008E476F"/>
    <w:rsid w:val="008E55E6"/>
    <w:rsid w:val="008F1FEF"/>
    <w:rsid w:val="008F5A72"/>
    <w:rsid w:val="00906A84"/>
    <w:rsid w:val="00937758"/>
    <w:rsid w:val="00947F75"/>
    <w:rsid w:val="0096672F"/>
    <w:rsid w:val="00980463"/>
    <w:rsid w:val="00991499"/>
    <w:rsid w:val="009C6930"/>
    <w:rsid w:val="009D0ED0"/>
    <w:rsid w:val="009D26B6"/>
    <w:rsid w:val="009F3A34"/>
    <w:rsid w:val="00A327F2"/>
    <w:rsid w:val="00A35847"/>
    <w:rsid w:val="00A378D8"/>
    <w:rsid w:val="00A8601E"/>
    <w:rsid w:val="00AA7111"/>
    <w:rsid w:val="00AB627B"/>
    <w:rsid w:val="00AC5732"/>
    <w:rsid w:val="00AD2229"/>
    <w:rsid w:val="00B23F66"/>
    <w:rsid w:val="00B556BB"/>
    <w:rsid w:val="00B73043"/>
    <w:rsid w:val="00B97C20"/>
    <w:rsid w:val="00BC18D5"/>
    <w:rsid w:val="00BC29A1"/>
    <w:rsid w:val="00BD53AD"/>
    <w:rsid w:val="00C07A2A"/>
    <w:rsid w:val="00C14270"/>
    <w:rsid w:val="00C17FB3"/>
    <w:rsid w:val="00C40558"/>
    <w:rsid w:val="00C44BC6"/>
    <w:rsid w:val="00C4780C"/>
    <w:rsid w:val="00C57666"/>
    <w:rsid w:val="00C616F0"/>
    <w:rsid w:val="00C741FC"/>
    <w:rsid w:val="00CA4434"/>
    <w:rsid w:val="00CC6659"/>
    <w:rsid w:val="00CD163C"/>
    <w:rsid w:val="00CD27C0"/>
    <w:rsid w:val="00CE7D8B"/>
    <w:rsid w:val="00CF1296"/>
    <w:rsid w:val="00D02765"/>
    <w:rsid w:val="00D03971"/>
    <w:rsid w:val="00D2170D"/>
    <w:rsid w:val="00D25BDE"/>
    <w:rsid w:val="00D56C1D"/>
    <w:rsid w:val="00D71997"/>
    <w:rsid w:val="00D80708"/>
    <w:rsid w:val="00D81207"/>
    <w:rsid w:val="00D911DF"/>
    <w:rsid w:val="00DC072F"/>
    <w:rsid w:val="00DC14DA"/>
    <w:rsid w:val="00DD2BB4"/>
    <w:rsid w:val="00DE165D"/>
    <w:rsid w:val="00DF552B"/>
    <w:rsid w:val="00E01F29"/>
    <w:rsid w:val="00E14F73"/>
    <w:rsid w:val="00E236F9"/>
    <w:rsid w:val="00E24AB6"/>
    <w:rsid w:val="00E2757A"/>
    <w:rsid w:val="00E712ED"/>
    <w:rsid w:val="00E832A1"/>
    <w:rsid w:val="00EA1B68"/>
    <w:rsid w:val="00EE5B30"/>
    <w:rsid w:val="00EF546E"/>
    <w:rsid w:val="00F0093A"/>
    <w:rsid w:val="00F04F9E"/>
    <w:rsid w:val="00F419AE"/>
    <w:rsid w:val="00F42CF1"/>
    <w:rsid w:val="00F55256"/>
    <w:rsid w:val="00F643FB"/>
    <w:rsid w:val="00F97A69"/>
    <w:rsid w:val="00FC7EFF"/>
    <w:rsid w:val="00FD03F4"/>
    <w:rsid w:val="00FE181C"/>
    <w:rsid w:val="00FE3D56"/>
    <w:rsid w:val="00FE6A35"/>
    <w:rsid w:val="00FF20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FC"/>
    <w:pPr>
      <w:spacing w:after="200" w:line="276" w:lineRule="auto"/>
    </w:pPr>
    <w:rPr>
      <w:lang w:val="da-D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5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5732"/>
    <w:rPr>
      <w:rFonts w:ascii="Tahoma" w:hAnsi="Tahoma" w:cs="Tahoma"/>
      <w:sz w:val="16"/>
      <w:szCs w:val="16"/>
    </w:rPr>
  </w:style>
  <w:style w:type="paragraph" w:styleId="NormalWeb">
    <w:name w:val="Normal (Web)"/>
    <w:basedOn w:val="Normal"/>
    <w:uiPriority w:val="99"/>
    <w:semiHidden/>
    <w:rsid w:val="003C1FA9"/>
    <w:pPr>
      <w:spacing w:before="100" w:beforeAutospacing="1" w:after="100" w:afterAutospacing="1" w:line="240" w:lineRule="auto"/>
    </w:pPr>
    <w:rPr>
      <w:rFonts w:ascii="Times New Roman" w:eastAsia="Times New Roman" w:hAnsi="Times New Roman"/>
      <w:sz w:val="24"/>
      <w:szCs w:val="24"/>
      <w:lang w:eastAsia="da-DK"/>
    </w:rPr>
  </w:style>
  <w:style w:type="character" w:styleId="CommentReference">
    <w:name w:val="annotation reference"/>
    <w:basedOn w:val="DefaultParagraphFont"/>
    <w:uiPriority w:val="99"/>
    <w:semiHidden/>
    <w:rsid w:val="00666427"/>
    <w:rPr>
      <w:rFonts w:cs="Times New Roman"/>
      <w:sz w:val="16"/>
      <w:szCs w:val="16"/>
    </w:rPr>
  </w:style>
  <w:style w:type="paragraph" w:styleId="CommentText">
    <w:name w:val="annotation text"/>
    <w:basedOn w:val="Normal"/>
    <w:link w:val="CommentTextChar"/>
    <w:uiPriority w:val="99"/>
    <w:semiHidden/>
    <w:rsid w:val="0066642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6642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666427"/>
    <w:rPr>
      <w:b/>
      <w:bCs/>
    </w:rPr>
  </w:style>
  <w:style w:type="character" w:customStyle="1" w:styleId="CommentSubjectChar">
    <w:name w:val="Comment Subject Char"/>
    <w:basedOn w:val="CommentTextChar"/>
    <w:link w:val="CommentSubject"/>
    <w:uiPriority w:val="99"/>
    <w:semiHidden/>
    <w:locked/>
    <w:rsid w:val="00666427"/>
    <w:rPr>
      <w:b/>
      <w:bCs/>
    </w:rPr>
  </w:style>
</w:styles>
</file>

<file path=word/webSettings.xml><?xml version="1.0" encoding="utf-8"?>
<w:webSettings xmlns:r="http://schemas.openxmlformats.org/officeDocument/2006/relationships" xmlns:w="http://schemas.openxmlformats.org/wordprocessingml/2006/main">
  <w:divs>
    <w:div w:id="358169705">
      <w:marLeft w:val="0"/>
      <w:marRight w:val="0"/>
      <w:marTop w:val="0"/>
      <w:marBottom w:val="0"/>
      <w:divBdr>
        <w:top w:val="none" w:sz="0" w:space="0" w:color="auto"/>
        <w:left w:val="none" w:sz="0" w:space="0" w:color="auto"/>
        <w:bottom w:val="none" w:sz="0" w:space="0" w:color="auto"/>
        <w:right w:val="none" w:sz="0" w:space="0" w:color="auto"/>
      </w:divBdr>
    </w:div>
    <w:div w:id="358169706">
      <w:marLeft w:val="0"/>
      <w:marRight w:val="0"/>
      <w:marTop w:val="0"/>
      <w:marBottom w:val="0"/>
      <w:divBdr>
        <w:top w:val="none" w:sz="0" w:space="0" w:color="auto"/>
        <w:left w:val="none" w:sz="0" w:space="0" w:color="auto"/>
        <w:bottom w:val="none" w:sz="0" w:space="0" w:color="auto"/>
        <w:right w:val="none" w:sz="0" w:space="0" w:color="auto"/>
      </w:divBdr>
    </w:div>
    <w:div w:id="358169707">
      <w:marLeft w:val="0"/>
      <w:marRight w:val="0"/>
      <w:marTop w:val="0"/>
      <w:marBottom w:val="0"/>
      <w:divBdr>
        <w:top w:val="none" w:sz="0" w:space="0" w:color="auto"/>
        <w:left w:val="none" w:sz="0" w:space="0" w:color="auto"/>
        <w:bottom w:val="none" w:sz="0" w:space="0" w:color="auto"/>
        <w:right w:val="none" w:sz="0" w:space="0" w:color="auto"/>
      </w:divBdr>
    </w:div>
    <w:div w:id="358169708">
      <w:marLeft w:val="0"/>
      <w:marRight w:val="0"/>
      <w:marTop w:val="0"/>
      <w:marBottom w:val="0"/>
      <w:divBdr>
        <w:top w:val="none" w:sz="0" w:space="0" w:color="auto"/>
        <w:left w:val="none" w:sz="0" w:space="0" w:color="auto"/>
        <w:bottom w:val="none" w:sz="0" w:space="0" w:color="auto"/>
        <w:right w:val="none" w:sz="0" w:space="0" w:color="auto"/>
      </w:divBdr>
    </w:div>
    <w:div w:id="358169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4.wmf"/><Relationship Id="rId18" Type="http://schemas.openxmlformats.org/officeDocument/2006/relationships/oleObject" Target="embeddings/oleObject9.bin"/><Relationship Id="rId3" Type="http://schemas.openxmlformats.org/officeDocument/2006/relationships/webSettings" Target="webSettings.xml"/><Relationship Id="rId21" Type="http://schemas.openxmlformats.org/officeDocument/2006/relationships/image" Target="media/image8.wmf"/><Relationship Id="rId7" Type="http://schemas.openxmlformats.org/officeDocument/2006/relationships/oleObject" Target="embeddings/oleObject2.bin"/><Relationship Id="rId12" Type="http://schemas.openxmlformats.org/officeDocument/2006/relationships/oleObject" Target="embeddings/oleObject6.bin"/><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oleObject" Target="embeddings/oleObject8.bin"/><Relationship Id="rId20" Type="http://schemas.openxmlformats.org/officeDocument/2006/relationships/oleObject" Target="embeddings/oleObject10.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5.bin"/><Relationship Id="rId19"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oleObject" Target="embeddings/oleObject4.bin"/><Relationship Id="rId14" Type="http://schemas.openxmlformats.org/officeDocument/2006/relationships/oleObject" Target="embeddings/oleObject7.bin"/><Relationship Id="rId22"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885</Words>
  <Characters>5405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Magnus</dc:creator>
  <cp:keywords/>
  <dc:description/>
  <cp:lastModifiedBy>Jens Magnus Bernth Jensen</cp:lastModifiedBy>
  <cp:revision>2</cp:revision>
  <dcterms:created xsi:type="dcterms:W3CDTF">2013-05-31T09:00:00Z</dcterms:created>
  <dcterms:modified xsi:type="dcterms:W3CDTF">2013-05-31T09:00:00Z</dcterms:modified>
</cp:coreProperties>
</file>