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89" w:rsidRPr="000B0ADB" w:rsidRDefault="006430F4" w:rsidP="000B0ADB">
      <w:pPr>
        <w:pStyle w:val="Heading1"/>
      </w:pPr>
      <w:r>
        <w:t>Table</w:t>
      </w:r>
      <w:r w:rsidR="00145C89" w:rsidRPr="000B0ADB">
        <w:t xml:space="preserve"> S</w:t>
      </w:r>
      <w:r>
        <w:t>1</w:t>
      </w:r>
      <w:bookmarkStart w:id="0" w:name="_GoBack"/>
      <w:bookmarkEnd w:id="0"/>
      <w:r w:rsidR="00145C89" w:rsidRPr="000B0ADB">
        <w:t>: Mental disorder classes included in GBD2010.</w:t>
      </w:r>
    </w:p>
    <w:p w:rsidR="00145C89" w:rsidRPr="00145C89" w:rsidRDefault="00145C89" w:rsidP="000B0ADB"/>
    <w:p w:rsidR="00145C89" w:rsidRPr="00145C89" w:rsidRDefault="00145C89" w:rsidP="000B0ADB">
      <w:r w:rsidRPr="00145C89">
        <w:t>Seven major categories of mental disorders were captured in the Global Burden of Disease Study 2010 (GBD 2010).  In these analyses we consider the high prevalence and low prevalence disorders. Childhood disorders* will be discussed separately.</w:t>
      </w:r>
    </w:p>
    <w:p w:rsidR="00145C89" w:rsidRPr="00145C89" w:rsidRDefault="00145C89" w:rsidP="000B0ADB">
      <w:pPr>
        <w:rPr>
          <w:rFonts w:asciiTheme="minorHAnsi" w:hAnsiTheme="minorHAnsi"/>
          <w:lang w:val="en-AU"/>
        </w:rPr>
      </w:pPr>
    </w:p>
    <w:tbl>
      <w:tblPr>
        <w:tblW w:w="93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2"/>
        <w:gridCol w:w="5742"/>
      </w:tblGrid>
      <w:tr w:rsidR="00145C89" w:rsidRPr="00145C89" w:rsidTr="00145C89">
        <w:trPr>
          <w:trHeight w:val="627"/>
        </w:trPr>
        <w:tc>
          <w:tcPr>
            <w:tcW w:w="3652" w:type="dxa"/>
            <w:tcBorders>
              <w:top w:val="single" w:sz="4" w:space="0" w:color="auto"/>
              <w:bottom w:val="single" w:sz="4" w:space="0" w:color="auto"/>
            </w:tcBorders>
            <w:tcMar>
              <w:top w:w="28" w:type="dxa"/>
            </w:tcMar>
          </w:tcPr>
          <w:p w:rsidR="00145C89" w:rsidRPr="00145C89" w:rsidRDefault="00145C89" w:rsidP="000B0ADB">
            <w:r w:rsidRPr="00145C89">
              <w:t xml:space="preserve">Mental disorder categories </w:t>
            </w:r>
          </w:p>
        </w:tc>
        <w:tc>
          <w:tcPr>
            <w:tcW w:w="5742" w:type="dxa"/>
            <w:tcBorders>
              <w:top w:val="single" w:sz="4" w:space="0" w:color="auto"/>
              <w:bottom w:val="single" w:sz="4" w:space="0" w:color="auto"/>
            </w:tcBorders>
            <w:tcMar>
              <w:top w:w="28" w:type="dxa"/>
            </w:tcMar>
          </w:tcPr>
          <w:p w:rsidR="00145C89" w:rsidRPr="00145C89" w:rsidRDefault="00145C89" w:rsidP="000B0ADB">
            <w:r w:rsidRPr="00145C89">
              <w:t>Specific disorders</w:t>
            </w:r>
          </w:p>
        </w:tc>
      </w:tr>
      <w:tr w:rsidR="00145C89" w:rsidRPr="00145C89" w:rsidTr="00145C89">
        <w:tc>
          <w:tcPr>
            <w:tcW w:w="3652" w:type="dxa"/>
            <w:tcBorders>
              <w:top w:val="single" w:sz="4" w:space="0" w:color="auto"/>
            </w:tcBorders>
            <w:shd w:val="clear" w:color="auto" w:fill="D9D9D9" w:themeFill="background1" w:themeFillShade="D9"/>
            <w:tcMar>
              <w:top w:w="28" w:type="dxa"/>
            </w:tcMar>
          </w:tcPr>
          <w:p w:rsidR="00145C89" w:rsidRPr="00145C89" w:rsidRDefault="00145C89" w:rsidP="000B0ADB">
            <w:r w:rsidRPr="00145C89">
              <w:t>High prevalence disorders</w:t>
            </w:r>
          </w:p>
        </w:tc>
        <w:tc>
          <w:tcPr>
            <w:tcW w:w="5742" w:type="dxa"/>
            <w:tcBorders>
              <w:top w:val="single" w:sz="4" w:space="0" w:color="auto"/>
            </w:tcBorders>
            <w:shd w:val="clear" w:color="auto" w:fill="D9D9D9" w:themeFill="background1" w:themeFillShade="D9"/>
            <w:tcMar>
              <w:top w:w="28" w:type="dxa"/>
            </w:tcMar>
          </w:tcPr>
          <w:p w:rsidR="00145C89" w:rsidRPr="00145C89" w:rsidRDefault="00145C89" w:rsidP="000B0ADB"/>
        </w:tc>
      </w:tr>
      <w:tr w:rsidR="00145C89" w:rsidRPr="00145C89" w:rsidTr="00145C89">
        <w:tc>
          <w:tcPr>
            <w:tcW w:w="3652" w:type="dxa"/>
            <w:shd w:val="clear" w:color="auto" w:fill="auto"/>
            <w:tcMar>
              <w:top w:w="28" w:type="dxa"/>
            </w:tcMar>
          </w:tcPr>
          <w:p w:rsidR="00145C89" w:rsidRPr="00145C89" w:rsidRDefault="00145C89" w:rsidP="000B0ADB">
            <w:r w:rsidRPr="00145C89">
              <w:t>1. Depressive disorders</w:t>
            </w:r>
          </w:p>
        </w:tc>
        <w:tc>
          <w:tcPr>
            <w:tcW w:w="5742" w:type="dxa"/>
            <w:shd w:val="clear" w:color="auto" w:fill="auto"/>
            <w:tcMar>
              <w:top w:w="28" w:type="dxa"/>
            </w:tcMar>
          </w:tcPr>
          <w:p w:rsidR="00145C89" w:rsidRPr="00145C89" w:rsidRDefault="00145C89" w:rsidP="000B0ADB">
            <w:r w:rsidRPr="00145C89">
              <w:t xml:space="preserve">Major depression and depressive disorder-NOS </w:t>
            </w:r>
          </w:p>
          <w:p w:rsidR="00145C89" w:rsidRPr="00145C89" w:rsidRDefault="00145C89" w:rsidP="000B0ADB">
            <w:r w:rsidRPr="00145C89">
              <w:t>Dysthymic disorder</w:t>
            </w:r>
          </w:p>
        </w:tc>
      </w:tr>
      <w:tr w:rsidR="00145C89" w:rsidRPr="00145C89" w:rsidTr="00145C89">
        <w:tc>
          <w:tcPr>
            <w:tcW w:w="3652" w:type="dxa"/>
            <w:shd w:val="clear" w:color="auto" w:fill="auto"/>
            <w:tcMar>
              <w:top w:w="28" w:type="dxa"/>
            </w:tcMar>
          </w:tcPr>
          <w:p w:rsidR="00145C89" w:rsidRPr="00145C89" w:rsidRDefault="00145C89" w:rsidP="000B0ADB">
            <w:r w:rsidRPr="00145C89">
              <w:t>2. Anxiety disorders</w:t>
            </w:r>
          </w:p>
        </w:tc>
        <w:tc>
          <w:tcPr>
            <w:tcW w:w="5742" w:type="dxa"/>
            <w:shd w:val="clear" w:color="auto" w:fill="auto"/>
            <w:tcMar>
              <w:top w:w="28" w:type="dxa"/>
            </w:tcMar>
          </w:tcPr>
          <w:p w:rsidR="00145C89" w:rsidRPr="00145C89" w:rsidRDefault="00145C89" w:rsidP="000B0ADB">
            <w:pPr>
              <w:rPr>
                <w:iCs/>
              </w:rPr>
            </w:pPr>
            <w:r w:rsidRPr="00145C89">
              <w:t>Any anxiety disorder, including generalized anxiety disorder (GAD), panic disorder, agoraphobia, social phobia, specific phobias, obsessive-compulsive disorder (OCD), posttraumatic stress disorder (PTSD), separation anxiety disorder (SAD) and anxiety disorders-NOS</w:t>
            </w:r>
          </w:p>
        </w:tc>
      </w:tr>
      <w:tr w:rsidR="00145C89" w:rsidRPr="00145C89" w:rsidTr="00145C89">
        <w:tc>
          <w:tcPr>
            <w:tcW w:w="3652" w:type="dxa"/>
            <w:shd w:val="clear" w:color="auto" w:fill="D9D9D9" w:themeFill="background1" w:themeFillShade="D9"/>
            <w:tcMar>
              <w:top w:w="28" w:type="dxa"/>
            </w:tcMar>
          </w:tcPr>
          <w:p w:rsidR="00145C89" w:rsidRPr="00145C89" w:rsidRDefault="00145C89" w:rsidP="000B0ADB">
            <w:r w:rsidRPr="00145C89">
              <w:t>Low prevalence disorders</w:t>
            </w:r>
          </w:p>
        </w:tc>
        <w:tc>
          <w:tcPr>
            <w:tcW w:w="5742" w:type="dxa"/>
            <w:shd w:val="clear" w:color="auto" w:fill="D9D9D9" w:themeFill="background1" w:themeFillShade="D9"/>
            <w:tcMar>
              <w:top w:w="28" w:type="dxa"/>
            </w:tcMar>
          </w:tcPr>
          <w:p w:rsidR="00145C89" w:rsidRPr="00145C89" w:rsidRDefault="00145C89" w:rsidP="000B0ADB"/>
        </w:tc>
      </w:tr>
      <w:tr w:rsidR="00145C89" w:rsidRPr="00145C89" w:rsidTr="00145C89">
        <w:tc>
          <w:tcPr>
            <w:tcW w:w="3652" w:type="dxa"/>
            <w:shd w:val="clear" w:color="auto" w:fill="auto"/>
            <w:tcMar>
              <w:top w:w="28" w:type="dxa"/>
            </w:tcMar>
          </w:tcPr>
          <w:p w:rsidR="00145C89" w:rsidRPr="00145C89" w:rsidRDefault="00145C89" w:rsidP="000B0ADB">
            <w:r w:rsidRPr="00145C89">
              <w:t>3. Schizophrenia</w:t>
            </w:r>
          </w:p>
        </w:tc>
        <w:tc>
          <w:tcPr>
            <w:tcW w:w="5742" w:type="dxa"/>
            <w:shd w:val="clear" w:color="auto" w:fill="auto"/>
            <w:tcMar>
              <w:top w:w="28" w:type="dxa"/>
            </w:tcMar>
          </w:tcPr>
          <w:p w:rsidR="00145C89" w:rsidRPr="00145C89" w:rsidRDefault="00145C89" w:rsidP="000B0ADB">
            <w:r w:rsidRPr="00145C89">
              <w:t xml:space="preserve">Schizophrenia </w:t>
            </w:r>
          </w:p>
        </w:tc>
      </w:tr>
      <w:tr w:rsidR="00145C89" w:rsidRPr="00145C89" w:rsidTr="00145C89">
        <w:tc>
          <w:tcPr>
            <w:tcW w:w="3652" w:type="dxa"/>
            <w:shd w:val="clear" w:color="auto" w:fill="auto"/>
            <w:tcMar>
              <w:top w:w="28" w:type="dxa"/>
            </w:tcMar>
          </w:tcPr>
          <w:p w:rsidR="00145C89" w:rsidRPr="00145C89" w:rsidRDefault="00145C89" w:rsidP="000B0ADB">
            <w:r w:rsidRPr="00145C89">
              <w:t>4. Bipolar disorders</w:t>
            </w:r>
          </w:p>
        </w:tc>
        <w:tc>
          <w:tcPr>
            <w:tcW w:w="5742" w:type="dxa"/>
            <w:shd w:val="clear" w:color="auto" w:fill="auto"/>
            <w:tcMar>
              <w:top w:w="28" w:type="dxa"/>
            </w:tcMar>
          </w:tcPr>
          <w:p w:rsidR="00145C89" w:rsidRPr="00145C89" w:rsidRDefault="00145C89" w:rsidP="000B0ADB">
            <w:r w:rsidRPr="00145C89">
              <w:t>Bipolar disorders, including bipolar I, bipolar II, cyclothymic disorder and bipolar disorders -NOS</w:t>
            </w:r>
          </w:p>
        </w:tc>
      </w:tr>
      <w:tr w:rsidR="00145C89" w:rsidRPr="00145C89" w:rsidTr="00145C89">
        <w:tc>
          <w:tcPr>
            <w:tcW w:w="3652" w:type="dxa"/>
            <w:shd w:val="clear" w:color="auto" w:fill="auto"/>
            <w:tcMar>
              <w:top w:w="28" w:type="dxa"/>
            </w:tcMar>
          </w:tcPr>
          <w:p w:rsidR="00145C89" w:rsidRPr="00145C89" w:rsidRDefault="00145C89" w:rsidP="000B0ADB">
            <w:pPr>
              <w:rPr>
                <w:iCs/>
              </w:rPr>
            </w:pPr>
            <w:r w:rsidRPr="00145C89">
              <w:t>5. Eating disorders</w:t>
            </w:r>
          </w:p>
        </w:tc>
        <w:tc>
          <w:tcPr>
            <w:tcW w:w="5742" w:type="dxa"/>
            <w:shd w:val="clear" w:color="auto" w:fill="auto"/>
            <w:tcMar>
              <w:top w:w="28" w:type="dxa"/>
            </w:tcMar>
          </w:tcPr>
          <w:p w:rsidR="00145C89" w:rsidRPr="00145C89" w:rsidRDefault="00145C89" w:rsidP="000B0ADB">
            <w:r w:rsidRPr="00145C89">
              <w:t>Anorexia nervosa</w:t>
            </w:r>
          </w:p>
          <w:p w:rsidR="00145C89" w:rsidRPr="00145C89" w:rsidRDefault="00145C89" w:rsidP="000B0ADB">
            <w:r w:rsidRPr="00145C89">
              <w:t>Bulimia nervosa and eating disorders-NOS</w:t>
            </w:r>
            <w:r w:rsidRPr="00145C89">
              <w:rPr>
                <w:vanish/>
              </w:rPr>
              <w:t>)</w:t>
            </w:r>
          </w:p>
        </w:tc>
      </w:tr>
      <w:tr w:rsidR="00145C89" w:rsidRPr="00145C89" w:rsidTr="00145C89">
        <w:tc>
          <w:tcPr>
            <w:tcW w:w="3652" w:type="dxa"/>
            <w:tcBorders>
              <w:top w:val="nil"/>
              <w:bottom w:val="nil"/>
            </w:tcBorders>
            <w:shd w:val="clear" w:color="auto" w:fill="D9D9D9" w:themeFill="background1" w:themeFillShade="D9"/>
            <w:tcMar>
              <w:top w:w="28" w:type="dxa"/>
            </w:tcMar>
          </w:tcPr>
          <w:p w:rsidR="00145C89" w:rsidRPr="00145C89" w:rsidRDefault="00145C89" w:rsidP="000B0ADB">
            <w:r w:rsidRPr="00145C89">
              <w:t>Disorders with onset in childhood*</w:t>
            </w:r>
          </w:p>
        </w:tc>
        <w:tc>
          <w:tcPr>
            <w:tcW w:w="5742" w:type="dxa"/>
            <w:tcBorders>
              <w:top w:val="nil"/>
              <w:bottom w:val="nil"/>
            </w:tcBorders>
            <w:shd w:val="clear" w:color="auto" w:fill="D9D9D9" w:themeFill="background1" w:themeFillShade="D9"/>
            <w:tcMar>
              <w:top w:w="28" w:type="dxa"/>
            </w:tcMar>
          </w:tcPr>
          <w:p w:rsidR="00145C89" w:rsidRPr="00145C89" w:rsidRDefault="00145C89" w:rsidP="000B0ADB"/>
        </w:tc>
      </w:tr>
      <w:tr w:rsidR="00145C89" w:rsidRPr="00145C89" w:rsidTr="00145C89">
        <w:tc>
          <w:tcPr>
            <w:tcW w:w="3652" w:type="dxa"/>
            <w:tcBorders>
              <w:top w:val="nil"/>
            </w:tcBorders>
            <w:shd w:val="clear" w:color="auto" w:fill="auto"/>
            <w:tcMar>
              <w:top w:w="28" w:type="dxa"/>
            </w:tcMar>
          </w:tcPr>
          <w:p w:rsidR="00145C89" w:rsidRPr="00145C89" w:rsidRDefault="00145C89" w:rsidP="000B0ADB">
            <w:r w:rsidRPr="00145C89">
              <w:t>6. Childhood behavioural disorders</w:t>
            </w:r>
          </w:p>
        </w:tc>
        <w:tc>
          <w:tcPr>
            <w:tcW w:w="5742" w:type="dxa"/>
            <w:tcBorders>
              <w:top w:val="nil"/>
            </w:tcBorders>
            <w:shd w:val="clear" w:color="auto" w:fill="auto"/>
            <w:tcMar>
              <w:top w:w="28" w:type="dxa"/>
            </w:tcMar>
          </w:tcPr>
          <w:p w:rsidR="00145C89" w:rsidRPr="00145C89" w:rsidRDefault="00145C89" w:rsidP="000B0ADB">
            <w:r w:rsidRPr="00145C89">
              <w:t xml:space="preserve">Attention-deficit/hyperactivity disorder </w:t>
            </w:r>
          </w:p>
          <w:p w:rsidR="00145C89" w:rsidRPr="00145C89" w:rsidRDefault="00145C89" w:rsidP="000B0ADB">
            <w:r w:rsidRPr="00145C89">
              <w:t>Conduct disorder, oppositional-defiant disorder and disruptive behaviour disorder-NOS</w:t>
            </w:r>
          </w:p>
        </w:tc>
      </w:tr>
      <w:tr w:rsidR="00145C89" w:rsidRPr="00145C89" w:rsidTr="00145C89">
        <w:tc>
          <w:tcPr>
            <w:tcW w:w="3652" w:type="dxa"/>
            <w:shd w:val="clear" w:color="auto" w:fill="auto"/>
            <w:tcMar>
              <w:top w:w="28" w:type="dxa"/>
            </w:tcMar>
          </w:tcPr>
          <w:p w:rsidR="00145C89" w:rsidRPr="00145C89" w:rsidRDefault="00145C89" w:rsidP="000B0ADB">
            <w:pPr>
              <w:rPr>
                <w:iCs/>
              </w:rPr>
            </w:pPr>
            <w:r w:rsidRPr="00145C89">
              <w:t>7. Pervasive developmental disorders</w:t>
            </w:r>
          </w:p>
        </w:tc>
        <w:tc>
          <w:tcPr>
            <w:tcW w:w="5742" w:type="dxa"/>
            <w:shd w:val="clear" w:color="auto" w:fill="auto"/>
            <w:tcMar>
              <w:top w:w="28" w:type="dxa"/>
            </w:tcMar>
          </w:tcPr>
          <w:p w:rsidR="00145C89" w:rsidRPr="00145C89" w:rsidRDefault="00145C89" w:rsidP="000B0ADB">
            <w:r w:rsidRPr="00145C89">
              <w:t xml:space="preserve">Autistic disorder </w:t>
            </w:r>
          </w:p>
          <w:p w:rsidR="00145C89" w:rsidRPr="00145C89" w:rsidRDefault="00145C89" w:rsidP="000B0ADB">
            <w:r w:rsidRPr="00145C89">
              <w:t>Asperger's disorder and pervasive developmental disorders-NOS</w:t>
            </w:r>
          </w:p>
        </w:tc>
      </w:tr>
    </w:tbl>
    <w:p w:rsidR="002E7372" w:rsidRPr="00145C89" w:rsidRDefault="002E7372" w:rsidP="000B0ADB">
      <w:pPr>
        <w:rPr>
          <w:rFonts w:asciiTheme="minorHAnsi" w:hAnsiTheme="minorHAnsi"/>
        </w:rPr>
      </w:pPr>
    </w:p>
    <w:sectPr w:rsidR="002E7372" w:rsidRPr="00145C89" w:rsidSect="002E7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33EDB"/>
    <w:multiLevelType w:val="multilevel"/>
    <w:tmpl w:val="ED2428E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rPr>
    </w:lvl>
    <w:lvl w:ilvl="2">
      <w:start w:val="1"/>
      <w:numFmt w:val="none"/>
      <w:lvlText w:val="%1.%2.1"/>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2"/>
  </w:compat>
  <w:rsids>
    <w:rsidRoot w:val="00145C89"/>
    <w:rsid w:val="00006299"/>
    <w:rsid w:val="000601C5"/>
    <w:rsid w:val="000621AE"/>
    <w:rsid w:val="00075440"/>
    <w:rsid w:val="00086F83"/>
    <w:rsid w:val="0009562F"/>
    <w:rsid w:val="000A0386"/>
    <w:rsid w:val="000B0ADB"/>
    <w:rsid w:val="000D70B2"/>
    <w:rsid w:val="000E7BA7"/>
    <w:rsid w:val="000F287E"/>
    <w:rsid w:val="0012363D"/>
    <w:rsid w:val="00140E4A"/>
    <w:rsid w:val="00145AE5"/>
    <w:rsid w:val="00145C89"/>
    <w:rsid w:val="001A2840"/>
    <w:rsid w:val="001B2A56"/>
    <w:rsid w:val="001B5EB6"/>
    <w:rsid w:val="001D64BC"/>
    <w:rsid w:val="001D69FC"/>
    <w:rsid w:val="001F3FE5"/>
    <w:rsid w:val="00232770"/>
    <w:rsid w:val="0026578E"/>
    <w:rsid w:val="00276785"/>
    <w:rsid w:val="002C0C49"/>
    <w:rsid w:val="002D7FA0"/>
    <w:rsid w:val="002E5F9F"/>
    <w:rsid w:val="002E7372"/>
    <w:rsid w:val="002F0E91"/>
    <w:rsid w:val="003001F2"/>
    <w:rsid w:val="00310E19"/>
    <w:rsid w:val="003257AF"/>
    <w:rsid w:val="00345E78"/>
    <w:rsid w:val="00357D54"/>
    <w:rsid w:val="003A4009"/>
    <w:rsid w:val="003D702A"/>
    <w:rsid w:val="003F48EB"/>
    <w:rsid w:val="003F6A86"/>
    <w:rsid w:val="00400987"/>
    <w:rsid w:val="00411182"/>
    <w:rsid w:val="00441105"/>
    <w:rsid w:val="00452DBD"/>
    <w:rsid w:val="004A4131"/>
    <w:rsid w:val="004A5025"/>
    <w:rsid w:val="004A6A03"/>
    <w:rsid w:val="004B2F2A"/>
    <w:rsid w:val="004B4B29"/>
    <w:rsid w:val="004D5E9F"/>
    <w:rsid w:val="00500332"/>
    <w:rsid w:val="00504615"/>
    <w:rsid w:val="00513FF7"/>
    <w:rsid w:val="00520066"/>
    <w:rsid w:val="00531044"/>
    <w:rsid w:val="00554E70"/>
    <w:rsid w:val="00582C39"/>
    <w:rsid w:val="005A7B15"/>
    <w:rsid w:val="005B18E1"/>
    <w:rsid w:val="005B213C"/>
    <w:rsid w:val="005D2BF9"/>
    <w:rsid w:val="005E7991"/>
    <w:rsid w:val="00634FC8"/>
    <w:rsid w:val="006430F4"/>
    <w:rsid w:val="006A7B8D"/>
    <w:rsid w:val="006D5041"/>
    <w:rsid w:val="006E0A06"/>
    <w:rsid w:val="006F0C9F"/>
    <w:rsid w:val="006F1034"/>
    <w:rsid w:val="006F291C"/>
    <w:rsid w:val="0071206E"/>
    <w:rsid w:val="00712B71"/>
    <w:rsid w:val="007358E0"/>
    <w:rsid w:val="007657A1"/>
    <w:rsid w:val="007B0740"/>
    <w:rsid w:val="007C6039"/>
    <w:rsid w:val="008030FC"/>
    <w:rsid w:val="00810EB6"/>
    <w:rsid w:val="00895C6E"/>
    <w:rsid w:val="008D38CD"/>
    <w:rsid w:val="008D6DA9"/>
    <w:rsid w:val="008E08D5"/>
    <w:rsid w:val="008F417F"/>
    <w:rsid w:val="00924205"/>
    <w:rsid w:val="00926AB0"/>
    <w:rsid w:val="00935D7E"/>
    <w:rsid w:val="00945BE6"/>
    <w:rsid w:val="00963D91"/>
    <w:rsid w:val="009670E3"/>
    <w:rsid w:val="009933F8"/>
    <w:rsid w:val="009A13A6"/>
    <w:rsid w:val="009C135B"/>
    <w:rsid w:val="009C782A"/>
    <w:rsid w:val="009D2AF7"/>
    <w:rsid w:val="009F18CD"/>
    <w:rsid w:val="00A2391E"/>
    <w:rsid w:val="00AA0CC5"/>
    <w:rsid w:val="00AB5399"/>
    <w:rsid w:val="00AD3BB5"/>
    <w:rsid w:val="00AE50B9"/>
    <w:rsid w:val="00B84EB2"/>
    <w:rsid w:val="00B91D2E"/>
    <w:rsid w:val="00B930E7"/>
    <w:rsid w:val="00B94642"/>
    <w:rsid w:val="00BD118B"/>
    <w:rsid w:val="00C032CD"/>
    <w:rsid w:val="00C21C10"/>
    <w:rsid w:val="00C261B9"/>
    <w:rsid w:val="00C6654F"/>
    <w:rsid w:val="00C75D7B"/>
    <w:rsid w:val="00C9496C"/>
    <w:rsid w:val="00CB1A8D"/>
    <w:rsid w:val="00CB4A58"/>
    <w:rsid w:val="00CB75B1"/>
    <w:rsid w:val="00CC7489"/>
    <w:rsid w:val="00CF7BE5"/>
    <w:rsid w:val="00D24B93"/>
    <w:rsid w:val="00D41C46"/>
    <w:rsid w:val="00D52308"/>
    <w:rsid w:val="00D8661D"/>
    <w:rsid w:val="00DC5FA9"/>
    <w:rsid w:val="00DE1232"/>
    <w:rsid w:val="00DE17F9"/>
    <w:rsid w:val="00E16597"/>
    <w:rsid w:val="00EC0BDD"/>
    <w:rsid w:val="00EC7992"/>
    <w:rsid w:val="00EE3BBC"/>
    <w:rsid w:val="00F00B43"/>
    <w:rsid w:val="00F106E2"/>
    <w:rsid w:val="00F210C8"/>
    <w:rsid w:val="00F26364"/>
    <w:rsid w:val="00F26A7C"/>
    <w:rsid w:val="00FA2E62"/>
    <w:rsid w:val="00FB0499"/>
    <w:rsid w:val="00FB426D"/>
    <w:rsid w:val="00FD4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89"/>
    <w:rPr>
      <w:rFonts w:ascii="Calibri" w:eastAsia="PMingLiU" w:hAnsi="Calibri" w:cs="Times New Roman"/>
      <w:lang w:val="en-US"/>
    </w:rPr>
  </w:style>
  <w:style w:type="paragraph" w:styleId="Heading1">
    <w:name w:val="heading 1"/>
    <w:basedOn w:val="Normal"/>
    <w:next w:val="Normal"/>
    <w:link w:val="Heading1Char"/>
    <w:autoRedefine/>
    <w:uiPriority w:val="99"/>
    <w:qFormat/>
    <w:rsid w:val="000B0ADB"/>
    <w:pPr>
      <w:keepNext/>
      <w:keepLines/>
      <w:spacing w:before="480" w:after="24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autoRedefine/>
    <w:qFormat/>
    <w:rsid w:val="007B0740"/>
    <w:pPr>
      <w:keepNext/>
      <w:tabs>
        <w:tab w:val="left" w:pos="709"/>
        <w:tab w:val="left" w:pos="4536"/>
      </w:tabs>
      <w:spacing w:before="120" w:after="120"/>
      <w:outlineLvl w:val="1"/>
    </w:pPr>
    <w:rPr>
      <w:rFonts w:ascii="Arial" w:eastAsia="Times New Roman" w:hAnsi="Arial" w:cs="Arial"/>
      <w:b/>
      <w:bCs/>
      <w:iCs/>
      <w:color w:val="333333"/>
      <w:sz w:val="20"/>
      <w:szCs w:val="18"/>
      <w:lang w:val="en"/>
    </w:rPr>
  </w:style>
  <w:style w:type="paragraph" w:styleId="Heading3">
    <w:name w:val="heading 3"/>
    <w:basedOn w:val="Normal"/>
    <w:next w:val="Normal"/>
    <w:link w:val="Heading3Char"/>
    <w:autoRedefine/>
    <w:uiPriority w:val="9"/>
    <w:unhideWhenUsed/>
    <w:qFormat/>
    <w:rsid w:val="00006299"/>
    <w:pPr>
      <w:keepNext/>
      <w:keepLines/>
      <w:spacing w:before="200"/>
      <w:outlineLvl w:val="2"/>
    </w:pPr>
    <w:rPr>
      <w:rFonts w:ascii="Times New Roman" w:eastAsiaTheme="majorEastAsia" w:hAnsi="Times New Roman" w:cstheme="majorBidi"/>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Heading2"/>
    <w:link w:val="FigureChar"/>
    <w:autoRedefine/>
    <w:qFormat/>
    <w:rsid w:val="001F3FE5"/>
    <w:rPr>
      <w:lang w:val="en-NZ"/>
    </w:rPr>
  </w:style>
  <w:style w:type="character" w:customStyle="1" w:styleId="Heading2Char">
    <w:name w:val="Heading 2 Char"/>
    <w:basedOn w:val="DefaultParagraphFont"/>
    <w:link w:val="Heading2"/>
    <w:rsid w:val="007B0740"/>
    <w:rPr>
      <w:rFonts w:ascii="Arial" w:eastAsia="Times New Roman" w:hAnsi="Arial" w:cs="Arial"/>
      <w:b/>
      <w:bCs/>
      <w:iCs/>
      <w:color w:val="333333"/>
      <w:sz w:val="20"/>
      <w:szCs w:val="18"/>
      <w:lang w:val="en" w:eastAsia="en-NZ"/>
    </w:rPr>
  </w:style>
  <w:style w:type="character" w:customStyle="1" w:styleId="FigureChar">
    <w:name w:val="Figure Char"/>
    <w:basedOn w:val="Heading2Char"/>
    <w:link w:val="Figure"/>
    <w:rsid w:val="001F3FE5"/>
    <w:rPr>
      <w:rFonts w:asciiTheme="majorHAnsi" w:eastAsia="Times New Roman" w:hAnsiTheme="majorHAnsi" w:cstheme="minorHAnsi"/>
      <w:b/>
      <w:bCs/>
      <w:iCs/>
      <w:color w:val="333333"/>
      <w:sz w:val="24"/>
      <w:szCs w:val="28"/>
      <w:lang w:val="en-NZ" w:eastAsia="en-NZ"/>
    </w:rPr>
  </w:style>
  <w:style w:type="paragraph" w:customStyle="1" w:styleId="Table">
    <w:name w:val="Table"/>
    <w:basedOn w:val="Heading2"/>
    <w:autoRedefine/>
    <w:qFormat/>
    <w:rsid w:val="00441105"/>
    <w:pPr>
      <w:spacing w:line="240" w:lineRule="auto"/>
      <w:contextualSpacing/>
    </w:pPr>
    <w:rPr>
      <w:lang w:val="en-NZ"/>
    </w:rPr>
  </w:style>
  <w:style w:type="character" w:customStyle="1" w:styleId="Heading3Char">
    <w:name w:val="Heading 3 Char"/>
    <w:basedOn w:val="DefaultParagraphFont"/>
    <w:link w:val="Heading3"/>
    <w:uiPriority w:val="9"/>
    <w:rsid w:val="00006299"/>
    <w:rPr>
      <w:rFonts w:ascii="Times New Roman" w:eastAsiaTheme="majorEastAsia" w:hAnsi="Times New Roman" w:cstheme="majorBidi"/>
      <w:bCs/>
      <w:i/>
    </w:rPr>
  </w:style>
  <w:style w:type="character" w:customStyle="1" w:styleId="Heading1Char">
    <w:name w:val="Heading 1 Char"/>
    <w:basedOn w:val="DefaultParagraphFont"/>
    <w:link w:val="Heading1"/>
    <w:uiPriority w:val="99"/>
    <w:rsid w:val="000B0AD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autoRedefine/>
    <w:uiPriority w:val="10"/>
    <w:qFormat/>
    <w:rsid w:val="00712B71"/>
    <w:pPr>
      <w:spacing w:before="120" w:after="120" w:line="240" w:lineRule="auto"/>
    </w:pPr>
    <w:rPr>
      <w:rFonts w:asciiTheme="majorHAnsi" w:eastAsiaTheme="majorEastAsia" w:hAnsiTheme="majorHAnsi" w:cstheme="majorBidi"/>
      <w:b/>
      <w:spacing w:val="5"/>
      <w:kern w:val="28"/>
      <w:sz w:val="24"/>
      <w:szCs w:val="52"/>
      <w:lang w:val="en-AU"/>
    </w:rPr>
  </w:style>
  <w:style w:type="character" w:customStyle="1" w:styleId="TitleChar">
    <w:name w:val="Title Char"/>
    <w:basedOn w:val="DefaultParagraphFont"/>
    <w:link w:val="Title"/>
    <w:uiPriority w:val="10"/>
    <w:rsid w:val="00712B71"/>
    <w:rPr>
      <w:rFonts w:asciiTheme="majorHAnsi" w:eastAsiaTheme="majorEastAsia" w:hAnsiTheme="majorHAnsi" w:cstheme="majorBidi"/>
      <w:b/>
      <w:spacing w:val="5"/>
      <w:kern w:val="28"/>
      <w:sz w:val="24"/>
      <w:szCs w:val="52"/>
    </w:rPr>
  </w:style>
  <w:style w:type="paragraph" w:customStyle="1" w:styleId="Tablefigurelocation">
    <w:name w:val="Table/figure location"/>
    <w:basedOn w:val="Normal"/>
    <w:autoRedefine/>
    <w:qFormat/>
    <w:rsid w:val="00B94642"/>
    <w:pPr>
      <w:spacing w:before="200"/>
    </w:pPr>
    <w:rPr>
      <w:rFonts w:eastAsia="Calibri" w:cs="Consolas"/>
      <w:b/>
    </w:rPr>
  </w:style>
  <w:style w:type="paragraph" w:customStyle="1" w:styleId="xl151">
    <w:name w:val="xl151"/>
    <w:basedOn w:val="Normal"/>
    <w:autoRedefine/>
    <w:qFormat/>
    <w:rsid w:val="00FA2E62"/>
    <w:pPr>
      <w:pBdr>
        <w:right w:val="single" w:sz="4" w:space="0" w:color="auto"/>
      </w:pBdr>
      <w:spacing w:before="120" w:after="120" w:line="240" w:lineRule="auto"/>
      <w:textAlignment w:val="top"/>
    </w:pPr>
    <w:rPr>
      <w:rFonts w:ascii="Times New Roman" w:eastAsia="Times New Roman" w:hAnsi="Times New Roman"/>
      <w:b/>
      <w:bCs/>
      <w:sz w:val="28"/>
      <w:szCs w:val="28"/>
      <w:lang w:eastAsia="en-AU"/>
    </w:rPr>
  </w:style>
  <w:style w:type="table" w:styleId="LightShading">
    <w:name w:val="Light Shading"/>
    <w:basedOn w:val="TableNormal"/>
    <w:uiPriority w:val="60"/>
    <w:rsid w:val="00D8661D"/>
    <w:pPr>
      <w:spacing w:after="0" w:line="240" w:lineRule="auto"/>
    </w:pPr>
    <w:rPr>
      <w:color w:val="000000" w:themeColor="text1" w:themeShade="BF"/>
      <w:lang w:val="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autoRedefine/>
    <w:qFormat/>
    <w:rsid w:val="00712B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baxtera</dc:creator>
  <cp:lastModifiedBy>baxtera</cp:lastModifiedBy>
  <cp:revision>3</cp:revision>
  <dcterms:created xsi:type="dcterms:W3CDTF">2013-05-06T04:45:00Z</dcterms:created>
  <dcterms:modified xsi:type="dcterms:W3CDTF">2013-05-10T01:15:00Z</dcterms:modified>
</cp:coreProperties>
</file>