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56" w:rsidRDefault="005A6756" w:rsidP="005A6756"/>
    <w:p w:rsidR="005A6756" w:rsidRDefault="005A6756" w:rsidP="005A6756">
      <w:r>
        <w:rPr>
          <w:noProof/>
          <w:lang w:eastAsia="en-GB"/>
        </w:rPr>
        <w:drawing>
          <wp:inline distT="0" distB="0" distL="0" distR="0">
            <wp:extent cx="5278755" cy="2709949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6756" w:rsidRDefault="005A6756" w:rsidP="005A6756"/>
    <w:p w:rsidR="005A6756" w:rsidRDefault="005A6756" w:rsidP="005A6756">
      <w:pPr>
        <w:spacing w:line="480" w:lineRule="auto"/>
      </w:pPr>
    </w:p>
    <w:p w:rsidR="005A6756" w:rsidRPr="0034486E" w:rsidDel="00A20B3F" w:rsidRDefault="005A6756" w:rsidP="005A6756">
      <w:pPr>
        <w:spacing w:line="480" w:lineRule="auto"/>
        <w:rPr>
          <w:rFonts w:ascii="Palatino Linotype" w:hAnsi="Palatino Linotype"/>
          <w:b/>
        </w:rPr>
      </w:pPr>
      <w:r w:rsidRPr="0034486E">
        <w:rPr>
          <w:rFonts w:ascii="Palatino Linotype" w:hAnsi="Palatino Linotype"/>
        </w:rPr>
        <w:t>Figure S3.</w:t>
      </w:r>
      <w:r w:rsidRPr="0034486E">
        <w:rPr>
          <w:rFonts w:ascii="Palatino Linotype" w:hAnsi="Palatino Linotype"/>
          <w:b/>
        </w:rPr>
        <w:t xml:space="preserve"> </w:t>
      </w:r>
      <w:r w:rsidRPr="0034486E">
        <w:rPr>
          <w:rFonts w:ascii="Palatino Linotype" w:hAnsi="Palatino Linotype"/>
        </w:rPr>
        <w:t xml:space="preserve">Conversion </w:t>
      </w:r>
      <w:proofErr w:type="gramStart"/>
      <w:r w:rsidRPr="0034486E">
        <w:rPr>
          <w:rFonts w:ascii="Palatino Linotype" w:hAnsi="Palatino Linotype"/>
        </w:rPr>
        <w:t>rates  of</w:t>
      </w:r>
      <w:proofErr w:type="gramEnd"/>
      <w:r w:rsidRPr="0034486E">
        <w:rPr>
          <w:rFonts w:ascii="Palatino Linotype" w:hAnsi="Palatino Linotype"/>
        </w:rPr>
        <w:t xml:space="preserve"> forest alone (based on parameter estimates from model with 95% CL) for classes of points estimated from the model with the strongest support (Table 2). Point classes sharing the same letters did not differ significantly from each other.</w:t>
      </w:r>
    </w:p>
    <w:p w:rsidR="00320924" w:rsidRPr="006E6E3A" w:rsidRDefault="00320924" w:rsidP="006E6E3A"/>
    <w:sectPr w:rsidR="00320924" w:rsidRPr="006E6E3A" w:rsidSect="00172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924"/>
    <w:rsid w:val="0017250F"/>
    <w:rsid w:val="002C293D"/>
    <w:rsid w:val="00320924"/>
    <w:rsid w:val="005A6756"/>
    <w:rsid w:val="005F23F1"/>
    <w:rsid w:val="006E6E3A"/>
    <w:rsid w:val="008D047B"/>
    <w:rsid w:val="00BC7D78"/>
    <w:rsid w:val="00E3013E"/>
    <w:rsid w:val="00F26B6B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320924"/>
    <w:pPr>
      <w:spacing w:after="0" w:line="240" w:lineRule="auto"/>
    </w:pPr>
    <w:rPr>
      <w:rFonts w:eastAsia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cci\model_su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lineChart>
        <c:grouping val="standard"/>
        <c:ser>
          <c:idx val="0"/>
          <c:order val="0"/>
          <c:spPr>
            <a:ln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b, c</a:t>
                    </a:r>
                  </a:p>
                </c:rich>
              </c:tx>
              <c:showVal val="1"/>
            </c:dLbl>
            <c:showVal val="1"/>
          </c:dLbls>
          <c:errBars>
            <c:errDir val="y"/>
            <c:errBarType val="both"/>
            <c:errValType val="cust"/>
            <c:plus>
              <c:numRef>
                <c:f>Sheet1!$N$227:$N$230</c:f>
                <c:numCache>
                  <c:formatCode>General</c:formatCode>
                  <c:ptCount val="4"/>
                  <c:pt idx="0">
                    <c:v>2.0116186006662678E-3</c:v>
                  </c:pt>
                  <c:pt idx="1">
                    <c:v>4.4687219332047437E-3</c:v>
                  </c:pt>
                  <c:pt idx="2">
                    <c:v>3.2193223241565915E-3</c:v>
                  </c:pt>
                  <c:pt idx="3">
                    <c:v>-4.7237688671097674E-3</c:v>
                  </c:pt>
                </c:numCache>
              </c:numRef>
            </c:plus>
            <c:minus>
              <c:numRef>
                <c:f>Sheet1!$O$227:$O$230</c:f>
                <c:numCache>
                  <c:formatCode>General</c:formatCode>
                  <c:ptCount val="4"/>
                  <c:pt idx="0">
                    <c:v>1.1963843728406362E-3</c:v>
                  </c:pt>
                  <c:pt idx="1">
                    <c:v>3.1452786546929453E-3</c:v>
                  </c:pt>
                  <c:pt idx="2">
                    <c:v>2.1843408327752827E-3</c:v>
                  </c:pt>
                  <c:pt idx="3">
                    <c:v>-4.7761055846834918E-3</c:v>
                  </c:pt>
                </c:numCache>
              </c:numRef>
            </c:minus>
          </c:errBars>
          <c:cat>
            <c:strRef>
              <c:f>Sheet1!$G$227:$G$230</c:f>
              <c:strCache>
                <c:ptCount val="4"/>
                <c:pt idx="0">
                  <c:v>Protected IBA</c:v>
                </c:pt>
                <c:pt idx="1">
                  <c:v>Buffer of protected IBA</c:v>
                </c:pt>
                <c:pt idx="2">
                  <c:v>Unprotected IBA</c:v>
                </c:pt>
                <c:pt idx="3">
                  <c:v>Buffer of unprotected IBA</c:v>
                </c:pt>
              </c:strCache>
            </c:strRef>
          </c:cat>
          <c:val>
            <c:numRef>
              <c:f>Sheet1!$K$227:$K$230</c:f>
              <c:numCache>
                <c:formatCode>General</c:formatCode>
                <c:ptCount val="4"/>
                <c:pt idx="0">
                  <c:v>2.9423500292428718E-3</c:v>
                </c:pt>
                <c:pt idx="1">
                  <c:v>1.0507530125941552E-2</c:v>
                </c:pt>
                <c:pt idx="2">
                  <c:v>6.7482563312112618E-3</c:v>
                </c:pt>
                <c:pt idx="3">
                  <c:v>9.7682662154146525E-3</c:v>
                </c:pt>
              </c:numCache>
            </c:numRef>
          </c:val>
        </c:ser>
        <c:marker val="1"/>
        <c:axId val="118667520"/>
        <c:axId val="127187200"/>
      </c:lineChart>
      <c:catAx>
        <c:axId val="118667520"/>
        <c:scaling>
          <c:orientation val="minMax"/>
        </c:scaling>
        <c:axPos val="b"/>
        <c:tickLblPos val="nextTo"/>
        <c:crossAx val="127187200"/>
        <c:crosses val="autoZero"/>
        <c:auto val="1"/>
        <c:lblAlgn val="ctr"/>
        <c:lblOffset val="100"/>
      </c:catAx>
      <c:valAx>
        <c:axId val="12718720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conversion per year
</a:t>
                </a:r>
              </a:p>
            </c:rich>
          </c:tx>
          <c:layout/>
        </c:title>
        <c:numFmt formatCode="0.00%" sourceLinked="0"/>
        <c:tickLblPos val="nextTo"/>
        <c:crossAx val="1186675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RSPB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GMB</cp:lastModifiedBy>
  <cp:revision>2</cp:revision>
  <dcterms:created xsi:type="dcterms:W3CDTF">2013-05-02T12:53:00Z</dcterms:created>
  <dcterms:modified xsi:type="dcterms:W3CDTF">2013-05-02T12:53:00Z</dcterms:modified>
</cp:coreProperties>
</file>