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B7" w:rsidRPr="008B6FA7" w:rsidRDefault="00734AB7" w:rsidP="00734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Style w:val="ti2"/>
        </w:rPr>
      </w:pPr>
      <w:proofErr w:type="gramStart"/>
      <w:r>
        <w:rPr>
          <w:rStyle w:val="ti2"/>
          <w:rFonts w:ascii="Times New Roman" w:hAnsi="Times New Roman" w:cs="Helvetica"/>
          <w:b/>
          <w:szCs w:val="18"/>
        </w:rPr>
        <w:t>Appendix S2.</w:t>
      </w:r>
      <w:proofErr w:type="gramEnd"/>
      <w:r>
        <w:rPr>
          <w:rStyle w:val="ti2"/>
          <w:rFonts w:ascii="Times New Roman" w:hAnsi="Times New Roman" w:cs="Helvetica"/>
          <w:b/>
          <w:szCs w:val="18"/>
        </w:rPr>
        <w:t xml:space="preserve"> </w:t>
      </w:r>
      <w:r w:rsidRPr="0059653E">
        <w:rPr>
          <w:rStyle w:val="ti2"/>
          <w:rFonts w:ascii="Times New Roman" w:hAnsi="Times New Roman" w:cs="Helvetica"/>
          <w:b/>
          <w:szCs w:val="18"/>
        </w:rPr>
        <w:t xml:space="preserve">TE-Power Probe </w:t>
      </w:r>
      <w:r>
        <w:rPr>
          <w:rStyle w:val="ti2"/>
          <w:rFonts w:ascii="Times New Roman" w:hAnsi="Times New Roman" w:cs="Helvetica"/>
          <w:b/>
          <w:szCs w:val="18"/>
        </w:rPr>
        <w:t>m</w:t>
      </w:r>
      <w:r w:rsidRPr="0059653E">
        <w:rPr>
          <w:rStyle w:val="ti2"/>
          <w:rFonts w:ascii="Times New Roman" w:hAnsi="Times New Roman" w:cs="Helvetica"/>
          <w:b/>
          <w:szCs w:val="18"/>
        </w:rPr>
        <w:t>odel</w:t>
      </w:r>
      <w:r w:rsidR="0000577A">
        <w:rPr>
          <w:rStyle w:val="ti2"/>
          <w:rFonts w:ascii="Times New Roman" w:hAnsi="Times New Roman" w:cs="Helvetica"/>
          <w:b/>
          <w:szCs w:val="18"/>
        </w:rPr>
        <w:t xml:space="preserve"> description</w:t>
      </w:r>
      <w:bookmarkStart w:id="0" w:name="_GoBack"/>
      <w:bookmarkEnd w:id="0"/>
    </w:p>
    <w:p w:rsidR="00734AB7" w:rsidRPr="008B6FA7" w:rsidRDefault="00734AB7" w:rsidP="00734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B6FA7">
        <w:rPr>
          <w:rStyle w:val="ti2"/>
          <w:rFonts w:ascii="Times New Roman" w:hAnsi="Times New Roman" w:cs="Helvetica"/>
          <w:szCs w:val="18"/>
        </w:rPr>
        <w:t xml:space="preserve">The definition of </w:t>
      </w:r>
      <w:proofErr w:type="gramStart"/>
      <w:r w:rsidRPr="008B6FA7">
        <w:rPr>
          <w:rStyle w:val="ti2"/>
          <w:rFonts w:ascii="Times New Roman" w:hAnsi="Times New Roman" w:cs="Helvetica"/>
          <w:i/>
          <w:szCs w:val="18"/>
        </w:rPr>
        <w:t>I</w:t>
      </w:r>
      <w:proofErr w:type="gramEnd"/>
      <w:r w:rsidRPr="008B6FA7">
        <w:rPr>
          <w:rStyle w:val="ti2"/>
          <w:rFonts w:ascii="Times New Roman" w:hAnsi="Times New Roman" w:cs="Helvetica"/>
          <w:szCs w:val="18"/>
        </w:rPr>
        <w:t xml:space="preserve"> for maximal power </w:t>
      </w:r>
      <w:r>
        <w:rPr>
          <w:rStyle w:val="ti2"/>
          <w:rFonts w:ascii="Times New Roman" w:hAnsi="Times New Roman" w:cs="Helvetica"/>
          <w:szCs w:val="18"/>
        </w:rPr>
        <w:t>acquisition, Eq. S1.4 in Appendix S1</w:t>
      </w:r>
      <w:r w:rsidRPr="008B6FA7">
        <w:rPr>
          <w:rStyle w:val="ti2"/>
          <w:rFonts w:ascii="Times New Roman" w:hAnsi="Times New Roman" w:cs="Helvetica"/>
          <w:szCs w:val="18"/>
        </w:rPr>
        <w:t xml:space="preserve">, was taken into account </w:t>
      </w:r>
      <w:r>
        <w:rPr>
          <w:rStyle w:val="ti2"/>
          <w:rFonts w:ascii="Times New Roman" w:hAnsi="Times New Roman" w:cs="Helvetica"/>
          <w:szCs w:val="18"/>
        </w:rPr>
        <w:t>to define</w:t>
      </w:r>
      <w:r w:rsidRPr="008B6FA7">
        <w:rPr>
          <w:rStyle w:val="ti2"/>
          <w:rFonts w:ascii="Times New Roman" w:hAnsi="Times New Roman" w:cs="Helvetica"/>
          <w:szCs w:val="18"/>
        </w:rPr>
        <w:t xml:space="preserve"> a simple thermal model, in which every thermal resistance of the TE-Po</w:t>
      </w:r>
      <w:r>
        <w:rPr>
          <w:rStyle w:val="ti2"/>
          <w:rFonts w:ascii="Times New Roman" w:hAnsi="Times New Roman" w:cs="Helvetica"/>
          <w:szCs w:val="18"/>
        </w:rPr>
        <w:t>wer Probe is considered (Fig. S2</w:t>
      </w:r>
      <w:r w:rsidRPr="008B6FA7">
        <w:rPr>
          <w:rStyle w:val="ti2"/>
          <w:rFonts w:ascii="Times New Roman" w:hAnsi="Times New Roman" w:cs="Helvetica"/>
          <w:szCs w:val="18"/>
        </w:rPr>
        <w:t xml:space="preserve">). The equations modeling TE-Power Probe </w:t>
      </w:r>
      <w:r>
        <w:rPr>
          <w:rStyle w:val="ti2"/>
          <w:rFonts w:ascii="Times New Roman" w:hAnsi="Times New Roman" w:cs="Helvetica"/>
          <w:szCs w:val="18"/>
        </w:rPr>
        <w:t>performance</w:t>
      </w:r>
      <w:r w:rsidRPr="008B6FA7">
        <w:rPr>
          <w:rStyle w:val="ti2"/>
          <w:rFonts w:ascii="Times New Roman" w:hAnsi="Times New Roman" w:cs="Helvetica"/>
          <w:szCs w:val="18"/>
        </w:rPr>
        <w:t xml:space="preserve"> are:</w:t>
      </w:r>
    </w:p>
    <w:p w:rsidR="00734AB7" w:rsidRDefault="00734AB7" w:rsidP="00734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Style w:val="ti2"/>
        </w:rPr>
      </w:pPr>
    </w:p>
    <w:p w:rsidR="00734AB7" w:rsidRDefault="00734AB7" w:rsidP="00734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Style w:val="ti2"/>
        </w:rPr>
      </w:pPr>
      <w:r w:rsidRPr="00983E95">
        <w:rPr>
          <w:rFonts w:ascii="Times New Roman" w:hAnsi="Times New Roman" w:cs="Calibri"/>
          <w:szCs w:val="30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5" o:title=""/>
          </v:shape>
          <o:OLEObject Type="Embed" ProgID="Equation.3" ShapeID="_x0000_i1025" DrawAspect="Icon" ObjectID="_1420870971" r:id="rId6"/>
        </w:object>
      </w:r>
      <w:r>
        <w:rPr>
          <w:rFonts w:eastAsia="Times New Roman"/>
        </w:rPr>
        <w:tab/>
      </w:r>
      <w:r>
        <w:rPr>
          <w:rFonts w:ascii="Times New Roman" w:eastAsia="Times New Roman" w:hAnsi="Times New Roman"/>
        </w:rPr>
        <w:t>(S2</w:t>
      </w:r>
      <w:r w:rsidRPr="00042B6B">
        <w:rPr>
          <w:rFonts w:ascii="Times New Roman" w:eastAsia="Times New Roman" w:hAnsi="Times New Roman"/>
        </w:rPr>
        <w:t>.1</w:t>
      </w:r>
      <w:r>
        <w:rPr>
          <w:rFonts w:ascii="Times New Roman" w:eastAsia="Times New Roman" w:hAnsi="Times New Roman"/>
        </w:rPr>
        <w:t>)</w:t>
      </w:r>
    </w:p>
    <w:p w:rsidR="00734AB7" w:rsidRDefault="00734AB7" w:rsidP="00734AB7">
      <w:pPr>
        <w:spacing w:before="120" w:after="120"/>
        <w:jc w:val="center"/>
        <w:rPr>
          <w:rFonts w:eastAsia="Times New Roman"/>
          <w:iCs/>
          <w:highlight w:val="cyan"/>
        </w:rPr>
      </w:pPr>
      <w:r w:rsidRPr="00983E95">
        <w:rPr>
          <w:rFonts w:ascii="Times New Roman" w:hAnsi="Times New Roman" w:cs="Calibri"/>
          <w:szCs w:val="30"/>
        </w:rPr>
        <w:object w:dxaOrig="2069" w:dyaOrig="1320">
          <v:shape id="_x0000_i1026" type="#_x0000_t75" style="width:103.5pt;height:66pt" o:ole="">
            <v:imagedata r:id="rId5" o:title=""/>
          </v:shape>
          <o:OLEObject Type="Embed" ProgID="Equation.3" ShapeID="_x0000_i1026" DrawAspect="Icon" ObjectID="_1420870972" r:id="rId7"/>
        </w:object>
      </w:r>
      <w:r>
        <w:rPr>
          <w:rFonts w:eastAsia="Times New Roman"/>
        </w:rPr>
        <w:tab/>
      </w:r>
      <w:r>
        <w:rPr>
          <w:rFonts w:ascii="Times New Roman" w:eastAsia="Times New Roman" w:hAnsi="Times New Roman"/>
        </w:rPr>
        <w:t>(S2</w:t>
      </w:r>
      <w:r w:rsidRPr="00042B6B">
        <w:rPr>
          <w:rFonts w:ascii="Times New Roman" w:eastAsia="Times New Roman" w:hAnsi="Times New Roman"/>
        </w:rPr>
        <w:t>.2</w:t>
      </w:r>
      <w:r>
        <w:rPr>
          <w:rFonts w:ascii="Times New Roman" w:eastAsia="Times New Roman" w:hAnsi="Times New Roman"/>
        </w:rPr>
        <w:t>)</w:t>
      </w:r>
    </w:p>
    <w:p w:rsidR="00734AB7" w:rsidRDefault="00734AB7" w:rsidP="00734AB7">
      <w:pPr>
        <w:spacing w:before="120" w:after="120"/>
        <w:jc w:val="center"/>
        <w:rPr>
          <w:rFonts w:eastAsia="Times New Roman"/>
        </w:rPr>
      </w:pPr>
      <w:r w:rsidRPr="00983E95">
        <w:rPr>
          <w:rFonts w:ascii="Times New Roman" w:hAnsi="Times New Roman" w:cs="Calibri"/>
          <w:szCs w:val="30"/>
        </w:rPr>
        <w:object w:dxaOrig="1550" w:dyaOrig="991">
          <v:shape id="_x0000_i1027" type="#_x0000_t75" style="width:77.25pt;height:49.5pt" o:ole="">
            <v:imagedata r:id="rId5" o:title=""/>
          </v:shape>
          <o:OLEObject Type="Embed" ProgID="Equation.3" ShapeID="_x0000_i1027" DrawAspect="Icon" ObjectID="_1420870973" r:id="rId8"/>
        </w:object>
      </w:r>
      <w:r>
        <w:rPr>
          <w:rFonts w:eastAsia="Times New Roman"/>
        </w:rPr>
        <w:tab/>
      </w:r>
      <w:r>
        <w:rPr>
          <w:rFonts w:ascii="Times New Roman" w:eastAsia="Times New Roman" w:hAnsi="Times New Roman"/>
        </w:rPr>
        <w:t>(S2</w:t>
      </w:r>
      <w:r w:rsidRPr="00042B6B">
        <w:rPr>
          <w:rFonts w:ascii="Times New Roman" w:eastAsia="Times New Roman" w:hAnsi="Times New Roman"/>
        </w:rPr>
        <w:t>.3</w:t>
      </w:r>
      <w:r>
        <w:rPr>
          <w:rFonts w:ascii="Times New Roman" w:eastAsia="Times New Roman" w:hAnsi="Times New Roman"/>
        </w:rPr>
        <w:t>)</w:t>
      </w:r>
    </w:p>
    <w:p w:rsidR="00734AB7" w:rsidRDefault="00734AB7" w:rsidP="00734AB7">
      <w:pPr>
        <w:spacing w:before="120" w:after="120"/>
        <w:jc w:val="center"/>
        <w:rPr>
          <w:rFonts w:eastAsia="Times New Roman"/>
        </w:rPr>
      </w:pPr>
      <w:r w:rsidRPr="00983E95">
        <w:rPr>
          <w:rFonts w:ascii="Times New Roman" w:hAnsi="Times New Roman" w:cs="Calibri"/>
          <w:szCs w:val="30"/>
        </w:rPr>
        <w:object w:dxaOrig="1550" w:dyaOrig="991">
          <v:shape id="_x0000_i1028" type="#_x0000_t75" style="width:77.25pt;height:49.5pt" o:ole="">
            <v:imagedata r:id="rId5" o:title=""/>
          </v:shape>
          <o:OLEObject Type="Embed" ProgID="Equation.3" ShapeID="_x0000_i1028" DrawAspect="Icon" ObjectID="_1420870974" r:id="rId9"/>
        </w:objec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3B4877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S2</w:t>
      </w:r>
      <w:r w:rsidRPr="00042B6B">
        <w:rPr>
          <w:rFonts w:ascii="Times New Roman" w:eastAsia="Times New Roman" w:hAnsi="Times New Roman"/>
        </w:rPr>
        <w:t>.4</w:t>
      </w:r>
      <w:r>
        <w:rPr>
          <w:rFonts w:ascii="Times New Roman" w:eastAsia="Times New Roman" w:hAnsi="Times New Roman"/>
        </w:rPr>
        <w:t>)</w:t>
      </w:r>
    </w:p>
    <w:p w:rsidR="00734AB7" w:rsidRDefault="00734AB7" w:rsidP="00734AB7">
      <w:pPr>
        <w:spacing w:before="120" w:after="120"/>
        <w:jc w:val="center"/>
        <w:rPr>
          <w:rFonts w:eastAsia="Times New Roman"/>
          <w:sz w:val="18"/>
          <w:szCs w:val="18"/>
          <w:highlight w:val="cyan"/>
        </w:rPr>
      </w:pPr>
      <w:r w:rsidRPr="00983E95">
        <w:rPr>
          <w:rFonts w:ascii="Times New Roman" w:hAnsi="Times New Roman" w:cs="Calibri"/>
          <w:szCs w:val="30"/>
        </w:rPr>
        <w:object w:dxaOrig="1550" w:dyaOrig="991">
          <v:shape id="_x0000_i1029" type="#_x0000_t75" style="width:77.25pt;height:49.5pt" o:ole="">
            <v:imagedata r:id="rId5" o:title=""/>
          </v:shape>
          <o:OLEObject Type="Embed" ProgID="Equation.3" ShapeID="_x0000_i1029" DrawAspect="Icon" ObjectID="_1420870975" r:id="rId10"/>
        </w:object>
      </w:r>
      <w:r>
        <w:rPr>
          <w:rFonts w:eastAsia="Times New Roman"/>
        </w:rPr>
        <w:tab/>
      </w:r>
      <w:r>
        <w:rPr>
          <w:rFonts w:ascii="Times New Roman" w:eastAsia="Times New Roman" w:hAnsi="Times New Roman"/>
        </w:rPr>
        <w:t>(S2</w:t>
      </w:r>
      <w:r w:rsidRPr="00042B6B">
        <w:rPr>
          <w:rFonts w:ascii="Times New Roman" w:eastAsia="Times New Roman" w:hAnsi="Times New Roman"/>
        </w:rPr>
        <w:t>.5</w:t>
      </w:r>
      <w:r>
        <w:rPr>
          <w:rFonts w:ascii="Times New Roman" w:eastAsia="Times New Roman" w:hAnsi="Times New Roman"/>
        </w:rPr>
        <w:t>)</w:t>
      </w:r>
    </w:p>
    <w:p w:rsidR="00734AB7" w:rsidRDefault="00734AB7" w:rsidP="00734AB7">
      <w:pPr>
        <w:spacing w:before="120" w:after="120"/>
        <w:jc w:val="center"/>
        <w:rPr>
          <w:rFonts w:eastAsia="Times New Roman"/>
          <w:highlight w:val="cyan"/>
        </w:rPr>
      </w:pPr>
      <w:r w:rsidRPr="00983E95">
        <w:rPr>
          <w:rFonts w:ascii="Times New Roman" w:hAnsi="Times New Roman" w:cs="Calibri"/>
          <w:szCs w:val="30"/>
        </w:rPr>
        <w:object w:dxaOrig="1550" w:dyaOrig="991">
          <v:shape id="_x0000_i1030" type="#_x0000_t75" style="width:77.25pt;height:49.5pt" o:ole="">
            <v:imagedata r:id="rId5" o:title=""/>
          </v:shape>
          <o:OLEObject Type="Embed" ProgID="Equation.3" ShapeID="_x0000_i1030" DrawAspect="Icon" ObjectID="_1420870976" r:id="rId11"/>
        </w:object>
      </w:r>
      <w:r>
        <w:rPr>
          <w:rFonts w:eastAsia="Times New Roman"/>
        </w:rPr>
        <w:tab/>
      </w:r>
      <w:r>
        <w:rPr>
          <w:rFonts w:ascii="Times New Roman" w:eastAsia="Times New Roman" w:hAnsi="Times New Roman"/>
        </w:rPr>
        <w:t>(S2</w:t>
      </w:r>
      <w:r w:rsidRPr="00042B6B">
        <w:rPr>
          <w:rFonts w:ascii="Times New Roman" w:eastAsia="Times New Roman" w:hAnsi="Times New Roman"/>
        </w:rPr>
        <w:t>.6</w:t>
      </w:r>
      <w:r>
        <w:rPr>
          <w:rFonts w:ascii="Times New Roman" w:eastAsia="Times New Roman" w:hAnsi="Times New Roman"/>
        </w:rPr>
        <w:t>)</w:t>
      </w:r>
    </w:p>
    <w:p w:rsidR="00734AB7" w:rsidRDefault="00734AB7" w:rsidP="00734AB7">
      <w:pPr>
        <w:spacing w:after="240" w:line="360" w:lineRule="auto"/>
        <w:rPr>
          <w:highlight w:val="cyan"/>
        </w:rPr>
      </w:pPr>
    </w:p>
    <w:p w:rsidR="00734AB7" w:rsidRPr="008B6FA7" w:rsidRDefault="00734AB7" w:rsidP="00734AB7">
      <w:pPr>
        <w:spacing w:line="360" w:lineRule="auto"/>
        <w:jc w:val="both"/>
        <w:rPr>
          <w:rStyle w:val="ti2"/>
        </w:rPr>
      </w:pPr>
      <w:r w:rsidRPr="008B6FA7">
        <w:rPr>
          <w:rStyle w:val="ti2"/>
          <w:rFonts w:ascii="Times New Roman" w:hAnsi="Times New Roman" w:cs="Helvetica"/>
          <w:szCs w:val="18"/>
        </w:rPr>
        <w:t xml:space="preserve">Where </w:t>
      </w:r>
      <w:r w:rsidRPr="008B6FA7">
        <w:rPr>
          <w:rStyle w:val="ti2"/>
          <w:rFonts w:ascii="Times New Roman" w:hAnsi="Times New Roman" w:cs="Helvetica"/>
          <w:i/>
          <w:szCs w:val="18"/>
        </w:rPr>
        <w:t>V</w:t>
      </w:r>
      <w:r w:rsidRPr="008B6FA7">
        <w:rPr>
          <w:rStyle w:val="ti2"/>
          <w:rFonts w:ascii="Times New Roman" w:hAnsi="Times New Roman" w:cs="Helvetica"/>
          <w:i/>
          <w:szCs w:val="18"/>
          <w:vertAlign w:val="subscript"/>
        </w:rPr>
        <w:t>o</w:t>
      </w:r>
      <w:r w:rsidRPr="008B6FA7">
        <w:rPr>
          <w:rStyle w:val="ti2"/>
          <w:rFonts w:ascii="Times New Roman" w:hAnsi="Times New Roman" w:cs="Helvetica"/>
          <w:szCs w:val="18"/>
        </w:rPr>
        <w:t xml:space="preserve"> is the output voltage and </w:t>
      </w:r>
      <w:proofErr w:type="spellStart"/>
      <w:r w:rsidRPr="008B6FA7">
        <w:rPr>
          <w:rStyle w:val="ti2"/>
          <w:rFonts w:ascii="Times New Roman" w:hAnsi="Times New Roman"/>
          <w:i/>
          <w:szCs w:val="18"/>
        </w:rPr>
        <w:t>Δ</w:t>
      </w:r>
      <w:r w:rsidRPr="008B6FA7">
        <w:rPr>
          <w:rStyle w:val="ti2"/>
          <w:rFonts w:ascii="Times New Roman" w:hAnsi="Times New Roman" w:cs="Helvetica"/>
          <w:i/>
          <w:szCs w:val="18"/>
        </w:rPr>
        <w:t>T</w:t>
      </w:r>
      <w:r w:rsidRPr="008B6FA7">
        <w:rPr>
          <w:rStyle w:val="ti2"/>
          <w:rFonts w:ascii="Times New Roman" w:hAnsi="Times New Roman" w:cs="Helvetica"/>
          <w:i/>
          <w:szCs w:val="18"/>
          <w:vertAlign w:val="subscript"/>
        </w:rPr>
        <w:t>th</w:t>
      </w:r>
      <w:proofErr w:type="spellEnd"/>
      <w:r w:rsidRPr="008B6FA7">
        <w:rPr>
          <w:rStyle w:val="ti2"/>
          <w:rFonts w:ascii="Times New Roman" w:hAnsi="Times New Roman" w:cs="Helvetica"/>
          <w:szCs w:val="18"/>
        </w:rPr>
        <w:t xml:space="preserve"> represents the difference </w:t>
      </w:r>
      <w:r>
        <w:rPr>
          <w:rStyle w:val="ti2"/>
          <w:rFonts w:ascii="Times New Roman" w:hAnsi="Times New Roman" w:cs="Helvetica"/>
          <w:szCs w:val="18"/>
        </w:rPr>
        <w:t>in</w:t>
      </w:r>
      <w:r w:rsidRPr="008B6FA7">
        <w:rPr>
          <w:rStyle w:val="ti2"/>
          <w:rFonts w:ascii="Times New Roman" w:hAnsi="Times New Roman" w:cs="Helvetica"/>
          <w:szCs w:val="18"/>
        </w:rPr>
        <w:t xml:space="preserve"> temperature between the hot and the cold side of the </w:t>
      </w:r>
      <w:proofErr w:type="spellStart"/>
      <w:r w:rsidRPr="008B6FA7">
        <w:rPr>
          <w:rStyle w:val="ti2"/>
          <w:rFonts w:ascii="Times New Roman" w:hAnsi="Times New Roman" w:cs="Helvetica"/>
          <w:szCs w:val="18"/>
        </w:rPr>
        <w:t>thermogenerator</w:t>
      </w:r>
      <w:proofErr w:type="spellEnd"/>
      <w:r w:rsidRPr="008B6FA7">
        <w:rPr>
          <w:rStyle w:val="ti2"/>
          <w:rFonts w:ascii="Times New Roman" w:hAnsi="Times New Roman" w:cs="Helvetica"/>
          <w:szCs w:val="18"/>
        </w:rPr>
        <w:t xml:space="preserve">; </w:t>
      </w:r>
      <w:proofErr w:type="spellStart"/>
      <w:r w:rsidRPr="008B6FA7">
        <w:rPr>
          <w:rStyle w:val="ti2"/>
          <w:rFonts w:ascii="Times New Roman" w:hAnsi="Times New Roman" w:cs="Helvetica"/>
          <w:i/>
          <w:szCs w:val="18"/>
        </w:rPr>
        <w:t>R</w:t>
      </w:r>
      <w:r w:rsidRPr="008B6FA7">
        <w:rPr>
          <w:rStyle w:val="ti2"/>
          <w:rFonts w:ascii="Times New Roman" w:hAnsi="Times New Roman" w:cs="Helvetica"/>
          <w:i/>
          <w:szCs w:val="18"/>
          <w:vertAlign w:val="subscript"/>
        </w:rPr>
        <w:t>Cu</w:t>
      </w:r>
      <w:proofErr w:type="spellEnd"/>
      <w:r w:rsidRPr="008B6FA7">
        <w:rPr>
          <w:rStyle w:val="ti2"/>
          <w:rFonts w:ascii="Times New Roman" w:hAnsi="Times New Roman" w:cs="Helvetica"/>
          <w:szCs w:val="18"/>
        </w:rPr>
        <w:t xml:space="preserve"> is the thermal resistance of the cupper bar connecting the broth (at a temperature </w:t>
      </w:r>
      <w:r w:rsidRPr="008B6FA7">
        <w:rPr>
          <w:rStyle w:val="ti2"/>
          <w:rFonts w:ascii="Times New Roman" w:hAnsi="Times New Roman" w:cs="Helvetica"/>
          <w:i/>
          <w:szCs w:val="18"/>
        </w:rPr>
        <w:t>T</w:t>
      </w:r>
      <w:r w:rsidRPr="008B6FA7">
        <w:rPr>
          <w:rStyle w:val="ti2"/>
          <w:rFonts w:ascii="Times New Roman" w:hAnsi="Times New Roman" w:cs="Helvetica"/>
          <w:i/>
          <w:szCs w:val="18"/>
          <w:vertAlign w:val="subscript"/>
        </w:rPr>
        <w:t>b</w:t>
      </w:r>
      <w:r w:rsidRPr="008B6FA7">
        <w:rPr>
          <w:rStyle w:val="ti2"/>
          <w:rFonts w:ascii="Times New Roman" w:hAnsi="Times New Roman" w:cs="Helvetica"/>
          <w:szCs w:val="18"/>
        </w:rPr>
        <w:t xml:space="preserve">) and the hot side of the cell (at a temperature </w:t>
      </w:r>
      <w:r w:rsidRPr="008B6FA7">
        <w:rPr>
          <w:rStyle w:val="ti2"/>
          <w:rFonts w:ascii="Times New Roman" w:hAnsi="Times New Roman" w:cs="Helvetica"/>
          <w:i/>
          <w:szCs w:val="18"/>
        </w:rPr>
        <w:t>T</w:t>
      </w:r>
      <w:r w:rsidRPr="008B6FA7">
        <w:rPr>
          <w:rStyle w:val="ti2"/>
          <w:rFonts w:ascii="Times New Roman" w:hAnsi="Times New Roman" w:cs="Helvetica"/>
          <w:i/>
          <w:szCs w:val="18"/>
          <w:vertAlign w:val="subscript"/>
        </w:rPr>
        <w:t>H</w:t>
      </w:r>
      <w:r w:rsidRPr="008B6FA7">
        <w:rPr>
          <w:rStyle w:val="ti2"/>
          <w:rFonts w:ascii="Times New Roman" w:hAnsi="Times New Roman" w:cs="Helvetica"/>
          <w:szCs w:val="18"/>
        </w:rPr>
        <w:t xml:space="preserve">); and </w:t>
      </w:r>
      <w:proofErr w:type="spellStart"/>
      <w:r w:rsidRPr="008B6FA7">
        <w:rPr>
          <w:rStyle w:val="ti2"/>
          <w:rFonts w:ascii="Times New Roman" w:hAnsi="Times New Roman" w:cs="Helvetica"/>
          <w:i/>
          <w:szCs w:val="18"/>
        </w:rPr>
        <w:t>R</w:t>
      </w:r>
      <w:r w:rsidRPr="008B6FA7">
        <w:rPr>
          <w:rStyle w:val="ti2"/>
          <w:rFonts w:ascii="Times New Roman" w:hAnsi="Times New Roman" w:cs="Helvetica"/>
          <w:i/>
          <w:szCs w:val="18"/>
          <w:vertAlign w:val="subscript"/>
        </w:rPr>
        <w:t>Sk</w:t>
      </w:r>
      <w:proofErr w:type="spellEnd"/>
      <w:r w:rsidRPr="008B6FA7">
        <w:rPr>
          <w:rStyle w:val="ti2"/>
          <w:rFonts w:ascii="Times New Roman" w:hAnsi="Times New Roman" w:cs="Helvetica"/>
          <w:szCs w:val="18"/>
        </w:rPr>
        <w:t xml:space="preserve"> is the thermal resistance found between the cold side of the </w:t>
      </w:r>
      <w:proofErr w:type="spellStart"/>
      <w:r w:rsidRPr="008B6FA7">
        <w:rPr>
          <w:rStyle w:val="ti2"/>
          <w:rFonts w:ascii="Times New Roman" w:hAnsi="Times New Roman" w:cs="Helvetica"/>
          <w:szCs w:val="18"/>
        </w:rPr>
        <w:t>thermogenerator</w:t>
      </w:r>
      <w:proofErr w:type="spellEnd"/>
      <w:r w:rsidRPr="008B6FA7">
        <w:rPr>
          <w:rStyle w:val="ti2"/>
          <w:rFonts w:ascii="Times New Roman" w:hAnsi="Times New Roman" w:cs="Helvetica"/>
          <w:szCs w:val="18"/>
        </w:rPr>
        <w:t xml:space="preserve"> (</w:t>
      </w:r>
      <w:r w:rsidRPr="008B6FA7">
        <w:rPr>
          <w:rStyle w:val="ti2"/>
          <w:rFonts w:ascii="Times New Roman" w:hAnsi="Times New Roman" w:cs="Helvetica"/>
          <w:i/>
          <w:szCs w:val="18"/>
        </w:rPr>
        <w:t>T</w:t>
      </w:r>
      <w:r w:rsidRPr="008B6FA7">
        <w:rPr>
          <w:rStyle w:val="ti2"/>
          <w:rFonts w:ascii="Times New Roman" w:hAnsi="Times New Roman" w:cs="Helvetica"/>
          <w:i/>
          <w:szCs w:val="18"/>
          <w:vertAlign w:val="subscript"/>
        </w:rPr>
        <w:t>C</w:t>
      </w:r>
      <w:r w:rsidRPr="008B6FA7">
        <w:rPr>
          <w:rStyle w:val="ti2"/>
          <w:rFonts w:ascii="Times New Roman" w:hAnsi="Times New Roman" w:cs="Helvetica"/>
          <w:szCs w:val="18"/>
        </w:rPr>
        <w:t xml:space="preserve">) and the environment (considering room temperature </w:t>
      </w:r>
      <w:proofErr w:type="spellStart"/>
      <w:r w:rsidRPr="008B6FA7">
        <w:rPr>
          <w:rStyle w:val="ti2"/>
          <w:rFonts w:ascii="Times New Roman" w:hAnsi="Times New Roman" w:cs="Helvetica"/>
          <w:i/>
          <w:szCs w:val="18"/>
        </w:rPr>
        <w:t>T</w:t>
      </w:r>
      <w:r w:rsidRPr="008B6FA7">
        <w:rPr>
          <w:rStyle w:val="ti2"/>
          <w:rFonts w:ascii="Times New Roman" w:hAnsi="Times New Roman" w:cs="Helvetica"/>
          <w:i/>
          <w:szCs w:val="18"/>
          <w:vertAlign w:val="subscript"/>
        </w:rPr>
        <w:t>env</w:t>
      </w:r>
      <w:proofErr w:type="spellEnd"/>
      <w:r w:rsidRPr="008B6FA7">
        <w:rPr>
          <w:rStyle w:val="ti2"/>
          <w:rFonts w:ascii="Times New Roman" w:hAnsi="Times New Roman" w:cs="Helvetica"/>
          <w:szCs w:val="18"/>
        </w:rPr>
        <w:t>).</w:t>
      </w:r>
    </w:p>
    <w:p w:rsidR="00734AB7" w:rsidRPr="0055156E" w:rsidRDefault="00734AB7" w:rsidP="00734AB7">
      <w:pPr>
        <w:spacing w:line="360" w:lineRule="auto"/>
      </w:pPr>
      <w:r w:rsidRPr="0055156E">
        <w:t xml:space="preserve"> </w:t>
      </w:r>
    </w:p>
    <w:p w:rsidR="00734AB7" w:rsidRDefault="00734AB7" w:rsidP="00734AB7">
      <w:pPr>
        <w:spacing w:line="360" w:lineRule="auto"/>
        <w:jc w:val="both"/>
        <w:rPr>
          <w:rStyle w:val="ti2"/>
          <w:rFonts w:ascii="Times New Roman" w:hAnsi="Times New Roman" w:cs="Helvetica"/>
          <w:szCs w:val="18"/>
        </w:rPr>
      </w:pPr>
      <w:r w:rsidRPr="00042B6B">
        <w:rPr>
          <w:rStyle w:val="ti2"/>
          <w:rFonts w:ascii="Times New Roman" w:hAnsi="Times New Roman" w:cs="Helvetica"/>
          <w:szCs w:val="18"/>
        </w:rPr>
        <w:t>Under an open-circuit configuration the model equations can be written as follows:</w:t>
      </w:r>
    </w:p>
    <w:p w:rsidR="00734AB7" w:rsidRDefault="00734AB7" w:rsidP="00734AB7">
      <w:pPr>
        <w:spacing w:line="360" w:lineRule="auto"/>
        <w:jc w:val="both"/>
        <w:rPr>
          <w:rStyle w:val="ti2"/>
        </w:rPr>
      </w:pPr>
    </w:p>
    <w:p w:rsidR="00734AB7" w:rsidRPr="00BD63C9" w:rsidRDefault="00734AB7" w:rsidP="00734AB7">
      <w:pPr>
        <w:spacing w:after="120" w:line="360" w:lineRule="auto"/>
        <w:jc w:val="center"/>
        <w:rPr>
          <w:rStyle w:val="ti2"/>
          <w:rFonts w:eastAsia="Times New Roman"/>
          <w:iCs/>
          <w:sz w:val="24"/>
          <w:szCs w:val="24"/>
          <w:highlight w:val="cyan"/>
        </w:rPr>
      </w:pPr>
      <w:r w:rsidRPr="00983E95">
        <w:rPr>
          <w:rFonts w:ascii="Times New Roman" w:hAnsi="Times New Roman" w:cs="Calibri"/>
          <w:szCs w:val="30"/>
        </w:rPr>
        <w:object w:dxaOrig="1550" w:dyaOrig="991">
          <v:shape id="_x0000_i1031" type="#_x0000_t75" style="width:77.25pt;height:49.5pt" o:ole="">
            <v:imagedata r:id="rId5" o:title=""/>
          </v:shape>
          <o:OLEObject Type="Embed" ProgID="Equation.3" ShapeID="_x0000_i1031" DrawAspect="Icon" ObjectID="_1420870977" r:id="rId12"/>
        </w:objec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ascii="Times New Roman" w:eastAsia="Times New Roman" w:hAnsi="Times New Roman"/>
        </w:rPr>
        <w:t>(S2</w:t>
      </w:r>
      <w:r w:rsidRPr="0030046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7)</w:t>
      </w:r>
    </w:p>
    <w:p w:rsidR="00734AB7" w:rsidRDefault="00734AB7" w:rsidP="00734AB7">
      <w:pPr>
        <w:spacing w:after="120" w:line="360" w:lineRule="auto"/>
        <w:jc w:val="center"/>
        <w:rPr>
          <w:rFonts w:eastAsia="Times New Roman"/>
          <w:iCs/>
          <w:highlight w:val="cyan"/>
        </w:rPr>
      </w:pPr>
      <w:r w:rsidRPr="00983E95">
        <w:rPr>
          <w:rFonts w:ascii="Times New Roman" w:hAnsi="Times New Roman" w:cs="Calibri"/>
          <w:szCs w:val="30"/>
        </w:rPr>
        <w:object w:dxaOrig="1550" w:dyaOrig="991">
          <v:shape id="_x0000_i1032" type="#_x0000_t75" style="width:77.25pt;height:49.5pt" o:ole="">
            <v:imagedata r:id="rId5" o:title=""/>
          </v:shape>
          <o:OLEObject Type="Embed" ProgID="Equation.3" ShapeID="_x0000_i1032" DrawAspect="Icon" ObjectID="_1420870978" r:id="rId13"/>
        </w:object>
      </w:r>
      <w:r>
        <w:rPr>
          <w:rFonts w:eastAsia="Times New Roman"/>
        </w:rPr>
        <w:tab/>
      </w:r>
      <w:r>
        <w:rPr>
          <w:rFonts w:ascii="Times New Roman" w:eastAsia="Times New Roman" w:hAnsi="Times New Roman"/>
        </w:rPr>
        <w:t>(S2</w:t>
      </w:r>
      <w:r w:rsidRPr="0030046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8)</w:t>
      </w:r>
    </w:p>
    <w:p w:rsidR="00734AB7" w:rsidRDefault="00734AB7" w:rsidP="00734AB7">
      <w:pPr>
        <w:spacing w:after="120" w:line="360" w:lineRule="auto"/>
        <w:jc w:val="center"/>
        <w:rPr>
          <w:rFonts w:eastAsia="Times New Roman"/>
        </w:rPr>
      </w:pPr>
      <w:r w:rsidRPr="00983E95">
        <w:rPr>
          <w:rFonts w:ascii="Times New Roman" w:hAnsi="Times New Roman" w:cs="Calibri"/>
          <w:szCs w:val="30"/>
        </w:rPr>
        <w:object w:dxaOrig="1550" w:dyaOrig="991">
          <v:shape id="_x0000_i1033" type="#_x0000_t75" style="width:77.25pt;height:49.5pt" o:ole="">
            <v:imagedata r:id="rId5" o:title=""/>
          </v:shape>
          <o:OLEObject Type="Embed" ProgID="Equation.3" ShapeID="_x0000_i1033" DrawAspect="Icon" ObjectID="_1420870979" r:id="rId14"/>
        </w:object>
      </w:r>
      <w:r>
        <w:rPr>
          <w:rFonts w:eastAsia="Times New Roman"/>
        </w:rPr>
        <w:tab/>
      </w:r>
      <w:r>
        <w:rPr>
          <w:rFonts w:ascii="Times New Roman" w:eastAsia="Times New Roman" w:hAnsi="Times New Roman"/>
        </w:rPr>
        <w:t>(S2</w:t>
      </w:r>
      <w:r w:rsidRPr="0030046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9)</w:t>
      </w:r>
    </w:p>
    <w:p w:rsidR="00734AB7" w:rsidRDefault="00734AB7" w:rsidP="00734AB7">
      <w:pPr>
        <w:spacing w:after="120" w:line="360" w:lineRule="auto"/>
        <w:jc w:val="center"/>
        <w:rPr>
          <w:rFonts w:eastAsia="Times New Roman"/>
          <w:highlight w:val="cyan"/>
        </w:rPr>
      </w:pPr>
      <w:r w:rsidRPr="00983E95">
        <w:rPr>
          <w:rFonts w:ascii="Times New Roman" w:hAnsi="Times New Roman" w:cs="Calibri"/>
          <w:szCs w:val="30"/>
        </w:rPr>
        <w:object w:dxaOrig="2069" w:dyaOrig="1320">
          <v:shape id="_x0000_i1034" type="#_x0000_t75" style="width:103.5pt;height:66pt" o:ole="">
            <v:imagedata r:id="rId5" o:title=""/>
          </v:shape>
          <o:OLEObject Type="Embed" ProgID="Equation.3" ShapeID="_x0000_i1034" DrawAspect="Icon" ObjectID="_1420870980" r:id="rId15"/>
        </w:object>
      </w:r>
      <w:r>
        <w:rPr>
          <w:rFonts w:eastAsia="Times New Roman"/>
        </w:rPr>
        <w:tab/>
      </w:r>
      <w:r>
        <w:rPr>
          <w:rFonts w:ascii="Times New Roman" w:eastAsia="Times New Roman" w:hAnsi="Times New Roman"/>
        </w:rPr>
        <w:t>(S2</w:t>
      </w:r>
      <w:r w:rsidRPr="00300466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10)</w:t>
      </w:r>
    </w:p>
    <w:p w:rsidR="00734AB7" w:rsidRPr="00F85718" w:rsidRDefault="00734AB7" w:rsidP="00734AB7">
      <w:pPr>
        <w:spacing w:line="360" w:lineRule="auto"/>
        <w:rPr>
          <w:rStyle w:val="ti2"/>
          <w:rFonts w:eastAsia="Times New Roman"/>
        </w:rPr>
      </w:pPr>
      <w:r>
        <w:rPr>
          <w:rFonts w:ascii="Times New Roman" w:hAnsi="Times New Roman"/>
        </w:rPr>
        <w:t>Where</w:t>
      </w:r>
      <w:r w:rsidRPr="00300466">
        <w:rPr>
          <w:rFonts w:ascii="Times New Roman" w:hAnsi="Times New Roman"/>
        </w:rPr>
        <w:t xml:space="preserve"> there is no electrical power production</w:t>
      </w:r>
      <w:r>
        <w:rPr>
          <w:rFonts w:ascii="Times New Roman" w:hAnsi="Times New Roman"/>
        </w:rPr>
        <w:t>.</w:t>
      </w:r>
    </w:p>
    <w:p w:rsidR="00734AB7" w:rsidRPr="00285C4B" w:rsidRDefault="00734AB7" w:rsidP="00734AB7">
      <w:pPr>
        <w:rPr>
          <w:rFonts w:eastAsia="Times New Roman"/>
        </w:rPr>
      </w:pPr>
    </w:p>
    <w:p w:rsidR="00734AB7" w:rsidRDefault="00734AB7" w:rsidP="00734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ti2"/>
        </w:rPr>
      </w:pPr>
    </w:p>
    <w:p w:rsidR="00734AB7" w:rsidRDefault="00734AB7" w:rsidP="00734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ti2"/>
        </w:rPr>
      </w:pPr>
    </w:p>
    <w:p w:rsidR="00734AB7" w:rsidRDefault="00734AB7" w:rsidP="00734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ti2"/>
        </w:rPr>
      </w:pPr>
    </w:p>
    <w:p w:rsidR="00734AB7" w:rsidRDefault="00734AB7" w:rsidP="00734A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ti2"/>
        </w:rPr>
      </w:pPr>
    </w:p>
    <w:p w:rsidR="00734AB7" w:rsidRDefault="00734AB7" w:rsidP="00734AB7"/>
    <w:p w:rsidR="00101691" w:rsidRDefault="00101691"/>
    <w:sectPr w:rsidR="00101691" w:rsidSect="00541BB8">
      <w:footerReference w:type="default" r:id="rId16"/>
      <w:pgSz w:w="11900" w:h="16840"/>
      <w:pgMar w:top="1440" w:right="1800" w:bottom="1440" w:left="180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8B" w:rsidRDefault="0000577A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AC2B8B" w:rsidRDefault="0000577A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B7"/>
    <w:rsid w:val="0000577A"/>
    <w:rsid w:val="00101691"/>
    <w:rsid w:val="0073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B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2">
    <w:name w:val="ti2"/>
    <w:basedOn w:val="Fuentedeprrafopredeter"/>
    <w:rsid w:val="00734AB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734A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AB7"/>
    <w:rPr>
      <w:rFonts w:ascii="Cambria" w:eastAsia="Cambria" w:hAnsi="Cambria" w:cs="Times New Roman"/>
      <w:sz w:val="24"/>
      <w:szCs w:val="24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734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B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2">
    <w:name w:val="ti2"/>
    <w:basedOn w:val="Fuentedeprrafopredeter"/>
    <w:rsid w:val="00734AB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734A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AB7"/>
    <w:rPr>
      <w:rFonts w:ascii="Cambria" w:eastAsia="Cambria" w:hAnsi="Cambria" w:cs="Times New Roman"/>
      <w:sz w:val="24"/>
      <w:szCs w:val="24"/>
      <w:lang w:val="en-US"/>
    </w:rPr>
  </w:style>
  <w:style w:type="character" w:styleId="Nmerodelnea">
    <w:name w:val="line number"/>
    <w:basedOn w:val="Fuentedeprrafopredeter"/>
    <w:uiPriority w:val="99"/>
    <w:semiHidden/>
    <w:unhideWhenUsed/>
    <w:rsid w:val="0073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e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2013-01-28T08:33:00Z</dcterms:created>
  <dcterms:modified xsi:type="dcterms:W3CDTF">2013-01-28T08:36:00Z</dcterms:modified>
</cp:coreProperties>
</file>