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18" w:rsidRPr="00F05192" w:rsidRDefault="00845012" w:rsidP="00A55218">
      <w:pPr>
        <w:pStyle w:val="Paragraph"/>
        <w:spacing w:before="0" w:after="120" w:line="360" w:lineRule="auto"/>
        <w:ind w:firstLine="0"/>
        <w:jc w:val="both"/>
        <w:rPr>
          <w:b/>
          <w:lang w:val="en-GB"/>
        </w:rPr>
      </w:pPr>
      <w:r>
        <w:rPr>
          <w:b/>
          <w:lang w:val="en-GB"/>
        </w:rPr>
        <w:t>Table S1.</w:t>
      </w:r>
      <w:r w:rsidR="00A55218" w:rsidRPr="00F05192">
        <w:rPr>
          <w:b/>
          <w:lang w:val="en-GB"/>
        </w:rPr>
        <w:t xml:space="preserve"> Use of </w:t>
      </w:r>
      <w:proofErr w:type="spellStart"/>
      <w:r w:rsidR="00A55218" w:rsidRPr="00F05192">
        <w:rPr>
          <w:b/>
          <w:lang w:val="en-GB"/>
        </w:rPr>
        <w:t>hESC</w:t>
      </w:r>
      <w:proofErr w:type="spellEnd"/>
      <w:r w:rsidR="00A55218" w:rsidRPr="00F05192">
        <w:rPr>
          <w:b/>
          <w:lang w:val="en-GB"/>
        </w:rPr>
        <w:t xml:space="preserve"> lines in studies </w:t>
      </w:r>
      <w:r w:rsidR="00A55218">
        <w:rPr>
          <w:b/>
          <w:lang w:val="en-GB"/>
        </w:rPr>
        <w:t>(</w:t>
      </w:r>
      <w:r w:rsidR="00A55218" w:rsidRPr="00F05192">
        <w:rPr>
          <w:b/>
          <w:lang w:val="en-GB"/>
        </w:rPr>
        <w:t>co-</w:t>
      </w:r>
      <w:r w:rsidR="00A55218">
        <w:rPr>
          <w:b/>
          <w:lang w:val="en-GB"/>
        </w:rPr>
        <w:t>)</w:t>
      </w:r>
      <w:r w:rsidR="00A55218" w:rsidRPr="00F05192">
        <w:rPr>
          <w:b/>
          <w:lang w:val="en-GB"/>
        </w:rPr>
        <w:t>funded by the California Institute fo</w:t>
      </w:r>
      <w:r w:rsidR="00A55218">
        <w:rPr>
          <w:b/>
          <w:lang w:val="en-GB"/>
        </w:rPr>
        <w:t>r Regenerative Medicine</w:t>
      </w:r>
      <w:r>
        <w:rPr>
          <w:b/>
          <w:lang w:val="en-GB"/>
        </w:rPr>
        <w:t>.</w:t>
      </w:r>
    </w:p>
    <w:p w:rsidR="00A55218" w:rsidRDefault="00A55218" w:rsidP="00A55218">
      <w:pPr>
        <w:pStyle w:val="Paragraph"/>
        <w:spacing w:before="0" w:after="120" w:line="360" w:lineRule="auto"/>
        <w:ind w:firstLine="0"/>
        <w:jc w:val="both"/>
      </w:pPr>
      <w:r>
        <w:rPr>
          <w:lang w:val="en-GB"/>
        </w:rPr>
        <w:t xml:space="preserve">Statistics of </w:t>
      </w:r>
      <w:proofErr w:type="spellStart"/>
      <w:r>
        <w:rPr>
          <w:lang w:val="en-GB"/>
        </w:rPr>
        <w:t>hESC</w:t>
      </w:r>
      <w:proofErr w:type="spellEnd"/>
      <w:r>
        <w:rPr>
          <w:lang w:val="en-GB"/>
        </w:rPr>
        <w:t xml:space="preserve"> use for all published </w:t>
      </w:r>
      <w:proofErr w:type="spellStart"/>
      <w:r>
        <w:rPr>
          <w:lang w:val="en-GB"/>
        </w:rPr>
        <w:t>hESC</w:t>
      </w:r>
      <w:proofErr w:type="spellEnd"/>
      <w:r>
        <w:rPr>
          <w:lang w:val="en-GB"/>
        </w:rPr>
        <w:t xml:space="preserve"> studies with </w:t>
      </w:r>
      <w:r w:rsidRPr="00E650F0">
        <w:rPr>
          <w:lang w:val="en-GB"/>
        </w:rPr>
        <w:t xml:space="preserve">CIRM-funding </w:t>
      </w:r>
      <w:r>
        <w:rPr>
          <w:lang w:val="en-GB"/>
        </w:rPr>
        <w:t>(including those that also received additional funding from other sources, e.g. from the NIH) are shown</w:t>
      </w:r>
      <w:r w:rsidRPr="00E650F0">
        <w:rPr>
          <w:lang w:val="en-GB"/>
        </w:rPr>
        <w:t xml:space="preserve">. CIRM funding started in 2006, </w:t>
      </w:r>
      <w:r>
        <w:rPr>
          <w:lang w:val="en-GB"/>
        </w:rPr>
        <w:t xml:space="preserve">so </w:t>
      </w:r>
      <w:r w:rsidRPr="00E650F0">
        <w:rPr>
          <w:lang w:val="en-GB"/>
        </w:rPr>
        <w:t xml:space="preserve">studies published </w:t>
      </w:r>
      <w:r>
        <w:rPr>
          <w:lang w:val="en-GB"/>
        </w:rPr>
        <w:t xml:space="preserve">from </w:t>
      </w:r>
      <w:r w:rsidRPr="00E650F0">
        <w:rPr>
          <w:lang w:val="en-GB"/>
        </w:rPr>
        <w:t xml:space="preserve">2008 were investigated. </w:t>
      </w:r>
      <w:r>
        <w:rPr>
          <w:lang w:val="en-GB"/>
        </w:rPr>
        <w:t>Funding</w:t>
      </w:r>
      <w:r w:rsidRPr="00E650F0">
        <w:rPr>
          <w:lang w:val="en-GB"/>
        </w:rPr>
        <w:t xml:space="preserve"> information </w:t>
      </w:r>
      <w:r>
        <w:rPr>
          <w:lang w:val="en-GB"/>
        </w:rPr>
        <w:t>was taken</w:t>
      </w:r>
      <w:r w:rsidRPr="00E650F0">
        <w:rPr>
          <w:lang w:val="en-GB"/>
        </w:rPr>
        <w:t xml:space="preserve"> from the </w:t>
      </w:r>
      <w:r>
        <w:rPr>
          <w:lang w:val="en-GB"/>
        </w:rPr>
        <w:t xml:space="preserve">appropriate section of the </w:t>
      </w:r>
      <w:r w:rsidRPr="00E650F0">
        <w:rPr>
          <w:lang w:val="en-GB"/>
        </w:rPr>
        <w:t>paper</w:t>
      </w:r>
      <w:r>
        <w:rPr>
          <w:lang w:val="en-GB"/>
        </w:rPr>
        <w:t>s</w:t>
      </w:r>
      <w:r w:rsidRPr="00E650F0">
        <w:rPr>
          <w:lang w:val="en-GB"/>
        </w:rPr>
        <w:t xml:space="preserve">. </w:t>
      </w:r>
      <w:r>
        <w:rPr>
          <w:lang w:val="en-GB"/>
        </w:rPr>
        <w:t>T</w:t>
      </w:r>
      <w:r w:rsidRPr="00E650F0">
        <w:rPr>
          <w:lang w:val="en-GB"/>
        </w:rPr>
        <w:t xml:space="preserve">he </w:t>
      </w:r>
      <w:r>
        <w:rPr>
          <w:lang w:val="en-GB"/>
        </w:rPr>
        <w:t xml:space="preserve">percentage </w:t>
      </w:r>
      <w:r w:rsidRPr="00E650F0">
        <w:rPr>
          <w:lang w:val="en-GB"/>
        </w:rPr>
        <w:t xml:space="preserve">share </w:t>
      </w:r>
      <w:r>
        <w:rPr>
          <w:lang w:val="en-GB"/>
        </w:rPr>
        <w:t>in</w:t>
      </w:r>
      <w:r w:rsidRPr="00E650F0">
        <w:rPr>
          <w:lang w:val="en-GB"/>
        </w:rPr>
        <w:t xml:space="preserve"> the total number of papers published </w:t>
      </w:r>
      <w:r>
        <w:rPr>
          <w:lang w:val="en-GB"/>
        </w:rPr>
        <w:t>is in brackets</w:t>
      </w:r>
      <w:r w:rsidRPr="00E650F0">
        <w:rPr>
          <w:lang w:val="en-GB"/>
        </w:rPr>
        <w:t xml:space="preserve">. Note that more than one </w:t>
      </w:r>
      <w:proofErr w:type="spellStart"/>
      <w:r w:rsidRPr="00E650F0">
        <w:rPr>
          <w:lang w:val="en-GB"/>
        </w:rPr>
        <w:t>hESC</w:t>
      </w:r>
      <w:proofErr w:type="spellEnd"/>
      <w:r w:rsidRPr="00E650F0">
        <w:rPr>
          <w:lang w:val="en-GB"/>
        </w:rPr>
        <w:t xml:space="preserve"> line is used in most studies; thus the percentages add up to more than 100. </w:t>
      </w:r>
    </w:p>
    <w:p w:rsidR="00A55218" w:rsidRDefault="00A55218" w:rsidP="00A55218">
      <w:pPr>
        <w:pStyle w:val="Paragraph"/>
        <w:spacing w:line="360" w:lineRule="auto"/>
        <w:ind w:firstLine="0"/>
        <w:jc w:val="both"/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1244"/>
        <w:gridCol w:w="2049"/>
        <w:gridCol w:w="2049"/>
        <w:gridCol w:w="2049"/>
      </w:tblGrid>
      <w:tr w:rsidR="00A55218" w:rsidRPr="003D7C1B" w:rsidTr="002F4359">
        <w:tc>
          <w:tcPr>
            <w:tcW w:w="1845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</w:rPr>
            </w:pPr>
            <w:r w:rsidRPr="003D7C1B">
              <w:rPr>
                <w:rFonts w:cs="Arial"/>
              </w:rPr>
              <w:t>Period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</w:rPr>
            </w:pPr>
            <w:r>
              <w:rPr>
                <w:rFonts w:cs="Arial"/>
              </w:rPr>
              <w:t>Total n</w:t>
            </w:r>
            <w:r w:rsidRPr="003D7C1B">
              <w:rPr>
                <w:rFonts w:cs="Arial"/>
              </w:rPr>
              <w:t xml:space="preserve">umber of </w:t>
            </w:r>
            <w:proofErr w:type="spellStart"/>
            <w:r w:rsidRPr="003D7C1B">
              <w:rPr>
                <w:rFonts w:cs="Arial"/>
              </w:rPr>
              <w:t>hESC</w:t>
            </w:r>
            <w:proofErr w:type="spellEnd"/>
            <w:r w:rsidRPr="003D7C1B">
              <w:rPr>
                <w:rFonts w:cs="Arial"/>
              </w:rPr>
              <w:t xml:space="preserve"> research papers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</w:rPr>
            </w:pPr>
            <w:r>
              <w:rPr>
                <w:rFonts w:cs="Arial"/>
              </w:rPr>
              <w:t>Number which used</w:t>
            </w:r>
            <w:r w:rsidRPr="003D7C1B">
              <w:rPr>
                <w:rFonts w:cs="Arial"/>
              </w:rPr>
              <w:t xml:space="preserve"> at least one </w:t>
            </w:r>
            <w:r>
              <w:rPr>
                <w:rFonts w:cs="Arial"/>
              </w:rPr>
              <w:t>“eligible”</w:t>
            </w:r>
            <w:r w:rsidRPr="003D7C1B">
              <w:rPr>
                <w:rFonts w:cs="Arial"/>
              </w:rPr>
              <w:t xml:space="preserve"> </w:t>
            </w:r>
            <w:proofErr w:type="spellStart"/>
            <w:r w:rsidRPr="003D7C1B">
              <w:rPr>
                <w:rFonts w:cs="Arial"/>
              </w:rPr>
              <w:t>hESC</w:t>
            </w:r>
            <w:proofErr w:type="spellEnd"/>
            <w:r w:rsidRPr="003D7C1B">
              <w:rPr>
                <w:rFonts w:cs="Arial"/>
              </w:rPr>
              <w:t xml:space="preserve"> line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</w:rPr>
            </w:pPr>
            <w:r>
              <w:rPr>
                <w:rFonts w:cs="Arial"/>
              </w:rPr>
              <w:t>Number which exclusively</w:t>
            </w:r>
            <w:r w:rsidRPr="003D7C1B">
              <w:rPr>
                <w:rFonts w:cs="Arial"/>
              </w:rPr>
              <w:t xml:space="preserve"> use</w:t>
            </w:r>
            <w:r>
              <w:rPr>
                <w:rFonts w:cs="Arial"/>
              </w:rPr>
              <w:t>d</w:t>
            </w:r>
            <w:r w:rsidRPr="003D7C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“eligible”</w:t>
            </w:r>
            <w:r w:rsidRPr="003D7C1B">
              <w:rPr>
                <w:rFonts w:cs="Arial"/>
              </w:rPr>
              <w:t xml:space="preserve"> </w:t>
            </w:r>
            <w:proofErr w:type="spellStart"/>
            <w:r w:rsidRPr="003D7C1B">
              <w:rPr>
                <w:rFonts w:cs="Arial"/>
              </w:rPr>
              <w:t>hESC</w:t>
            </w:r>
            <w:proofErr w:type="spellEnd"/>
            <w:r w:rsidRPr="003D7C1B">
              <w:rPr>
                <w:rFonts w:cs="Arial"/>
              </w:rPr>
              <w:t xml:space="preserve"> lines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Number which e</w:t>
            </w:r>
            <w:r w:rsidRPr="003D7C1B">
              <w:rPr>
                <w:rFonts w:cs="Arial"/>
              </w:rPr>
              <w:t>xclusiv</w:t>
            </w:r>
            <w:r>
              <w:rPr>
                <w:rFonts w:cs="Arial"/>
              </w:rPr>
              <w:t>ely</w:t>
            </w:r>
            <w:r w:rsidRPr="003D7C1B">
              <w:rPr>
                <w:rFonts w:cs="Arial"/>
              </w:rPr>
              <w:t xml:space="preserve"> use</w:t>
            </w:r>
            <w:r>
              <w:rPr>
                <w:rFonts w:cs="Arial"/>
              </w:rPr>
              <w:t xml:space="preserve">d </w:t>
            </w:r>
            <w:proofErr w:type="spellStart"/>
            <w:r w:rsidRPr="003D7C1B">
              <w:rPr>
                <w:rFonts w:cs="Arial"/>
              </w:rPr>
              <w:t>WiCell</w:t>
            </w:r>
            <w:proofErr w:type="spellEnd"/>
            <w:r w:rsidRPr="003D7C1B">
              <w:rPr>
                <w:rFonts w:cs="Arial"/>
              </w:rPr>
              <w:t xml:space="preserve"> lines</w:t>
            </w:r>
          </w:p>
        </w:tc>
      </w:tr>
      <w:tr w:rsidR="00A55218" w:rsidRPr="003D7C1B" w:rsidTr="002F4359">
        <w:trPr>
          <w:trHeight w:val="340"/>
        </w:trPr>
        <w:tc>
          <w:tcPr>
            <w:tcW w:w="92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165DD5">
              <w:rPr>
                <w:rFonts w:cs="Arial"/>
                <w:b/>
                <w:lang w:val="en-GB"/>
              </w:rPr>
              <w:t>All studies with CIRM funding</w:t>
            </w:r>
          </w:p>
        </w:tc>
      </w:tr>
      <w:tr w:rsidR="00A55218" w:rsidRPr="003D7C1B" w:rsidTr="002F4359">
        <w:trPr>
          <w:trHeight w:val="340"/>
        </w:trPr>
        <w:tc>
          <w:tcPr>
            <w:tcW w:w="18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2008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2</w:t>
            </w:r>
            <w:r>
              <w:rPr>
                <w:rFonts w:cs="Arial"/>
                <w:lang w:val="en-GB"/>
              </w:rPr>
              <w:t>2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20</w:t>
            </w:r>
            <w:r w:rsidRPr="003D7C1B">
              <w:rPr>
                <w:rFonts w:cs="Arial"/>
                <w:lang w:val="en-GB"/>
              </w:rPr>
              <w:t xml:space="preserve"> (90.</w:t>
            </w:r>
            <w:r>
              <w:rPr>
                <w:rFonts w:cs="Arial"/>
                <w:lang w:val="en-GB"/>
              </w:rPr>
              <w:t>9</w:t>
            </w:r>
            <w:r w:rsidRPr="003D7C1B">
              <w:rPr>
                <w:rFonts w:cs="Arial"/>
                <w:lang w:val="en-GB"/>
              </w:rPr>
              <w:t xml:space="preserve"> %)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17</w:t>
            </w:r>
            <w:r w:rsidRPr="003D7C1B">
              <w:rPr>
                <w:rFonts w:cs="Arial"/>
                <w:lang w:val="en-GB"/>
              </w:rPr>
              <w:t xml:space="preserve"> (7</w:t>
            </w:r>
            <w:r>
              <w:rPr>
                <w:rFonts w:cs="Arial"/>
                <w:lang w:val="en-GB"/>
              </w:rPr>
              <w:t>7</w:t>
            </w:r>
            <w:r w:rsidRPr="003D7C1B">
              <w:rPr>
                <w:rFonts w:cs="Arial"/>
                <w:lang w:val="en-GB"/>
              </w:rPr>
              <w:t>.2 %)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1</w:t>
            </w:r>
            <w:r>
              <w:rPr>
                <w:rFonts w:cs="Arial"/>
                <w:lang w:val="en-GB"/>
              </w:rPr>
              <w:t>2</w:t>
            </w:r>
            <w:r w:rsidRPr="003D7C1B">
              <w:rPr>
                <w:rFonts w:cs="Arial"/>
                <w:lang w:val="en-GB"/>
              </w:rPr>
              <w:t xml:space="preserve"> (5</w:t>
            </w:r>
            <w:r>
              <w:rPr>
                <w:rFonts w:cs="Arial"/>
                <w:lang w:val="en-GB"/>
              </w:rPr>
              <w:t>4</w:t>
            </w:r>
            <w:r w:rsidRPr="003D7C1B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>5</w:t>
            </w:r>
            <w:r w:rsidRPr="003D7C1B">
              <w:rPr>
                <w:rFonts w:cs="Arial"/>
                <w:lang w:val="en-GB"/>
              </w:rPr>
              <w:t xml:space="preserve"> %)</w:t>
            </w:r>
          </w:p>
        </w:tc>
      </w:tr>
      <w:tr w:rsidR="00A55218" w:rsidRPr="003D7C1B" w:rsidTr="002F4359">
        <w:trPr>
          <w:trHeight w:val="340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2009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51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4</w:t>
            </w:r>
            <w:r>
              <w:rPr>
                <w:rFonts w:cs="Arial"/>
                <w:lang w:val="en-GB"/>
              </w:rPr>
              <w:t>4</w:t>
            </w:r>
            <w:r w:rsidRPr="003D7C1B">
              <w:rPr>
                <w:rFonts w:cs="Arial"/>
                <w:lang w:val="en-GB"/>
              </w:rPr>
              <w:t xml:space="preserve"> (8</w:t>
            </w:r>
            <w:r>
              <w:rPr>
                <w:rFonts w:cs="Arial"/>
                <w:lang w:val="en-GB"/>
              </w:rPr>
              <w:t>6</w:t>
            </w:r>
            <w:r w:rsidRPr="003D7C1B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>3</w:t>
            </w:r>
            <w:r w:rsidRPr="003D7C1B">
              <w:rPr>
                <w:rFonts w:cs="Arial"/>
                <w:lang w:val="en-GB"/>
              </w:rPr>
              <w:t xml:space="preserve">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3</w:t>
            </w:r>
            <w:r>
              <w:rPr>
                <w:rFonts w:cs="Arial"/>
                <w:lang w:val="en-GB"/>
              </w:rPr>
              <w:t>7</w:t>
            </w:r>
            <w:r w:rsidRPr="003D7C1B">
              <w:rPr>
                <w:rFonts w:cs="Arial"/>
                <w:lang w:val="en-GB"/>
              </w:rPr>
              <w:t xml:space="preserve"> (7</w:t>
            </w:r>
            <w:r>
              <w:rPr>
                <w:rFonts w:cs="Arial"/>
                <w:lang w:val="en-GB"/>
              </w:rPr>
              <w:t>2</w:t>
            </w:r>
            <w:r w:rsidRPr="003D7C1B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>5</w:t>
            </w:r>
            <w:r w:rsidRPr="003D7C1B">
              <w:rPr>
                <w:rFonts w:cs="Arial"/>
                <w:lang w:val="en-GB"/>
              </w:rPr>
              <w:t xml:space="preserve">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2</w:t>
            </w:r>
            <w:r>
              <w:rPr>
                <w:rFonts w:cs="Arial"/>
                <w:lang w:val="en-GB"/>
              </w:rPr>
              <w:t>7</w:t>
            </w:r>
            <w:r w:rsidRPr="003D7C1B">
              <w:rPr>
                <w:rFonts w:cs="Arial"/>
                <w:lang w:val="en-GB"/>
              </w:rPr>
              <w:t xml:space="preserve"> (5</w:t>
            </w:r>
            <w:r>
              <w:rPr>
                <w:rFonts w:cs="Arial"/>
                <w:lang w:val="en-GB"/>
              </w:rPr>
              <w:t>2</w:t>
            </w:r>
            <w:r w:rsidRPr="003D7C1B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>9</w:t>
            </w:r>
            <w:r w:rsidRPr="003D7C1B">
              <w:rPr>
                <w:rFonts w:cs="Arial"/>
                <w:lang w:val="en-GB"/>
              </w:rPr>
              <w:t xml:space="preserve"> %)</w:t>
            </w:r>
          </w:p>
        </w:tc>
      </w:tr>
      <w:tr w:rsidR="00A55218" w:rsidRPr="003D7C1B" w:rsidTr="002F4359">
        <w:trPr>
          <w:trHeight w:val="340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2010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44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41 (9</w:t>
            </w:r>
            <w:r>
              <w:rPr>
                <w:rFonts w:cs="Arial"/>
                <w:lang w:val="en-GB"/>
              </w:rPr>
              <w:t>3</w:t>
            </w:r>
            <w:r w:rsidRPr="003D7C1B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>2</w:t>
            </w:r>
            <w:r w:rsidRPr="003D7C1B">
              <w:rPr>
                <w:rFonts w:cs="Arial"/>
                <w:lang w:val="en-GB"/>
              </w:rPr>
              <w:t xml:space="preserve">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35 (7</w:t>
            </w:r>
            <w:r>
              <w:rPr>
                <w:rFonts w:cs="Arial"/>
                <w:lang w:val="en-GB"/>
              </w:rPr>
              <w:t>9</w:t>
            </w:r>
            <w:r w:rsidRPr="003D7C1B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>5</w:t>
            </w:r>
            <w:r w:rsidRPr="003D7C1B">
              <w:rPr>
                <w:rFonts w:cs="Arial"/>
                <w:lang w:val="en-GB"/>
              </w:rPr>
              <w:t xml:space="preserve">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26 (59</w:t>
            </w:r>
            <w:r w:rsidRPr="003D7C1B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>1</w:t>
            </w:r>
            <w:r w:rsidRPr="003D7C1B">
              <w:rPr>
                <w:rFonts w:cs="Arial"/>
                <w:lang w:val="en-GB"/>
              </w:rPr>
              <w:t xml:space="preserve"> %)</w:t>
            </w:r>
          </w:p>
        </w:tc>
      </w:tr>
      <w:tr w:rsidR="00A55218" w:rsidRPr="003D7C1B" w:rsidTr="002F4359">
        <w:trPr>
          <w:trHeight w:val="340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2011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68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66 (9</w:t>
            </w:r>
            <w:r>
              <w:rPr>
                <w:rFonts w:cs="Arial"/>
                <w:lang w:val="en-GB"/>
              </w:rPr>
              <w:t>7</w:t>
            </w:r>
            <w:r w:rsidRPr="003D7C1B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>1</w:t>
            </w:r>
            <w:r w:rsidRPr="003D7C1B">
              <w:rPr>
                <w:rFonts w:cs="Arial"/>
                <w:lang w:val="en-GB"/>
              </w:rPr>
              <w:t xml:space="preserve">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54 (79</w:t>
            </w:r>
            <w:r w:rsidRPr="003D7C1B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>4</w:t>
            </w:r>
            <w:r w:rsidRPr="003D7C1B">
              <w:rPr>
                <w:rFonts w:cs="Arial"/>
                <w:lang w:val="en-GB"/>
              </w:rPr>
              <w:t xml:space="preserve">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lang w:val="en-GB"/>
              </w:rPr>
              <w:t>40 (58.</w:t>
            </w:r>
            <w:r>
              <w:rPr>
                <w:rFonts w:cs="Arial"/>
                <w:lang w:val="en-GB"/>
              </w:rPr>
              <w:t>8</w:t>
            </w:r>
            <w:r w:rsidRPr="003D7C1B">
              <w:rPr>
                <w:rFonts w:cs="Arial"/>
                <w:lang w:val="en-GB"/>
              </w:rPr>
              <w:t xml:space="preserve"> %)</w:t>
            </w:r>
          </w:p>
        </w:tc>
      </w:tr>
      <w:tr w:rsidR="00A55218" w:rsidRPr="003D7C1B" w:rsidTr="002F4359">
        <w:trPr>
          <w:trHeight w:val="340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b/>
                <w:lang w:val="en-GB"/>
              </w:rPr>
              <w:t>Total (2008-2011)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b/>
                <w:lang w:val="en-GB"/>
              </w:rPr>
              <w:t>18</w:t>
            </w:r>
            <w:r>
              <w:rPr>
                <w:rFonts w:cs="Arial"/>
                <w:b/>
                <w:lang w:val="en-GB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b/>
                <w:lang w:val="en-GB"/>
              </w:rPr>
              <w:t>171 (92</w:t>
            </w:r>
            <w:r w:rsidRPr="003D7C1B">
              <w:rPr>
                <w:rFonts w:cs="Arial"/>
                <w:b/>
                <w:lang w:val="en-GB"/>
              </w:rPr>
              <w:t>.</w:t>
            </w:r>
            <w:r>
              <w:rPr>
                <w:rFonts w:cs="Arial"/>
                <w:b/>
                <w:lang w:val="en-GB"/>
              </w:rPr>
              <w:t xml:space="preserve">4 </w:t>
            </w:r>
            <w:r w:rsidRPr="003D7C1B">
              <w:rPr>
                <w:rFonts w:cs="Arial"/>
                <w:b/>
                <w:lang w:val="en-GB"/>
              </w:rPr>
              <w:t>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b/>
                <w:lang w:val="en-GB"/>
              </w:rPr>
              <w:t>14</w:t>
            </w:r>
            <w:r>
              <w:rPr>
                <w:rFonts w:cs="Arial"/>
                <w:b/>
                <w:lang w:val="en-GB"/>
              </w:rPr>
              <w:t>3 (77</w:t>
            </w:r>
            <w:r w:rsidRPr="003D7C1B">
              <w:rPr>
                <w:rFonts w:cs="Arial"/>
                <w:b/>
                <w:lang w:val="en-GB"/>
              </w:rPr>
              <w:t>.</w:t>
            </w:r>
            <w:r>
              <w:rPr>
                <w:rFonts w:cs="Arial"/>
                <w:b/>
                <w:lang w:val="en-GB"/>
              </w:rPr>
              <w:t xml:space="preserve">3 </w:t>
            </w:r>
            <w:r w:rsidRPr="003D7C1B">
              <w:rPr>
                <w:rFonts w:cs="Arial"/>
                <w:b/>
                <w:lang w:val="en-GB"/>
              </w:rPr>
              <w:t>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3D7C1B">
              <w:rPr>
                <w:rFonts w:cs="Arial"/>
                <w:b/>
                <w:lang w:val="en-GB"/>
              </w:rPr>
              <w:t>10</w:t>
            </w:r>
            <w:r>
              <w:rPr>
                <w:rFonts w:cs="Arial"/>
                <w:b/>
                <w:lang w:val="en-GB"/>
              </w:rPr>
              <w:t>5</w:t>
            </w:r>
            <w:r w:rsidRPr="003D7C1B">
              <w:rPr>
                <w:rFonts w:cs="Arial"/>
                <w:b/>
                <w:lang w:val="en-GB"/>
              </w:rPr>
              <w:t xml:space="preserve"> (56.</w:t>
            </w:r>
            <w:r>
              <w:rPr>
                <w:rFonts w:cs="Arial"/>
                <w:b/>
                <w:lang w:val="en-GB"/>
              </w:rPr>
              <w:t xml:space="preserve">8 </w:t>
            </w:r>
            <w:r w:rsidRPr="003D7C1B">
              <w:rPr>
                <w:rFonts w:cs="Arial"/>
                <w:b/>
                <w:lang w:val="en-GB"/>
              </w:rPr>
              <w:t>%)</w:t>
            </w:r>
          </w:p>
        </w:tc>
      </w:tr>
      <w:tr w:rsidR="00A55218" w:rsidRPr="003D7C1B" w:rsidTr="002F4359">
        <w:trPr>
          <w:trHeight w:val="340"/>
        </w:trPr>
        <w:tc>
          <w:tcPr>
            <w:tcW w:w="92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b/>
                <w:lang w:val="en-GB"/>
              </w:rPr>
              <w:t>Studies with CIRM funding without NIH funding</w:t>
            </w:r>
          </w:p>
        </w:tc>
      </w:tr>
      <w:tr w:rsidR="00A55218" w:rsidRPr="003D7C1B" w:rsidTr="002F4359">
        <w:trPr>
          <w:trHeight w:val="340"/>
        </w:trPr>
        <w:tc>
          <w:tcPr>
            <w:tcW w:w="18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165DD5">
              <w:rPr>
                <w:rFonts w:cs="Arial"/>
                <w:lang w:val="en-GB"/>
              </w:rPr>
              <w:t>2008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165DD5">
              <w:rPr>
                <w:rFonts w:cs="Arial"/>
                <w:lang w:val="en-GB"/>
              </w:rPr>
              <w:t>10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165DD5">
              <w:rPr>
                <w:rFonts w:cs="Arial"/>
                <w:lang w:val="en-GB"/>
              </w:rPr>
              <w:t>8 (80</w:t>
            </w:r>
            <w:r>
              <w:rPr>
                <w:rFonts w:cs="Arial"/>
                <w:lang w:val="en-GB"/>
              </w:rPr>
              <w:t>.0</w:t>
            </w:r>
            <w:r w:rsidRPr="00165DD5">
              <w:rPr>
                <w:rFonts w:cs="Arial"/>
                <w:lang w:val="en-GB"/>
              </w:rPr>
              <w:t xml:space="preserve"> %)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165DD5">
              <w:rPr>
                <w:rFonts w:cs="Arial"/>
                <w:lang w:val="en-GB"/>
              </w:rPr>
              <w:t>7 (70</w:t>
            </w:r>
            <w:r>
              <w:rPr>
                <w:rFonts w:cs="Arial"/>
                <w:lang w:val="en-GB"/>
              </w:rPr>
              <w:t>.0</w:t>
            </w:r>
            <w:r w:rsidRPr="00165DD5">
              <w:rPr>
                <w:rFonts w:cs="Arial"/>
                <w:lang w:val="en-GB"/>
              </w:rPr>
              <w:t xml:space="preserve"> %)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165DD5">
              <w:rPr>
                <w:rFonts w:cs="Arial"/>
                <w:lang w:val="en-GB"/>
              </w:rPr>
              <w:t>4 (40</w:t>
            </w:r>
            <w:r>
              <w:rPr>
                <w:rFonts w:cs="Arial"/>
                <w:lang w:val="en-GB"/>
              </w:rPr>
              <w:t xml:space="preserve">.0 </w:t>
            </w:r>
            <w:r w:rsidRPr="00165DD5">
              <w:rPr>
                <w:rFonts w:cs="Arial"/>
                <w:lang w:val="en-GB"/>
              </w:rPr>
              <w:t>%)</w:t>
            </w:r>
          </w:p>
        </w:tc>
      </w:tr>
      <w:tr w:rsidR="00A55218" w:rsidRPr="003D7C1B" w:rsidTr="002F4359">
        <w:trPr>
          <w:trHeight w:val="340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165DD5">
              <w:rPr>
                <w:rFonts w:cs="Arial"/>
                <w:lang w:val="en-GB"/>
              </w:rPr>
              <w:t>2009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A9122D">
              <w:rPr>
                <w:rFonts w:cs="Arial"/>
                <w:lang w:val="en-GB"/>
              </w:rPr>
              <w:t>17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12 (70.6 %)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10 (58.8 %)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7 (41.2 %)</w:t>
            </w:r>
          </w:p>
        </w:tc>
      </w:tr>
      <w:tr w:rsidR="00A55218" w:rsidRPr="003D7C1B" w:rsidTr="002F4359">
        <w:trPr>
          <w:trHeight w:val="340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165DD5">
              <w:rPr>
                <w:rFonts w:cs="Arial"/>
                <w:lang w:val="en-GB"/>
              </w:rPr>
              <w:t>2010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16 (84.2 %)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11 (57.9 %)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5 (26.3 %)</w:t>
            </w:r>
          </w:p>
        </w:tc>
      </w:tr>
      <w:tr w:rsidR="00A55218" w:rsidRPr="003D7C1B" w:rsidTr="002F4359">
        <w:trPr>
          <w:trHeight w:val="340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165DD5">
              <w:rPr>
                <w:rFonts w:cs="Arial"/>
                <w:lang w:val="en-GB"/>
              </w:rPr>
              <w:t>2011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29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27 (93.1 %)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22 (75.8 %)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lang w:val="en-GB"/>
              </w:rPr>
              <w:t>17 (58.6 %)</w:t>
            </w:r>
          </w:p>
        </w:tc>
      </w:tr>
      <w:tr w:rsidR="00A55218" w:rsidRPr="003D7C1B" w:rsidTr="002F4359">
        <w:trPr>
          <w:trHeight w:val="340"/>
        </w:trPr>
        <w:tc>
          <w:tcPr>
            <w:tcW w:w="18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182EC1">
              <w:rPr>
                <w:rFonts w:cs="Arial"/>
                <w:b/>
                <w:lang w:val="en-GB"/>
              </w:rPr>
              <w:t>Total (2008-2011)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b/>
                <w:lang w:val="en-GB"/>
              </w:rPr>
              <w:t>75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b/>
                <w:lang w:val="en-GB"/>
              </w:rPr>
              <w:t>63 (84.0 %)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b/>
                <w:lang w:val="en-GB"/>
              </w:rPr>
              <w:t>50 (66.7 %)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5218" w:rsidRDefault="00A55218" w:rsidP="002F4359">
            <w:pPr>
              <w:spacing w:line="360" w:lineRule="auto"/>
              <w:ind w:right="284"/>
              <w:jc w:val="both"/>
              <w:rPr>
                <w:rFonts w:asciiTheme="majorHAnsi" w:hAnsiTheme="majorHAnsi" w:cs="Arial"/>
                <w:b/>
                <w:bCs/>
                <w:i/>
                <w:iCs/>
                <w:color w:val="4F81BD" w:themeColor="accent1"/>
                <w:lang w:val="en-GB"/>
              </w:rPr>
            </w:pPr>
            <w:r>
              <w:rPr>
                <w:rFonts w:cs="Arial"/>
                <w:b/>
                <w:lang w:val="en-GB"/>
              </w:rPr>
              <w:t>33 (44.0 %)</w:t>
            </w:r>
          </w:p>
        </w:tc>
      </w:tr>
    </w:tbl>
    <w:p w:rsidR="00A55218" w:rsidRDefault="00A55218" w:rsidP="00A55218">
      <w:pPr>
        <w:pStyle w:val="Paragraph"/>
        <w:spacing w:line="360" w:lineRule="auto"/>
        <w:ind w:firstLine="0"/>
        <w:jc w:val="both"/>
      </w:pPr>
    </w:p>
    <w:p w:rsidR="002D0DC3" w:rsidRDefault="002D0DC3"/>
    <w:sectPr w:rsidR="002D0DC3" w:rsidSect="00F2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savePreviewPicture/>
  <w:compat/>
  <w:rsids>
    <w:rsidRoot w:val="00A55218"/>
    <w:rsid w:val="000915EF"/>
    <w:rsid w:val="002D0DC3"/>
    <w:rsid w:val="0036150E"/>
    <w:rsid w:val="005D7D7F"/>
    <w:rsid w:val="00840AA4"/>
    <w:rsid w:val="00845012"/>
    <w:rsid w:val="00A55218"/>
    <w:rsid w:val="00CE4FCA"/>
    <w:rsid w:val="00DE374C"/>
    <w:rsid w:val="00F2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18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5218"/>
    <w:pPr>
      <w:spacing w:before="120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gracemwong</dc:creator>
  <cp:lastModifiedBy>gracemwong</cp:lastModifiedBy>
  <cp:revision>2</cp:revision>
  <dcterms:created xsi:type="dcterms:W3CDTF">2012-12-04T17:45:00Z</dcterms:created>
  <dcterms:modified xsi:type="dcterms:W3CDTF">2012-12-04T17:49:00Z</dcterms:modified>
</cp:coreProperties>
</file>