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D2" w:rsidRPr="00674549" w:rsidRDefault="00FD0CD2" w:rsidP="00FD0CD2">
      <w:pPr>
        <w:spacing w:after="120"/>
        <w:rPr>
          <w:rFonts w:asciiTheme="majorHAnsi" w:hAnsiTheme="majorHAnsi"/>
          <w:sz w:val="28"/>
          <w:szCs w:val="28"/>
        </w:rPr>
      </w:pPr>
      <w:r>
        <w:rPr>
          <w:rFonts w:asciiTheme="majorHAnsi" w:hAnsiTheme="majorHAnsi"/>
          <w:sz w:val="28"/>
          <w:szCs w:val="28"/>
        </w:rPr>
        <w:t>Supplementary Table S4</w:t>
      </w:r>
      <w:r w:rsidRPr="00674549">
        <w:rPr>
          <w:rFonts w:asciiTheme="majorHAnsi" w:hAnsiTheme="majorHAnsi"/>
          <w:sz w:val="28"/>
          <w:szCs w:val="28"/>
        </w:rPr>
        <w:t xml:space="preserve">. </w:t>
      </w:r>
    </w:p>
    <w:p w:rsidR="00FD0CD2" w:rsidRDefault="00FD0CD2" w:rsidP="00FD0CD2">
      <w:pPr>
        <w:rPr>
          <w:sz w:val="24"/>
          <w:szCs w:val="24"/>
        </w:rPr>
      </w:pPr>
      <w:r>
        <w:rPr>
          <w:rFonts w:asciiTheme="majorHAnsi" w:hAnsiTheme="majorHAnsi"/>
          <w:szCs w:val="28"/>
        </w:rPr>
        <w:t xml:space="preserve">Meta-analysis for ALI-related mortality: Genotype frequencies </w:t>
      </w:r>
    </w:p>
    <w:p w:rsidR="00FD0CD2" w:rsidRPr="00A339FE" w:rsidRDefault="00FD0CD2" w:rsidP="00FD0CD2">
      <w:pPr>
        <w:rPr>
          <w:rFonts w:asciiTheme="majorHAnsi" w:hAnsiTheme="majorHAnsi"/>
          <w:szCs w:val="28"/>
        </w:rPr>
      </w:pPr>
    </w:p>
    <w:tbl>
      <w:tblPr>
        <w:tblStyle w:val="LightShading"/>
        <w:tblW w:w="11945" w:type="dxa"/>
        <w:tblLook w:val="04A0" w:firstRow="1" w:lastRow="0" w:firstColumn="1" w:lastColumn="0" w:noHBand="0" w:noVBand="1"/>
      </w:tblPr>
      <w:tblGrid>
        <w:gridCol w:w="1458"/>
        <w:gridCol w:w="1382"/>
        <w:gridCol w:w="1201"/>
        <w:gridCol w:w="931"/>
        <w:gridCol w:w="930"/>
        <w:gridCol w:w="1201"/>
        <w:gridCol w:w="929"/>
        <w:gridCol w:w="916"/>
        <w:gridCol w:w="2088"/>
        <w:gridCol w:w="909"/>
      </w:tblGrid>
      <w:tr w:rsidR="00F43D67" w:rsidRPr="00A339FE" w:rsidTr="00F43D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F43D67" w:rsidRPr="00F43D67" w:rsidRDefault="00F43D67" w:rsidP="00A65BC4">
            <w:pPr>
              <w:rPr>
                <w:rFonts w:ascii="Calibri" w:eastAsia="Times New Roman" w:hAnsi="Calibri" w:cs="Calibri"/>
                <w:iCs/>
                <w:color w:val="000000"/>
              </w:rPr>
            </w:pPr>
            <w:bookmarkStart w:id="0" w:name="_GoBack"/>
            <w:r w:rsidRPr="00F43D67">
              <w:rPr>
                <w:rFonts w:ascii="Calibri" w:eastAsia="Times New Roman" w:hAnsi="Calibri" w:cs="Calibri"/>
                <w:iCs/>
                <w:color w:val="000000"/>
              </w:rPr>
              <w:t>Gene</w:t>
            </w:r>
            <w:bookmarkEnd w:id="0"/>
          </w:p>
        </w:tc>
        <w:tc>
          <w:tcPr>
            <w:tcW w:w="1382"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Pr>
                <w:rFonts w:ascii="Calibri" w:eastAsia="Times New Roman" w:hAnsi="Calibri" w:cs="Calibri"/>
                <w:color w:val="000000"/>
              </w:rPr>
              <w:t>dbSNP</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rs</w:t>
            </w:r>
            <w:proofErr w:type="spellEnd"/>
            <w:r>
              <w:rPr>
                <w:rFonts w:ascii="Calibri" w:eastAsia="Times New Roman" w:hAnsi="Calibri" w:cs="Calibri"/>
                <w:color w:val="000000"/>
              </w:rPr>
              <w:t>#</w:t>
            </w:r>
          </w:p>
        </w:tc>
        <w:tc>
          <w:tcPr>
            <w:tcW w:w="1201"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Genotypes in ALI Survivors at 28 days</w:t>
            </w:r>
          </w:p>
        </w:tc>
        <w:tc>
          <w:tcPr>
            <w:tcW w:w="931"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Genotypes in ALI non-survivors at 28 days</w:t>
            </w:r>
          </w:p>
        </w:tc>
        <w:tc>
          <w:tcPr>
            <w:tcW w:w="929"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vAlign w:val="center"/>
          </w:tcPr>
          <w:p w:rsidR="00F43D67" w:rsidRPr="00A339FE"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A339FE">
              <w:rPr>
                <w:rFonts w:ascii="Calibri" w:eastAsia="Times New Roman" w:hAnsi="Calibri" w:cs="Calibri"/>
                <w:color w:val="000000"/>
              </w:rPr>
              <w:t>Fisher’s Exact test for genotype freq. (p-value)</w:t>
            </w:r>
            <w:r w:rsidRPr="00A339FE">
              <w:rPr>
                <w:rFonts w:ascii="Calibri" w:eastAsia="Times New Roman" w:hAnsi="Calibri" w:cs="Calibri"/>
                <w:color w:val="000000"/>
                <w:vertAlign w:val="superscript"/>
              </w:rPr>
              <w:t>a</w:t>
            </w:r>
          </w:p>
        </w:tc>
        <w:tc>
          <w:tcPr>
            <w:tcW w:w="909" w:type="dxa"/>
            <w:vAlign w:val="center"/>
          </w:tcPr>
          <w:p w:rsidR="00F43D67" w:rsidRPr="003769BF" w:rsidRDefault="00F43D67" w:rsidP="00A65B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Data sources</w:t>
            </w:r>
          </w:p>
        </w:tc>
      </w:tr>
      <w:tr w:rsidR="00F43D67" w:rsidRPr="00A339FE" w:rsidTr="00F43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SFTPB</w:t>
            </w:r>
          </w:p>
        </w:tc>
        <w:tc>
          <w:tcPr>
            <w:tcW w:w="1382"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rs1130866</w:t>
            </w:r>
          </w:p>
        </w:tc>
        <w:tc>
          <w:tcPr>
            <w:tcW w:w="120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30"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120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29"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16"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2088"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09" w:type="dxa"/>
          </w:tcPr>
          <w:p w:rsidR="00F43D67" w:rsidRPr="003769BF"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43D67" w:rsidRPr="00A339FE" w:rsidTr="00F43D67">
        <w:trPr>
          <w:trHeight w:val="300"/>
        </w:trPr>
        <w:tc>
          <w:tcPr>
            <w:cnfStyle w:val="001000000000" w:firstRow="0" w:lastRow="0" w:firstColumn="1" w:lastColumn="0" w:oddVBand="0" w:evenVBand="0" w:oddHBand="0" w:evenHBand="0" w:firstRowFirstColumn="0" w:firstRowLastColumn="0" w:lastRowFirstColumn="0" w:lastRowLastColumn="0"/>
            <w:tcW w:w="1458" w:type="dxa"/>
            <w:noWrap/>
          </w:tcPr>
          <w:p w:rsidR="00F43D67" w:rsidRPr="00A339FE" w:rsidRDefault="00F43D67" w:rsidP="0032493C">
            <w:pPr>
              <w:rPr>
                <w:rFonts w:ascii="Calibri" w:eastAsia="Times New Roman" w:hAnsi="Calibri" w:cs="Calibri"/>
                <w:i/>
                <w:iCs/>
                <w:color w:val="000000"/>
              </w:rPr>
            </w:pPr>
            <w:r>
              <w:rPr>
                <w:rFonts w:ascii="Calibri" w:eastAsia="Times New Roman" w:hAnsi="Calibri" w:cs="Calibri"/>
                <w:i/>
                <w:iCs/>
                <w:color w:val="000000"/>
              </w:rPr>
              <w:t>MBL2</w:t>
            </w:r>
          </w:p>
        </w:tc>
        <w:tc>
          <w:tcPr>
            <w:tcW w:w="1382"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rs1800450</w:t>
            </w:r>
          </w:p>
        </w:tc>
        <w:tc>
          <w:tcPr>
            <w:tcW w:w="1201"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CC 200</w:t>
            </w:r>
          </w:p>
        </w:tc>
        <w:tc>
          <w:tcPr>
            <w:tcW w:w="931"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CT 78</w:t>
            </w:r>
          </w:p>
        </w:tc>
        <w:tc>
          <w:tcPr>
            <w:tcW w:w="930"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TT 5</w:t>
            </w:r>
          </w:p>
        </w:tc>
        <w:tc>
          <w:tcPr>
            <w:tcW w:w="1201"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CC 113</w:t>
            </w:r>
          </w:p>
        </w:tc>
        <w:tc>
          <w:tcPr>
            <w:tcW w:w="929"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CT 32</w:t>
            </w:r>
          </w:p>
        </w:tc>
        <w:tc>
          <w:tcPr>
            <w:tcW w:w="916"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TT 8</w:t>
            </w:r>
          </w:p>
        </w:tc>
        <w:tc>
          <w:tcPr>
            <w:tcW w:w="2088" w:type="dxa"/>
            <w:noWrap/>
          </w:tcPr>
          <w:p w:rsidR="00F43D67" w:rsidRPr="00A339FE" w:rsidRDefault="00F43D67"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0.053</w:t>
            </w:r>
          </w:p>
        </w:tc>
        <w:tc>
          <w:tcPr>
            <w:tcW w:w="909" w:type="dxa"/>
          </w:tcPr>
          <w:p w:rsidR="00F43D67" w:rsidRPr="003769BF"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1369mcoo","properties":{"formattedCitation":"[15]","plainCitation":"[15]"},"citationItems":[{"id":59,"uris":["http://zotero.org/users/601149/items/FGV8S84I"],"uri":["http://zotero.org/users/601149/items/FGV8S84I"],"itemData":{"id":59,"type":"article-journal","title":"Polymorphisms in the mannose binding lectin-2 gene and acute respiratory distress syndrome","container-title":"Critical Care Medicine","page":"48-56","volume":"35","issue":"1","abstract":"OBJECTIVE The variant alleles in the mannose binding lectin-2 (MBL-2) gene have been associated with MBL deficiency and increased susceptibility to sepsis. We postulate that the variant MBL-2 genotypes are associated with increased susceptibility to and mortality in acute respiratory distress syndrome (ARDS). DESIGN Nested case-control study. SETTING Tertiary academic medical center. PATIENTS Two hundred and twelve Caucasians with ARDS and 442 controls genotyped for the variant X, D, B, and C alleles of codon -221, 52, 54, and 57, respectively. INTERVENTIONS None. MEASUREMENTS AND MAIN RESULTS Patients homozygous for the variant codon 54B allele (54BB) had worse severity of illness on admission (p = .007), greater likelihood of septic shock (p = .04), and increased odds of ARDS (adjusted odds ratio, 6.7; 95% confidence interval, 1.5-31) when compared with heterozygotes and homozygotes for the wild-type allele. This association with ARDS was especially strong among the 311 patients with septic shock (adjusted odds ratio, 12.0; 95% confidence interval, 1.9-74). Among the patients with ARDS, the 54BB genotype was associated with more daily organ dysfunction (p = .01) and higher mortality (adjusted hazard rate, 4.0; 95% confidence interval, 1.6-10). Development of ARDS and outcomes in ARDS did not vary significantly with variant alleles of codon -221, 52, and 57, but the power to detect an effect was limited secondary to the low allele frequencies. CONCLUSIONS The MBL-2 codon 54BB genotype may be important in ARDS susceptibility and outcome. Additional studies are needed to confirm these findings in other populations.","DOI":"10.1097/01.CCM.0000251132.10689.F3","note":"PMID: 17133182","journalAbbreviation":"Crit. Care Med","author":[{"family":"Gong","given":"Michelle N"},{"family":"Zhou","given":"Wei"},{"family":"Williams","given":"Paige L"},{"family":"Thompson","given":"B Taylor"},{"family":"Pothier","given":"Lucille"},{"family":"Christiani","given":"David C"}],"issued":{"year":2007,"month":1},"accessed":{"year":2011,"month":6,"day":6},"page-first":"48"}}],"schema":"https://github.com/citation-style-language/schema/raw/master/csl-citation.json"} </w:instrText>
            </w:r>
            <w:r>
              <w:rPr>
                <w:rFonts w:ascii="Calibri" w:eastAsia="Times New Roman" w:hAnsi="Calibri" w:cs="Calibri"/>
                <w:color w:val="000000"/>
              </w:rPr>
              <w:fldChar w:fldCharType="separate"/>
            </w:r>
            <w:r w:rsidRPr="002D5A05">
              <w:rPr>
                <w:rFonts w:ascii="Calibri" w:hAnsi="Calibri"/>
              </w:rPr>
              <w:t>[15]</w:t>
            </w:r>
            <w:r>
              <w:rPr>
                <w:rFonts w:ascii="Calibri" w:eastAsia="Times New Roman" w:hAnsi="Calibri" w:cs="Calibri"/>
                <w:color w:val="000000"/>
              </w:rPr>
              <w:fldChar w:fldCharType="end"/>
            </w:r>
          </w:p>
        </w:tc>
      </w:tr>
      <w:tr w:rsidR="00F43D67" w:rsidRPr="00A339FE" w:rsidTr="00F43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8" w:type="dxa"/>
            <w:noWrap/>
          </w:tcPr>
          <w:p w:rsidR="00F43D67" w:rsidRPr="00A339FE" w:rsidRDefault="00F43D67" w:rsidP="0032493C">
            <w:pPr>
              <w:rPr>
                <w:rFonts w:ascii="Calibri" w:eastAsia="Times New Roman" w:hAnsi="Calibri" w:cs="Calibri"/>
                <w:i/>
                <w:iCs/>
                <w:color w:val="000000"/>
              </w:rPr>
            </w:pPr>
            <w:r>
              <w:rPr>
                <w:rFonts w:ascii="Calibri" w:eastAsia="Times New Roman" w:hAnsi="Calibri" w:cs="Calibri"/>
                <w:i/>
                <w:iCs/>
                <w:color w:val="000000"/>
              </w:rPr>
              <w:t>TNF</w:t>
            </w:r>
          </w:p>
        </w:tc>
        <w:tc>
          <w:tcPr>
            <w:tcW w:w="1382"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rs1800629</w:t>
            </w:r>
          </w:p>
        </w:tc>
        <w:tc>
          <w:tcPr>
            <w:tcW w:w="120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GG 197</w:t>
            </w:r>
          </w:p>
        </w:tc>
        <w:tc>
          <w:tcPr>
            <w:tcW w:w="93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GA 69</w:t>
            </w:r>
          </w:p>
        </w:tc>
        <w:tc>
          <w:tcPr>
            <w:tcW w:w="930"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AA 4</w:t>
            </w:r>
          </w:p>
        </w:tc>
        <w:tc>
          <w:tcPr>
            <w:tcW w:w="120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GG 108</w:t>
            </w:r>
          </w:p>
        </w:tc>
        <w:tc>
          <w:tcPr>
            <w:tcW w:w="929"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GA 37</w:t>
            </w:r>
          </w:p>
        </w:tc>
        <w:tc>
          <w:tcPr>
            <w:tcW w:w="916"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AA 10</w:t>
            </w:r>
          </w:p>
        </w:tc>
        <w:tc>
          <w:tcPr>
            <w:tcW w:w="2088" w:type="dxa"/>
            <w:noWrap/>
          </w:tcPr>
          <w:p w:rsidR="00F43D67" w:rsidRPr="00A339FE" w:rsidRDefault="00F43D67"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0.02</w:t>
            </w:r>
          </w:p>
        </w:tc>
        <w:tc>
          <w:tcPr>
            <w:tcW w:w="909" w:type="dxa"/>
          </w:tcPr>
          <w:p w:rsidR="00F43D67" w:rsidRPr="003769BF"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20l25mj9p9","properties":{"formattedCitation":"[34]","plainCitation":"[34]"},"citationItems":[{"id":103,"uris":["http://zotero.org/users/601149/items/TIBNZGG4"],"uri":["http://zotero.org/users/601149/items/TIBNZGG4"],"itemData":{"id":103,"type":"article-journal","title":"-308GA and TNFB polymorphisms in acute respiratory distress syndrome","container-title":"The European Respiratory Journal: Official Journal of the European Society for Clinical Respiratory Physiology","page":"382-389","volume":"26","issue":"3","abstract":"The -308GA and TNFB1/2 polymorphisms of the tumour necrosis factor genes have been associated with increased susceptibility to, and mortality in sepsis, although, prior studies are not consistent. Their role in acute respiratory distress syndrome (ARDS) has not been evaluated. The current authors hypothesised that the -308A allele and TNFB22 genotype would be associated with increased susceptibility to, and mortality in ARDS. The above hypothesis was investigated in a nested case-control study of 441 Caucasian controls and 212 cases admitted to an intensive care unit with sepsis, trauma, aspiration or hyper-transfusions. The -308A and TNFB1 alleles were in linkage disequilibrium. These polymorphisms were not associated with ARDS susceptibility on crude analysis. On subgroup analyses, they were associated with either increased or decreased odds of developing ARDS depending on whether the clinical risk for ARDS results in direct or indirect pulmonary injury. The -308A allele was associated with increased 60-day mortality in ARDS, with the strongest association found among younger patients. There was no association between the TNFB polymorphism and ARDS mortality. The -308GA, but not the TNFB12, polymorphism was associated with increased mortality in acute respiratory distress syndrome, but their association with acute respiratory distress syndrome susceptibility depended on the site of injury predisposing to acute respiratory distress syndrome.","DOI":"10.1183/09031936.05.00000505","note":"PMID: 16135717","journalAbbreviation":"Eur. Respir. J","author":[{"family":"Gong","given":"M N"},{"family":"Zhou","given":"W"},{"family":"Williams","given":"P L"},{"family":"Thompson","given":"B T"},{"family":"Pothier","given":"L"},{"family":"Boyce","given":"P"},{"family":"Christiani","given":"D C"}],"issued":{"year":2005,"month":9},"accessed":{"year":2011,"month":6,"day":6},"page-first":"382"}}],"schema":"https://github.com/citation-style-language/schema/raw/master/csl-citation.json"} </w:instrText>
            </w:r>
            <w:r>
              <w:rPr>
                <w:rFonts w:ascii="Calibri" w:eastAsia="Times New Roman" w:hAnsi="Calibri" w:cs="Calibri"/>
                <w:color w:val="000000"/>
              </w:rPr>
              <w:fldChar w:fldCharType="separate"/>
            </w:r>
            <w:r w:rsidRPr="002D5A05">
              <w:rPr>
                <w:rFonts w:ascii="Calibri" w:hAnsi="Calibri"/>
              </w:rPr>
              <w:t>[34]</w:t>
            </w:r>
            <w:r>
              <w:rPr>
                <w:rFonts w:ascii="Calibri" w:eastAsia="Times New Roman" w:hAnsi="Calibri" w:cs="Calibri"/>
                <w:color w:val="000000"/>
              </w:rPr>
              <w:fldChar w:fldCharType="end"/>
            </w:r>
          </w:p>
        </w:tc>
      </w:tr>
      <w:tr w:rsidR="00F43D67" w:rsidRPr="00A339FE" w:rsidTr="00F43D67">
        <w:trPr>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IL10</w:t>
            </w:r>
          </w:p>
        </w:tc>
        <w:tc>
          <w:tcPr>
            <w:tcW w:w="1382"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rs1800896</w:t>
            </w: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9"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hideMark/>
          </w:tcPr>
          <w:p w:rsidR="00F43D67" w:rsidRPr="00A339FE" w:rsidRDefault="00F43D67"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09" w:type="dxa"/>
          </w:tcPr>
          <w:p w:rsidR="00F43D67" w:rsidRPr="003769BF"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43D67" w:rsidRPr="00A339FE" w:rsidTr="00F43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IL6</w:t>
            </w:r>
          </w:p>
        </w:tc>
        <w:tc>
          <w:tcPr>
            <w:tcW w:w="1382"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rs2069832</w:t>
            </w:r>
          </w:p>
        </w:tc>
        <w:tc>
          <w:tcPr>
            <w:tcW w:w="120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30"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120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29"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16"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2088" w:type="dxa"/>
            <w:noWrap/>
            <w:hideMark/>
          </w:tcPr>
          <w:p w:rsidR="00F43D67" w:rsidRPr="00A339FE" w:rsidRDefault="00F43D67"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09" w:type="dxa"/>
          </w:tcPr>
          <w:p w:rsidR="00F43D67" w:rsidRPr="003769BF"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43D67" w:rsidRPr="00A339FE" w:rsidTr="00F43D67">
        <w:trPr>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ANGPT2</w:t>
            </w:r>
          </w:p>
        </w:tc>
        <w:tc>
          <w:tcPr>
            <w:tcW w:w="1382"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rs2515475</w:t>
            </w: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9"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hideMark/>
          </w:tcPr>
          <w:p w:rsidR="00F43D67" w:rsidRPr="00A339FE" w:rsidRDefault="00F43D67"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09" w:type="dxa"/>
          </w:tcPr>
          <w:p w:rsidR="00F43D67" w:rsidRPr="003769BF"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43D67" w:rsidRPr="00A339FE" w:rsidTr="00F43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VEGF</w:t>
            </w:r>
          </w:p>
        </w:tc>
        <w:tc>
          <w:tcPr>
            <w:tcW w:w="1382"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rs3025039</w:t>
            </w:r>
          </w:p>
        </w:tc>
        <w:tc>
          <w:tcPr>
            <w:tcW w:w="120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1861" w:type="dxa"/>
            <w:gridSpan w:val="2"/>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0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845" w:type="dxa"/>
            <w:gridSpan w:val="2"/>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088" w:type="dxa"/>
            <w:noWrap/>
          </w:tcPr>
          <w:p w:rsidR="00F43D67" w:rsidRPr="00A339FE" w:rsidRDefault="00F43D67"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09" w:type="dxa"/>
          </w:tcPr>
          <w:p w:rsidR="00F43D67" w:rsidRPr="003769BF"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43D67" w:rsidRPr="00A339FE" w:rsidTr="00F43D67">
        <w:trPr>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IL8</w:t>
            </w:r>
          </w:p>
        </w:tc>
        <w:tc>
          <w:tcPr>
            <w:tcW w:w="1382"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rs4073</w:t>
            </w: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9"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tcPr>
          <w:p w:rsidR="00F43D67" w:rsidRPr="00A339FE" w:rsidRDefault="00F43D67"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09" w:type="dxa"/>
          </w:tcPr>
          <w:p w:rsidR="00F43D67" w:rsidRPr="003769BF"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43D67" w:rsidRPr="00A339FE" w:rsidTr="00F43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EGF</w:t>
            </w:r>
          </w:p>
        </w:tc>
        <w:tc>
          <w:tcPr>
            <w:tcW w:w="1382"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rs4444903</w:t>
            </w:r>
          </w:p>
        </w:tc>
        <w:tc>
          <w:tcPr>
            <w:tcW w:w="120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30"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0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29"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16"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088" w:type="dxa"/>
            <w:noWrap/>
          </w:tcPr>
          <w:p w:rsidR="00F43D67" w:rsidRPr="00A339FE" w:rsidRDefault="00F43D67"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09" w:type="dxa"/>
          </w:tcPr>
          <w:p w:rsidR="00F43D67" w:rsidRPr="003769BF"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43D67" w:rsidRPr="00A339FE" w:rsidTr="00F43D67">
        <w:trPr>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Pr>
                <w:rFonts w:ascii="Calibri" w:eastAsia="Times New Roman" w:hAnsi="Calibri" w:cs="Calibri"/>
                <w:i/>
                <w:iCs/>
                <w:color w:val="000000"/>
              </w:rPr>
              <w:t>NAMPT</w:t>
            </w:r>
          </w:p>
        </w:tc>
        <w:tc>
          <w:tcPr>
            <w:tcW w:w="1382"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rs59744560</w:t>
            </w: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9"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tcPr>
          <w:p w:rsidR="00F43D67" w:rsidRPr="00A339FE" w:rsidRDefault="00F43D67"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09" w:type="dxa"/>
          </w:tcPr>
          <w:p w:rsidR="00F43D67" w:rsidRPr="003769BF"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43D67" w:rsidRPr="00A339FE" w:rsidTr="00F43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Pr>
                <w:rFonts w:ascii="Calibri" w:eastAsia="Times New Roman" w:hAnsi="Calibri" w:cs="Calibri"/>
                <w:i/>
                <w:iCs/>
                <w:color w:val="000000"/>
              </w:rPr>
              <w:t>NAMPT</w:t>
            </w:r>
          </w:p>
        </w:tc>
        <w:tc>
          <w:tcPr>
            <w:tcW w:w="1382"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rs61330082</w:t>
            </w:r>
          </w:p>
        </w:tc>
        <w:tc>
          <w:tcPr>
            <w:tcW w:w="1201" w:type="dxa"/>
            <w:noWrap/>
            <w:hideMark/>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30"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01"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29"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16" w:type="dxa"/>
            <w:noWrap/>
          </w:tcPr>
          <w:p w:rsidR="00F43D67" w:rsidRPr="00A339FE"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088" w:type="dxa"/>
            <w:noWrap/>
          </w:tcPr>
          <w:p w:rsidR="00F43D67" w:rsidRPr="00A339FE" w:rsidRDefault="00F43D67"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09" w:type="dxa"/>
          </w:tcPr>
          <w:p w:rsidR="00F43D67" w:rsidRPr="003769BF" w:rsidRDefault="00F43D67"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43D67" w:rsidRPr="00A339FE" w:rsidTr="00F43D67">
        <w:trPr>
          <w:trHeight w:val="315"/>
        </w:trPr>
        <w:tc>
          <w:tcPr>
            <w:cnfStyle w:val="001000000000" w:firstRow="0" w:lastRow="0" w:firstColumn="1" w:lastColumn="0" w:oddVBand="0" w:evenVBand="0" w:oddHBand="0" w:evenHBand="0" w:firstRowFirstColumn="0" w:firstRowLastColumn="0" w:lastRowFirstColumn="0" w:lastRowLastColumn="0"/>
            <w:tcW w:w="1458" w:type="dxa"/>
            <w:noWrap/>
            <w:hideMark/>
          </w:tcPr>
          <w:p w:rsidR="00F43D67" w:rsidRPr="00A339FE" w:rsidRDefault="00F43D67"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NFE2L2</w:t>
            </w:r>
          </w:p>
        </w:tc>
        <w:tc>
          <w:tcPr>
            <w:tcW w:w="1382"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rs6721961</w:t>
            </w: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30"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1201"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29"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16"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2088" w:type="dxa"/>
            <w:noWrap/>
            <w:hideMark/>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09" w:type="dxa"/>
          </w:tcPr>
          <w:p w:rsidR="00F43D67" w:rsidRPr="00A339FE" w:rsidRDefault="00F43D67"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rsidR="00FD0CD2" w:rsidRDefault="00FD0CD2" w:rsidP="00FD0CD2">
      <w:r>
        <w:t>† I</w:t>
      </w:r>
      <w:r w:rsidRPr="00A339FE">
        <w:t>nsufficient data in published reports</w:t>
      </w:r>
      <w:r>
        <w:t xml:space="preserve"> </w:t>
      </w:r>
    </w:p>
    <w:p w:rsidR="00FD0CD2" w:rsidRDefault="00FD0CD2" w:rsidP="00FD0CD2">
      <w:r>
        <w:t xml:space="preserve">MBL2: in recessive modeling, OR for mortality </w:t>
      </w:r>
      <w:r w:rsidRPr="00A339FE">
        <w:t>3.07 (95% CI 0.99 - 9.5)</w:t>
      </w:r>
    </w:p>
    <w:p w:rsidR="00FD0CD2" w:rsidRDefault="00FD0CD2" w:rsidP="00FD0CD2">
      <w:r>
        <w:t xml:space="preserve">TNF: in recessive modeling, OR for mortality </w:t>
      </w:r>
      <w:r w:rsidRPr="00A339FE">
        <w:t>4.6 (95% CI 1.4 - 14.9)</w:t>
      </w:r>
    </w:p>
    <w:p w:rsidR="00E42BDA" w:rsidRDefault="00A65BC4">
      <w:fldSimple w:instr=" ADDIN ZOTERO_BIBL {&quot;custom&quot;:[]} CSL_BIBLIOGRAPHY "/>
    </w:p>
    <w:sectPr w:rsidR="00E42BDA" w:rsidSect="00FD0C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D2"/>
    <w:rsid w:val="00A65BC4"/>
    <w:rsid w:val="00E42BDA"/>
    <w:rsid w:val="00F43D67"/>
    <w:rsid w:val="00FD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D0C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A65BC4"/>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D0C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A65BC4"/>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Shane O'Mahony</dc:creator>
  <cp:lastModifiedBy>D. Shane O'Mahony</cp:lastModifiedBy>
  <cp:revision>3</cp:revision>
  <dcterms:created xsi:type="dcterms:W3CDTF">2012-11-16T21:09:00Z</dcterms:created>
  <dcterms:modified xsi:type="dcterms:W3CDTF">2012-11-19T06:08:00Z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id="CifiTgoB"/&gt;&lt;style id="http://www.zotero.org/styles/plos-one" hasBibliography="1" bibliographyStyleHasBeenSet="1"/&gt;&lt;prefs&gt;&lt;pref name="fieldType" value="Field"/&gt;&lt;pref name="storeReferences" value="t</vt:lpwstr>
  </property>
  <property fmtid="{D5CDD505-2E9C-101B-9397-08002B2CF9AE}" pid="3" name="ZOTERO_PREF_2">
    <vt:lpwstr>rue"/&gt;&lt;pref name="noteType" value="0"/&gt;&lt;/prefs&gt;&lt;/data&gt;</vt:lpwstr>
  </property>
</Properties>
</file>