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CE" w:rsidRPr="000A617B" w:rsidRDefault="00F80938" w:rsidP="00F80938">
      <w:pPr>
        <w:pStyle w:val="berschrift1"/>
        <w:spacing w:line="360" w:lineRule="auto"/>
        <w:jc w:val="center"/>
        <w:rPr>
          <w:lang w:val="en-US"/>
        </w:rPr>
      </w:pPr>
      <w:bookmarkStart w:id="0" w:name="_GoBack"/>
      <w:bookmarkEnd w:id="0"/>
      <w:r w:rsidRPr="00F80938">
        <w:rPr>
          <w:rFonts w:ascii="Times New Roman" w:eastAsia="Times New Roman" w:hAnsi="Times New Roman" w:cs="Times New Roman"/>
          <w:bCs w:val="0"/>
          <w:color w:val="auto"/>
          <w:spacing w:val="5"/>
          <w:kern w:val="28"/>
          <w:lang w:val="en-US"/>
        </w:rPr>
        <w:t xml:space="preserve">Analyzing </w:t>
      </w:r>
      <w:proofErr w:type="spellStart"/>
      <w:r w:rsidRPr="00F80938">
        <w:rPr>
          <w:rFonts w:ascii="Times New Roman" w:eastAsia="Times New Roman" w:hAnsi="Times New Roman" w:cs="Times New Roman"/>
          <w:bCs w:val="0"/>
          <w:color w:val="auto"/>
          <w:spacing w:val="5"/>
          <w:kern w:val="28"/>
          <w:lang w:val="en-US"/>
        </w:rPr>
        <w:t>Illumina</w:t>
      </w:r>
      <w:proofErr w:type="spellEnd"/>
      <w:r w:rsidRPr="00F80938">
        <w:rPr>
          <w:rFonts w:ascii="Times New Roman" w:eastAsia="Times New Roman" w:hAnsi="Times New Roman" w:cs="Times New Roman"/>
          <w:bCs w:val="0"/>
          <w:color w:val="auto"/>
          <w:spacing w:val="5"/>
          <w:kern w:val="28"/>
          <w:lang w:val="en-US"/>
        </w:rPr>
        <w:t xml:space="preserve"> gene expression microarray data from different tissues: Methodological aspects of data analysis in the </w:t>
      </w:r>
      <w:proofErr w:type="spellStart"/>
      <w:r w:rsidRPr="00F80938">
        <w:rPr>
          <w:rFonts w:ascii="Times New Roman" w:eastAsia="Times New Roman" w:hAnsi="Times New Roman" w:cs="Times New Roman"/>
          <w:bCs w:val="0"/>
          <w:color w:val="auto"/>
          <w:spacing w:val="5"/>
          <w:kern w:val="28"/>
          <w:lang w:val="en-US"/>
        </w:rPr>
        <w:t>MetaXpress</w:t>
      </w:r>
      <w:proofErr w:type="spellEnd"/>
      <w:r w:rsidRPr="00F80938">
        <w:rPr>
          <w:rFonts w:ascii="Times New Roman" w:eastAsia="Times New Roman" w:hAnsi="Times New Roman" w:cs="Times New Roman"/>
          <w:bCs w:val="0"/>
          <w:color w:val="auto"/>
          <w:spacing w:val="5"/>
          <w:kern w:val="28"/>
          <w:lang w:val="en-US"/>
        </w:rPr>
        <w:t xml:space="preserve"> consortium</w:t>
      </w:r>
    </w:p>
    <w:p w:rsidR="009D4CCE" w:rsidRPr="009D4CCE" w:rsidRDefault="009D4CCE">
      <w:pPr>
        <w:rPr>
          <w:lang w:val="en-US"/>
        </w:rPr>
      </w:pPr>
    </w:p>
    <w:p w:rsidR="009D4CCE" w:rsidRPr="009D4CCE" w:rsidRDefault="009D4CCE" w:rsidP="009D4CCE">
      <w:pPr>
        <w:pStyle w:val="berschrift2"/>
        <w:jc w:val="center"/>
        <w:rPr>
          <w:lang w:val="en-US"/>
        </w:rPr>
      </w:pPr>
      <w:r w:rsidRPr="009D4CCE">
        <w:rPr>
          <w:lang w:val="en-US"/>
        </w:rPr>
        <w:t>Supplementary Material</w:t>
      </w:r>
    </w:p>
    <w:p w:rsidR="009D4CCE" w:rsidRDefault="009D4CCE">
      <w:pPr>
        <w:rPr>
          <w:lang w:val="en-US"/>
        </w:rPr>
      </w:pPr>
    </w:p>
    <w:p w:rsidR="009D4CCE" w:rsidRDefault="009D4CCE">
      <w:pPr>
        <w:rPr>
          <w:lang w:val="en-US"/>
        </w:rPr>
      </w:pPr>
      <w:r>
        <w:rPr>
          <w:lang w:val="en-US"/>
        </w:rPr>
        <w:br w:type="page"/>
      </w:r>
    </w:p>
    <w:p w:rsidR="008B065F" w:rsidRPr="00FA593C" w:rsidRDefault="008B065F" w:rsidP="008B065F">
      <w:pPr>
        <w:rPr>
          <w:rFonts w:ascii="Times New Roman" w:hAnsi="Times New Roman" w:cs="Times New Roman"/>
          <w:b/>
          <w:sz w:val="24"/>
          <w:szCs w:val="24"/>
          <w:lang w:val="en-US"/>
        </w:rPr>
      </w:pPr>
      <w:r w:rsidRPr="00FA593C">
        <w:rPr>
          <w:rFonts w:ascii="Times New Roman" w:hAnsi="Times New Roman" w:cs="Times New Roman"/>
          <w:b/>
          <w:sz w:val="24"/>
          <w:szCs w:val="24"/>
          <w:lang w:val="en-US"/>
        </w:rPr>
        <w:lastRenderedPageBreak/>
        <w:t>Statistical approaches for comparin</w:t>
      </w:r>
      <w:r w:rsidR="00C90855">
        <w:rPr>
          <w:rFonts w:ascii="Times New Roman" w:hAnsi="Times New Roman" w:cs="Times New Roman"/>
          <w:b/>
          <w:sz w:val="24"/>
          <w:szCs w:val="24"/>
          <w:lang w:val="en-US"/>
        </w:rPr>
        <w:t xml:space="preserve">g whole blood cell and </w:t>
      </w:r>
      <w:proofErr w:type="spellStart"/>
      <w:r w:rsidR="00C90855">
        <w:rPr>
          <w:rFonts w:ascii="Times New Roman" w:hAnsi="Times New Roman" w:cs="Times New Roman"/>
          <w:b/>
          <w:sz w:val="24"/>
          <w:szCs w:val="24"/>
          <w:lang w:val="en-US"/>
        </w:rPr>
        <w:t>monocyte</w:t>
      </w:r>
      <w:proofErr w:type="spellEnd"/>
      <w:r w:rsidRPr="00FA593C">
        <w:rPr>
          <w:rFonts w:ascii="Times New Roman" w:hAnsi="Times New Roman" w:cs="Times New Roman"/>
          <w:b/>
          <w:sz w:val="24"/>
          <w:szCs w:val="24"/>
          <w:lang w:val="en-US"/>
        </w:rPr>
        <w:t xml:space="preserve"> gene expression levels using aggregated data</w:t>
      </w:r>
    </w:p>
    <w:p w:rsidR="008B065F" w:rsidRPr="00FA593C" w:rsidRDefault="008B065F" w:rsidP="00FA593C">
      <w:pPr>
        <w:spacing w:after="0" w:line="480" w:lineRule="auto"/>
        <w:jc w:val="both"/>
        <w:rPr>
          <w:rFonts w:ascii="Times New Roman" w:hAnsi="Times New Roman" w:cs="Times New Roman"/>
          <w:sz w:val="24"/>
          <w:szCs w:val="24"/>
          <w:lang w:val="en-US"/>
        </w:rPr>
      </w:pPr>
      <w:r w:rsidRPr="00FA593C">
        <w:rPr>
          <w:rFonts w:ascii="Times New Roman" w:hAnsi="Times New Roman" w:cs="Times New Roman"/>
          <w:sz w:val="24"/>
          <w:szCs w:val="24"/>
          <w:lang w:val="en-US"/>
        </w:rPr>
        <w:t xml:space="preserve">In practice it might be of interest to analyze which genes are differentially expressed between whole blood cell and the </w:t>
      </w:r>
      <w:proofErr w:type="spellStart"/>
      <w:r w:rsidRPr="00FA593C">
        <w:rPr>
          <w:rFonts w:ascii="Times New Roman" w:hAnsi="Times New Roman" w:cs="Times New Roman"/>
          <w:sz w:val="24"/>
          <w:szCs w:val="24"/>
          <w:lang w:val="en-US"/>
        </w:rPr>
        <w:t>monocyte</w:t>
      </w:r>
      <w:proofErr w:type="spellEnd"/>
      <w:r w:rsidRPr="00FA593C">
        <w:rPr>
          <w:rFonts w:ascii="Times New Roman" w:hAnsi="Times New Roman" w:cs="Times New Roman"/>
          <w:sz w:val="24"/>
          <w:szCs w:val="24"/>
          <w:lang w:val="en-US"/>
        </w:rPr>
        <w:t xml:space="preserve"> samples depending on the influence of a trait of interest</w:t>
      </w:r>
      <w:r w:rsidR="00FE46DC">
        <w:rPr>
          <w:rFonts w:ascii="Times New Roman" w:hAnsi="Times New Roman" w:cs="Times New Roman"/>
          <w:sz w:val="24"/>
          <w:szCs w:val="24"/>
          <w:lang w:val="en-US"/>
        </w:rPr>
        <w:t xml:space="preserve"> </w:t>
      </w:r>
      <w:r w:rsidR="00FE46DC" w:rsidRPr="00FE46DC">
        <w:rPr>
          <w:rFonts w:ascii="Times New Roman" w:hAnsi="Times New Roman" w:cs="Times New Roman"/>
          <w:sz w:val="24"/>
          <w:szCs w:val="24"/>
          <w:lang w:val="en-US"/>
        </w:rPr>
        <w:t>[</w:t>
      </w:r>
      <w:fldSimple w:instr=" REF BIB_whitehead2005 \* MERGEFORMAT ">
        <w:r w:rsidR="009C3BDC" w:rsidRPr="00FE46DC">
          <w:rPr>
            <w:rFonts w:ascii="Times New Roman" w:hAnsi="Times New Roman" w:cs="Times New Roman"/>
            <w:sz w:val="24"/>
            <w:szCs w:val="24"/>
            <w:lang w:val="en-US"/>
          </w:rPr>
          <w:t>1</w:t>
        </w:r>
      </w:fldSimple>
      <w:r w:rsidR="00FE46DC" w:rsidRPr="00FE46DC">
        <w:rPr>
          <w:rFonts w:ascii="Times New Roman" w:hAnsi="Times New Roman" w:cs="Times New Roman"/>
          <w:sz w:val="24"/>
          <w:szCs w:val="24"/>
          <w:lang w:val="en-US"/>
        </w:rPr>
        <w:t>]</w:t>
      </w:r>
      <w:r w:rsidRPr="00FA593C">
        <w:rPr>
          <w:rFonts w:ascii="Times New Roman" w:hAnsi="Times New Roman" w:cs="Times New Roman"/>
          <w:sz w:val="24"/>
          <w:szCs w:val="24"/>
          <w:lang w:val="en-US"/>
        </w:rPr>
        <w:t xml:space="preserve">, whereas often only aggregated data </w:t>
      </w:r>
      <w:r w:rsidR="00FA593C" w:rsidRPr="00FA593C">
        <w:rPr>
          <w:rFonts w:ascii="Times New Roman" w:hAnsi="Times New Roman" w:cs="Times New Roman"/>
          <w:sz w:val="24"/>
          <w:szCs w:val="24"/>
          <w:lang w:val="en-US"/>
        </w:rPr>
        <w:t>is</w:t>
      </w:r>
      <w:r w:rsidRPr="00FA593C">
        <w:rPr>
          <w:rFonts w:ascii="Times New Roman" w:hAnsi="Times New Roman" w:cs="Times New Roman"/>
          <w:sz w:val="24"/>
          <w:szCs w:val="24"/>
          <w:lang w:val="en-US"/>
        </w:rPr>
        <w:t xml:space="preserve"> available for pooled analysis because of data protection regulations. As a consequence, only mean expression intensities as well as effect sizes and SEs of single study association results rather than individual data are available for subsequent analyses. </w:t>
      </w:r>
    </w:p>
    <w:p w:rsidR="00E670CE" w:rsidRDefault="008B065F" w:rsidP="00E670CE">
      <w:pPr>
        <w:spacing w:after="0" w:line="480" w:lineRule="auto"/>
        <w:jc w:val="both"/>
        <w:rPr>
          <w:rFonts w:ascii="Times New Roman" w:hAnsi="Times New Roman" w:cs="Times New Roman"/>
          <w:sz w:val="24"/>
          <w:szCs w:val="24"/>
          <w:lang w:val="en-US"/>
        </w:rPr>
      </w:pPr>
      <w:r w:rsidRPr="00FA593C">
        <w:rPr>
          <w:rFonts w:ascii="Times New Roman" w:hAnsi="Times New Roman" w:cs="Times New Roman"/>
          <w:sz w:val="24"/>
          <w:szCs w:val="24"/>
          <w:lang w:val="en-US"/>
        </w:rPr>
        <w:t>Hence we tested for mean differences. The null hypothesis using the present data as an example is H</w:t>
      </w:r>
      <w:r w:rsidRPr="00FA593C">
        <w:rPr>
          <w:rFonts w:ascii="Times New Roman" w:hAnsi="Times New Roman" w:cs="Times New Roman"/>
          <w:sz w:val="24"/>
          <w:szCs w:val="24"/>
          <w:vertAlign w:val="subscript"/>
          <w:lang w:val="en-US"/>
        </w:rPr>
        <w:t>01</w:t>
      </w:r>
      <w:r w:rsidRPr="00FA593C">
        <w:rPr>
          <w:rFonts w:ascii="Times New Roman" w:hAnsi="Times New Roman" w:cs="Times New Roman"/>
          <w:sz w:val="24"/>
          <w:szCs w:val="24"/>
          <w:lang w:val="en-US"/>
        </w:rPr>
        <w:t>: μ</w:t>
      </w:r>
      <w:r w:rsidRPr="00FA593C">
        <w:rPr>
          <w:rFonts w:ascii="Times New Roman" w:hAnsi="Times New Roman" w:cs="Times New Roman"/>
          <w:sz w:val="24"/>
          <w:szCs w:val="24"/>
          <w:vertAlign w:val="subscript"/>
          <w:lang w:val="en-US"/>
        </w:rPr>
        <w:t>1</w:t>
      </w:r>
      <w:r w:rsidRPr="00FA593C">
        <w:rPr>
          <w:rFonts w:ascii="Times New Roman" w:hAnsi="Times New Roman" w:cs="Times New Roman"/>
          <w:sz w:val="24"/>
          <w:szCs w:val="24"/>
          <w:lang w:val="en-US"/>
        </w:rPr>
        <w:t xml:space="preserve"> = μ</w:t>
      </w:r>
      <w:r w:rsidRPr="00FA593C">
        <w:rPr>
          <w:rFonts w:ascii="Times New Roman" w:hAnsi="Times New Roman" w:cs="Times New Roman"/>
          <w:sz w:val="24"/>
          <w:szCs w:val="24"/>
          <w:vertAlign w:val="subscript"/>
          <w:lang w:val="en-US"/>
        </w:rPr>
        <w:t>2</w:t>
      </w:r>
      <w:r w:rsidRPr="00FA593C">
        <w:rPr>
          <w:rFonts w:ascii="Times New Roman" w:hAnsi="Times New Roman" w:cs="Times New Roman"/>
          <w:sz w:val="24"/>
          <w:szCs w:val="24"/>
          <w:lang w:val="en-US"/>
        </w:rPr>
        <w:t xml:space="preserve"> and H</w:t>
      </w:r>
      <w:r w:rsidRPr="00FA593C">
        <w:rPr>
          <w:rFonts w:ascii="Times New Roman" w:hAnsi="Times New Roman" w:cs="Times New Roman"/>
          <w:sz w:val="24"/>
          <w:szCs w:val="24"/>
          <w:vertAlign w:val="subscript"/>
          <w:lang w:val="en-US"/>
        </w:rPr>
        <w:t>02</w:t>
      </w:r>
      <w:r w:rsidRPr="00FA593C">
        <w:rPr>
          <w:rFonts w:ascii="Times New Roman" w:hAnsi="Times New Roman" w:cs="Times New Roman"/>
          <w:sz w:val="24"/>
          <w:szCs w:val="24"/>
          <w:lang w:val="en-US"/>
        </w:rPr>
        <w:t>: μ</w:t>
      </w:r>
      <w:r w:rsidRPr="00FA593C">
        <w:rPr>
          <w:rFonts w:ascii="Times New Roman" w:hAnsi="Times New Roman" w:cs="Times New Roman"/>
          <w:sz w:val="24"/>
          <w:szCs w:val="24"/>
          <w:vertAlign w:val="subscript"/>
          <w:lang w:val="en-US"/>
        </w:rPr>
        <w:t>1</w:t>
      </w:r>
      <w:r w:rsidRPr="00FA593C">
        <w:rPr>
          <w:rFonts w:ascii="Times New Roman" w:hAnsi="Times New Roman" w:cs="Times New Roman"/>
          <w:sz w:val="24"/>
          <w:szCs w:val="24"/>
          <w:lang w:val="en-US"/>
        </w:rPr>
        <w:t xml:space="preserve"> = μ</w:t>
      </w:r>
      <w:r w:rsidRPr="00FA593C">
        <w:rPr>
          <w:rFonts w:ascii="Times New Roman" w:hAnsi="Times New Roman" w:cs="Times New Roman"/>
          <w:sz w:val="24"/>
          <w:szCs w:val="24"/>
          <w:vertAlign w:val="subscript"/>
          <w:lang w:val="en-US"/>
        </w:rPr>
        <w:t>3</w:t>
      </w:r>
      <w:r w:rsidRPr="00FA593C">
        <w:rPr>
          <w:rFonts w:ascii="Times New Roman" w:hAnsi="Times New Roman" w:cs="Times New Roman"/>
          <w:sz w:val="24"/>
          <w:szCs w:val="24"/>
          <w:lang w:val="en-US"/>
        </w:rPr>
        <w:t xml:space="preserve">, where the subscript 1 represents GHS, the </w:t>
      </w:r>
      <w:proofErr w:type="spellStart"/>
      <w:r w:rsidRPr="00FA593C">
        <w:rPr>
          <w:rFonts w:ascii="Times New Roman" w:hAnsi="Times New Roman" w:cs="Times New Roman"/>
          <w:sz w:val="24"/>
          <w:szCs w:val="24"/>
          <w:lang w:val="en-US"/>
        </w:rPr>
        <w:t>monocyte</w:t>
      </w:r>
      <w:proofErr w:type="spellEnd"/>
      <w:r w:rsidRPr="00FA593C">
        <w:rPr>
          <w:rFonts w:ascii="Times New Roman" w:hAnsi="Times New Roman" w:cs="Times New Roman"/>
          <w:sz w:val="24"/>
          <w:szCs w:val="24"/>
          <w:lang w:val="en-US"/>
        </w:rPr>
        <w:t xml:space="preserve"> study, and subscripts 2 and 3 represent SHIP-TREND and KORA F4, respectively, which are the whole blood</w:t>
      </w:r>
      <w:r w:rsidR="00FA593C" w:rsidRPr="00FA593C">
        <w:rPr>
          <w:rFonts w:ascii="Times New Roman" w:hAnsi="Times New Roman" w:cs="Times New Roman"/>
          <w:sz w:val="24"/>
          <w:szCs w:val="24"/>
          <w:lang w:val="en-US"/>
        </w:rPr>
        <w:t xml:space="preserve"> </w:t>
      </w:r>
      <w:r w:rsidRPr="00FA593C">
        <w:rPr>
          <w:rFonts w:ascii="Times New Roman" w:hAnsi="Times New Roman" w:cs="Times New Roman"/>
          <w:sz w:val="24"/>
          <w:szCs w:val="24"/>
          <w:lang w:val="en-US"/>
        </w:rPr>
        <w:t xml:space="preserve">cell </w:t>
      </w:r>
      <w:r w:rsidR="00FA593C" w:rsidRPr="00FA593C">
        <w:rPr>
          <w:rFonts w:ascii="Times New Roman" w:hAnsi="Times New Roman" w:cs="Times New Roman"/>
          <w:sz w:val="24"/>
          <w:szCs w:val="24"/>
          <w:lang w:val="en-US"/>
        </w:rPr>
        <w:t>samples</w:t>
      </w:r>
      <w:r w:rsidRPr="00FA593C">
        <w:rPr>
          <w:rFonts w:ascii="Times New Roman" w:hAnsi="Times New Roman" w:cs="Times New Roman"/>
          <w:sz w:val="24"/>
          <w:szCs w:val="24"/>
          <w:lang w:val="en-US"/>
        </w:rPr>
        <w:t xml:space="preserve">. If both hypotheses are tested </w:t>
      </w:r>
      <w:r w:rsidR="00273E07">
        <w:rPr>
          <w:rFonts w:ascii="Times New Roman" w:hAnsi="Times New Roman" w:cs="Times New Roman"/>
          <w:sz w:val="24"/>
          <w:szCs w:val="24"/>
          <w:lang w:val="en-US"/>
        </w:rPr>
        <w:t>jointly</w:t>
      </w:r>
      <w:r w:rsidRPr="00FA593C">
        <w:rPr>
          <w:rFonts w:ascii="Times New Roman" w:hAnsi="Times New Roman" w:cs="Times New Roman"/>
          <w:sz w:val="24"/>
          <w:szCs w:val="24"/>
          <w:lang w:val="en-US"/>
        </w:rPr>
        <w:t>, the test statistic has 2 degrees of freedom (</w:t>
      </w:r>
      <w:proofErr w:type="spellStart"/>
      <w:r w:rsidRPr="00FA593C">
        <w:rPr>
          <w:rFonts w:ascii="Times New Roman" w:hAnsi="Times New Roman" w:cs="Times New Roman"/>
          <w:sz w:val="24"/>
          <w:szCs w:val="24"/>
          <w:lang w:val="en-US"/>
        </w:rPr>
        <w:t>df</w:t>
      </w:r>
      <w:proofErr w:type="spellEnd"/>
      <w:r w:rsidRPr="00FA593C">
        <w:rPr>
          <w:rFonts w:ascii="Times New Roman" w:hAnsi="Times New Roman" w:cs="Times New Roman"/>
          <w:sz w:val="24"/>
          <w:szCs w:val="24"/>
          <w:lang w:val="en-US"/>
        </w:rPr>
        <w:t xml:space="preserve">), and a power loss is anticipated compared to a 1 </w:t>
      </w:r>
      <w:proofErr w:type="spellStart"/>
      <w:r w:rsidRPr="00FA593C">
        <w:rPr>
          <w:rFonts w:ascii="Times New Roman" w:hAnsi="Times New Roman" w:cs="Times New Roman"/>
          <w:sz w:val="24"/>
          <w:szCs w:val="24"/>
          <w:lang w:val="en-US"/>
        </w:rPr>
        <w:t>df</w:t>
      </w:r>
      <w:proofErr w:type="spellEnd"/>
      <w:r w:rsidRPr="00FA593C">
        <w:rPr>
          <w:rFonts w:ascii="Times New Roman" w:hAnsi="Times New Roman" w:cs="Times New Roman"/>
          <w:sz w:val="24"/>
          <w:szCs w:val="24"/>
          <w:lang w:val="en-US"/>
        </w:rPr>
        <w:t xml:space="preserve"> test. </w:t>
      </w:r>
      <w:r w:rsidR="00273E07">
        <w:rPr>
          <w:rFonts w:ascii="Times New Roman" w:hAnsi="Times New Roman" w:cs="Times New Roman"/>
          <w:sz w:val="24"/>
          <w:szCs w:val="24"/>
          <w:lang w:val="en-US"/>
        </w:rPr>
        <w:t xml:space="preserve">If the overall test is significant, both single hypotheses can be tested separately without further adjustment for multiple testing. </w:t>
      </w:r>
      <w:r w:rsidRPr="00FA593C">
        <w:rPr>
          <w:rFonts w:ascii="Times New Roman" w:hAnsi="Times New Roman" w:cs="Times New Roman"/>
          <w:sz w:val="24"/>
          <w:szCs w:val="24"/>
          <w:lang w:val="en-US"/>
        </w:rPr>
        <w:t>Both whole blood studies had similar sample sizes and their variability was also similar. Their weights in the statistical test should thus be similar and we will use the linear contrast hypothesis H</w:t>
      </w:r>
      <w:r w:rsidRPr="00FA593C">
        <w:rPr>
          <w:rFonts w:ascii="Times New Roman" w:hAnsi="Times New Roman" w:cs="Times New Roman"/>
          <w:sz w:val="24"/>
          <w:szCs w:val="24"/>
          <w:vertAlign w:val="subscript"/>
          <w:lang w:val="en-US"/>
        </w:rPr>
        <w:t>0</w:t>
      </w:r>
      <w:r w:rsidRPr="00FA593C">
        <w:rPr>
          <w:rFonts w:ascii="Times New Roman" w:hAnsi="Times New Roman" w:cs="Times New Roman"/>
          <w:sz w:val="24"/>
          <w:szCs w:val="24"/>
          <w:lang w:val="en-US"/>
        </w:rPr>
        <w:t xml:space="preserve">: </w:t>
      </w:r>
      <w:r w:rsidR="009C3BDC">
        <w:rPr>
          <w:rFonts w:ascii="Times New Roman" w:hAnsi="Times New Roman" w:cs="Times New Roman"/>
          <w:noProof/>
          <w:sz w:val="24"/>
          <w:szCs w:val="24"/>
        </w:rPr>
        <w:drawing>
          <wp:inline distT="0" distB="0" distL="0" distR="0">
            <wp:extent cx="2372625" cy="283359"/>
            <wp:effectExtent l="0" t="0" r="0" b="0"/>
            <wp:docPr id="31" name="Grafik 30" descr="form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1.eps"/>
                    <pic:cNvPicPr/>
                  </pic:nvPicPr>
                  <pic:blipFill>
                    <a:blip r:embed="rId7"/>
                    <a:stretch>
                      <a:fillRect/>
                    </a:stretch>
                  </pic:blipFill>
                  <pic:spPr>
                    <a:xfrm>
                      <a:off x="0" y="0"/>
                      <a:ext cx="2372625" cy="283359"/>
                    </a:xfrm>
                    <a:prstGeom prst="rect">
                      <a:avLst/>
                    </a:prstGeom>
                  </pic:spPr>
                </pic:pic>
              </a:graphicData>
            </a:graphic>
          </wp:inline>
        </w:drawing>
      </w:r>
      <w:r w:rsidR="002C4BB0">
        <w:rPr>
          <w:rFonts w:ascii="Times New Roman" w:hAnsi="Times New Roman" w:cs="Times New Roman"/>
          <w:sz w:val="24"/>
          <w:szCs w:val="24"/>
          <w:lang w:val="en-US"/>
        </w:rPr>
        <w:t xml:space="preserve"> </w:t>
      </w:r>
      <w:r w:rsidRPr="00FA593C">
        <w:rPr>
          <w:rFonts w:ascii="Times New Roman" w:hAnsi="Times New Roman" w:cs="Times New Roman"/>
          <w:sz w:val="24"/>
          <w:szCs w:val="24"/>
          <w:lang w:val="en-US"/>
        </w:rPr>
        <w:t xml:space="preserve">where </w:t>
      </w:r>
      <w:proofErr w:type="spellStart"/>
      <w:r w:rsidR="002C4BB0">
        <w:rPr>
          <w:rFonts w:ascii="Times New Roman" w:hAnsi="Times New Roman" w:cs="Times New Roman"/>
          <w:sz w:val="24"/>
          <w:szCs w:val="24"/>
          <w:lang w:val="en-US"/>
        </w:rPr>
        <w:t>μ</w:t>
      </w:r>
      <w:r w:rsidRPr="00FA593C">
        <w:rPr>
          <w:rFonts w:ascii="Times New Roman" w:hAnsi="Times New Roman" w:cs="Times New Roman"/>
          <w:sz w:val="24"/>
          <w:szCs w:val="24"/>
          <w:vertAlign w:val="subscript"/>
          <w:lang w:val="en-US"/>
        </w:rPr>
        <w:t>i</w:t>
      </w:r>
      <w:proofErr w:type="spellEnd"/>
      <w:r w:rsidRPr="00FA593C">
        <w:rPr>
          <w:rFonts w:ascii="Times New Roman" w:hAnsi="Times New Roman" w:cs="Times New Roman"/>
          <w:sz w:val="24"/>
          <w:szCs w:val="24"/>
          <w:lang w:val="en-US"/>
        </w:rPr>
        <w:t xml:space="preserve"> represents the tested mean value, and which assumes equal weights for both whole blood studies. We could therefore use weights inversely proportional to the variance of SHIP-TREND and KORA F4 per probe. Assuming similar variances for all three studies, the pooled variance estimator</w:t>
      </w:r>
      <w:r w:rsidR="002C4BB0">
        <w:rPr>
          <w:rFonts w:ascii="Times New Roman" w:hAnsi="Times New Roman" w:cs="Times New Roman"/>
          <w:sz w:val="24"/>
          <w:szCs w:val="24"/>
          <w:lang w:val="en-US"/>
        </w:rPr>
        <w:t xml:space="preserve"> </w:t>
      </w:r>
      <w:r w:rsidR="00E0500A" w:rsidRPr="00E0500A">
        <w:rPr>
          <w:i/>
          <w:szCs w:val="24"/>
          <w:lang w:val="en-US"/>
        </w:rPr>
        <w:t>s</w:t>
      </w:r>
      <w:r w:rsidR="00E0500A">
        <w:rPr>
          <w:szCs w:val="24"/>
          <w:vertAlign w:val="superscript"/>
          <w:lang w:val="en-US"/>
        </w:rPr>
        <w:t>2</w:t>
      </w:r>
      <w:r w:rsidRPr="00FA593C">
        <w:rPr>
          <w:rFonts w:ascii="Times New Roman" w:hAnsi="Times New Roman" w:cs="Times New Roman"/>
          <w:sz w:val="24"/>
          <w:szCs w:val="24"/>
          <w:lang w:val="en-US"/>
        </w:rPr>
        <w:t xml:space="preserve"> is given </w:t>
      </w:r>
      <w:proofErr w:type="gramStart"/>
      <w:r w:rsidRPr="00FA593C">
        <w:rPr>
          <w:rFonts w:ascii="Times New Roman" w:hAnsi="Times New Roman" w:cs="Times New Roman"/>
          <w:sz w:val="24"/>
          <w:szCs w:val="24"/>
          <w:lang w:val="en-US"/>
        </w:rPr>
        <w:t>by</w:t>
      </w:r>
      <w:r w:rsidR="002C4BB0">
        <w:rPr>
          <w:rFonts w:ascii="Times New Roman" w:hAnsi="Times New Roman" w:cs="Times New Roman"/>
          <w:sz w:val="24"/>
          <w:szCs w:val="24"/>
          <w:lang w:val="en-US"/>
        </w:rPr>
        <w:t xml:space="preserve"> </w:t>
      </w:r>
      <w:proofErr w:type="gramEnd"/>
      <w:r w:rsidR="009C3BDC">
        <w:rPr>
          <w:rFonts w:ascii="Times New Roman" w:hAnsi="Times New Roman" w:cs="Times New Roman"/>
          <w:noProof/>
          <w:sz w:val="24"/>
          <w:szCs w:val="24"/>
        </w:rPr>
        <w:drawing>
          <wp:inline distT="0" distB="0" distL="0" distR="0">
            <wp:extent cx="3291750" cy="577617"/>
            <wp:effectExtent l="0" t="0" r="0" b="0"/>
            <wp:docPr id="30" name="Grafik 29" descr="form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2.eps"/>
                    <pic:cNvPicPr/>
                  </pic:nvPicPr>
                  <pic:blipFill>
                    <a:blip r:embed="rId8"/>
                    <a:stretch>
                      <a:fillRect/>
                    </a:stretch>
                  </pic:blipFill>
                  <pic:spPr>
                    <a:xfrm>
                      <a:off x="0" y="0"/>
                      <a:ext cx="3291750" cy="577617"/>
                    </a:xfrm>
                    <a:prstGeom prst="rect">
                      <a:avLst/>
                    </a:prstGeom>
                  </pic:spPr>
                </pic:pic>
              </a:graphicData>
            </a:graphic>
          </wp:inline>
        </w:drawing>
      </w:r>
      <w:r w:rsidRPr="00FA593C">
        <w:rPr>
          <w:rFonts w:ascii="Times New Roman" w:hAnsi="Times New Roman" w:cs="Times New Roman"/>
          <w:sz w:val="24"/>
          <w:szCs w:val="24"/>
          <w:lang w:val="en-US"/>
        </w:rPr>
        <w:t xml:space="preserve">, where </w:t>
      </w:r>
      <w:proofErr w:type="spellStart"/>
      <w:r w:rsidRPr="00FA593C">
        <w:rPr>
          <w:rFonts w:ascii="Times New Roman" w:hAnsi="Times New Roman" w:cs="Times New Roman"/>
          <w:i/>
          <w:sz w:val="24"/>
          <w:szCs w:val="24"/>
          <w:lang w:val="en-US"/>
        </w:rPr>
        <w:t>p</w:t>
      </w:r>
      <w:r w:rsidRPr="00FA593C">
        <w:rPr>
          <w:rFonts w:ascii="Times New Roman" w:hAnsi="Times New Roman" w:cs="Times New Roman"/>
          <w:i/>
          <w:sz w:val="24"/>
          <w:szCs w:val="24"/>
          <w:vertAlign w:val="subscript"/>
          <w:lang w:val="en-US"/>
        </w:rPr>
        <w:t>j</w:t>
      </w:r>
      <w:proofErr w:type="spellEnd"/>
      <w:r w:rsidRPr="00FA593C">
        <w:rPr>
          <w:rFonts w:ascii="Times New Roman" w:hAnsi="Times New Roman" w:cs="Times New Roman"/>
          <w:sz w:val="24"/>
          <w:szCs w:val="24"/>
          <w:lang w:val="en-US"/>
        </w:rPr>
        <w:t xml:space="preserve"> is the number of covariates in the model. The resulting </w:t>
      </w:r>
      <w:r w:rsidRPr="00FA593C">
        <w:rPr>
          <w:rFonts w:ascii="Times New Roman" w:hAnsi="Times New Roman" w:cs="Times New Roman"/>
          <w:i/>
          <w:sz w:val="24"/>
          <w:szCs w:val="24"/>
          <w:lang w:val="en-US"/>
        </w:rPr>
        <w:t>t</w:t>
      </w:r>
      <w:r w:rsidRPr="00FA593C">
        <w:rPr>
          <w:rFonts w:ascii="Times New Roman" w:hAnsi="Times New Roman" w:cs="Times New Roman"/>
          <w:sz w:val="24"/>
          <w:szCs w:val="24"/>
          <w:lang w:val="en-US"/>
        </w:rPr>
        <w:t xml:space="preserve">-test statistic </w:t>
      </w:r>
      <w:r w:rsidR="009C3BDC">
        <w:rPr>
          <w:noProof/>
        </w:rPr>
        <w:lastRenderedPageBreak/>
        <w:drawing>
          <wp:inline distT="0" distB="0" distL="0" distR="0">
            <wp:extent cx="3900938" cy="577617"/>
            <wp:effectExtent l="0" t="0" r="0" b="0"/>
            <wp:docPr id="29" name="Grafik 28" descr="form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3.eps"/>
                    <pic:cNvPicPr/>
                  </pic:nvPicPr>
                  <pic:blipFill>
                    <a:blip r:embed="rId9"/>
                    <a:stretch>
                      <a:fillRect/>
                    </a:stretch>
                  </pic:blipFill>
                  <pic:spPr>
                    <a:xfrm>
                      <a:off x="0" y="0"/>
                      <a:ext cx="3900938" cy="577617"/>
                    </a:xfrm>
                    <a:prstGeom prst="rect">
                      <a:avLst/>
                    </a:prstGeom>
                  </pic:spPr>
                </pic:pic>
              </a:graphicData>
            </a:graphic>
          </wp:inline>
        </w:drawing>
      </w:r>
      <w:r w:rsidR="000B785C" w:rsidRPr="000B785C">
        <w:rPr>
          <w:lang w:val="en-US"/>
        </w:rPr>
        <w:t xml:space="preserve"> </w:t>
      </w:r>
      <w:r w:rsidRPr="00FA593C">
        <w:rPr>
          <w:rFonts w:ascii="Times New Roman" w:hAnsi="Times New Roman" w:cs="Times New Roman"/>
          <w:sz w:val="24"/>
          <w:szCs w:val="24"/>
          <w:lang w:val="en-US"/>
        </w:rPr>
        <w:t>is asymptotically standard normally distributed under H</w:t>
      </w:r>
      <w:r w:rsidRPr="00FA593C">
        <w:rPr>
          <w:rFonts w:ascii="Times New Roman" w:hAnsi="Times New Roman" w:cs="Times New Roman"/>
          <w:sz w:val="24"/>
          <w:szCs w:val="24"/>
          <w:vertAlign w:val="subscript"/>
          <w:lang w:val="en-US"/>
        </w:rPr>
        <w:t>0</w:t>
      </w:r>
      <w:r w:rsidRPr="00FA593C">
        <w:rPr>
          <w:rFonts w:ascii="Times New Roman" w:hAnsi="Times New Roman" w:cs="Times New Roman"/>
          <w:sz w:val="24"/>
          <w:szCs w:val="24"/>
          <w:lang w:val="en-US"/>
        </w:rPr>
        <w:t>.</w:t>
      </w:r>
    </w:p>
    <w:p w:rsidR="009C3BDC" w:rsidRDefault="009C3BDC" w:rsidP="00E670CE">
      <w:pPr>
        <w:spacing w:after="0" w:line="480" w:lineRule="auto"/>
        <w:jc w:val="both"/>
        <w:rPr>
          <w:rFonts w:ascii="Times New Roman" w:hAnsi="Times New Roman" w:cs="Times New Roman"/>
          <w:sz w:val="24"/>
          <w:szCs w:val="24"/>
          <w:lang w:val="en-US"/>
        </w:rPr>
      </w:pPr>
    </w:p>
    <w:p w:rsidR="00FE46DC" w:rsidRPr="00FE46DC" w:rsidRDefault="00FE46DC" w:rsidP="00FE46DC">
      <w:pPr>
        <w:spacing w:before="240" w:after="240"/>
        <w:rPr>
          <w:rFonts w:ascii="Times New Roman" w:hAnsi="Times New Roman" w:cs="Times New Roman"/>
          <w:b/>
          <w:sz w:val="24"/>
          <w:szCs w:val="24"/>
          <w:lang w:val="en-US"/>
        </w:rPr>
      </w:pPr>
      <w:r w:rsidRPr="00FE46DC">
        <w:rPr>
          <w:rFonts w:ascii="Times New Roman" w:hAnsi="Times New Roman" w:cs="Times New Roman"/>
          <w:b/>
          <w:sz w:val="24"/>
          <w:szCs w:val="24"/>
          <w:lang w:val="en-US"/>
        </w:rPr>
        <w:t>References</w:t>
      </w:r>
    </w:p>
    <w:p w:rsidR="00FE46DC" w:rsidRDefault="00FE46DC" w:rsidP="00FA593C">
      <w:pPr>
        <w:spacing w:after="0" w:line="480" w:lineRule="auto"/>
        <w:jc w:val="both"/>
        <w:rPr>
          <w:rFonts w:ascii="Times New Roman" w:hAnsi="Times New Roman" w:cs="Times New Roman"/>
          <w:sz w:val="24"/>
          <w:szCs w:val="24"/>
          <w:lang w:val="en-US"/>
        </w:rPr>
      </w:pPr>
      <w:bookmarkStart w:id="1" w:name="BIB__bib"/>
      <w:r w:rsidRPr="00FE46DC">
        <w:rPr>
          <w:rFonts w:ascii="Times New Roman" w:hAnsi="Times New Roman" w:cs="Times New Roman"/>
          <w:sz w:val="24"/>
          <w:szCs w:val="24"/>
          <w:lang w:val="en-US"/>
        </w:rPr>
        <w:t>[</w:t>
      </w:r>
      <w:bookmarkStart w:id="2" w:name="BIB_whitehead2005"/>
      <w:r w:rsidRPr="00FE46DC">
        <w:rPr>
          <w:rFonts w:ascii="Times New Roman" w:hAnsi="Times New Roman" w:cs="Times New Roman"/>
          <w:sz w:val="24"/>
          <w:szCs w:val="24"/>
          <w:lang w:val="en-US"/>
        </w:rPr>
        <w:t>1</w:t>
      </w:r>
      <w:bookmarkStart w:id="3" w:name="B4B_whitehead2005"/>
      <w:bookmarkEnd w:id="2"/>
      <w:bookmarkEnd w:id="3"/>
      <w:r w:rsidRPr="00FE46DC">
        <w:rPr>
          <w:rFonts w:ascii="Times New Roman" w:hAnsi="Times New Roman" w:cs="Times New Roman"/>
          <w:sz w:val="24"/>
          <w:szCs w:val="24"/>
          <w:lang w:val="en-US"/>
        </w:rPr>
        <w:t>]</w:t>
      </w:r>
      <w:r w:rsidRPr="00FE46DC">
        <w:rPr>
          <w:rFonts w:ascii="Times New Roman" w:hAnsi="Times New Roman" w:cs="Times New Roman"/>
          <w:sz w:val="24"/>
          <w:szCs w:val="24"/>
          <w:lang w:val="en-US"/>
        </w:rPr>
        <w:tab/>
        <w:t xml:space="preserve">Andrew Whitehead and Douglas L Crawford. </w:t>
      </w:r>
      <w:proofErr w:type="gramStart"/>
      <w:r w:rsidRPr="00FE46DC">
        <w:rPr>
          <w:rFonts w:ascii="Times New Roman" w:hAnsi="Times New Roman" w:cs="Times New Roman"/>
          <w:sz w:val="24"/>
          <w:szCs w:val="24"/>
          <w:lang w:val="en-US"/>
        </w:rPr>
        <w:t>Variation in tissue-specific gene expression among natural populations.</w:t>
      </w:r>
      <w:proofErr w:type="gramEnd"/>
      <w:r w:rsidRPr="00FE46DC">
        <w:rPr>
          <w:rFonts w:ascii="Times New Roman" w:hAnsi="Times New Roman" w:cs="Times New Roman"/>
          <w:sz w:val="24"/>
          <w:szCs w:val="24"/>
          <w:lang w:val="en-US"/>
        </w:rPr>
        <w:t xml:space="preserve"> </w:t>
      </w:r>
      <w:r w:rsidRPr="00FE46DC">
        <w:rPr>
          <w:rFonts w:ascii="Times New Roman" w:hAnsi="Times New Roman" w:cs="Times New Roman"/>
          <w:i/>
          <w:sz w:val="24"/>
          <w:szCs w:val="24"/>
          <w:lang w:val="en-US"/>
        </w:rPr>
        <w:t xml:space="preserve">Genome </w:t>
      </w:r>
      <w:proofErr w:type="spellStart"/>
      <w:r w:rsidRPr="00FE46DC">
        <w:rPr>
          <w:rFonts w:ascii="Times New Roman" w:hAnsi="Times New Roman" w:cs="Times New Roman"/>
          <w:i/>
          <w:sz w:val="24"/>
          <w:szCs w:val="24"/>
          <w:lang w:val="en-US"/>
        </w:rPr>
        <w:t>Biol</w:t>
      </w:r>
      <w:proofErr w:type="spellEnd"/>
      <w:r w:rsidRPr="00FE46DC">
        <w:rPr>
          <w:rFonts w:ascii="Times New Roman" w:hAnsi="Times New Roman" w:cs="Times New Roman"/>
          <w:sz w:val="24"/>
          <w:szCs w:val="24"/>
          <w:lang w:val="en-US"/>
        </w:rPr>
        <w:t>, 6(2):R13, 2005.</w:t>
      </w:r>
    </w:p>
    <w:bookmarkEnd w:id="1"/>
    <w:p w:rsidR="00FE46DC" w:rsidRPr="00FA593C" w:rsidRDefault="00FE46DC" w:rsidP="00FA593C">
      <w:pPr>
        <w:spacing w:after="0" w:line="480" w:lineRule="auto"/>
        <w:jc w:val="both"/>
        <w:rPr>
          <w:rFonts w:ascii="Times New Roman" w:hAnsi="Times New Roman" w:cs="Times New Roman"/>
          <w:sz w:val="24"/>
          <w:szCs w:val="24"/>
          <w:lang w:val="en-US"/>
        </w:rPr>
      </w:pPr>
    </w:p>
    <w:p w:rsidR="00BA5840" w:rsidRPr="00A67C9A" w:rsidRDefault="00BA5840">
      <w:pPr>
        <w:rPr>
          <w:lang w:val="en-US"/>
        </w:rPr>
      </w:pPr>
    </w:p>
    <w:sectPr w:rsidR="00BA5840" w:rsidRPr="00A67C9A" w:rsidSect="000E6F4D">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8E" w:rsidRDefault="00123C8E" w:rsidP="00A85252">
      <w:pPr>
        <w:spacing w:after="0" w:line="240" w:lineRule="auto"/>
      </w:pPr>
      <w:r>
        <w:separator/>
      </w:r>
    </w:p>
  </w:endnote>
  <w:endnote w:type="continuationSeparator" w:id="0">
    <w:p w:rsidR="00123C8E" w:rsidRDefault="00123C8E" w:rsidP="00A8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27" w:rsidRDefault="00DE03AC" w:rsidP="00A85252">
    <w:pPr>
      <w:pStyle w:val="Fuzeile"/>
      <w:jc w:val="right"/>
    </w:pPr>
    <w:fldSimple w:instr=" PAGE   \* MERGEFORMAT ">
      <w:r w:rsidR="00191D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8E" w:rsidRDefault="00123C8E" w:rsidP="00A85252">
      <w:pPr>
        <w:spacing w:after="0" w:line="240" w:lineRule="auto"/>
      </w:pPr>
      <w:r>
        <w:separator/>
      </w:r>
    </w:p>
  </w:footnote>
  <w:footnote w:type="continuationSeparator" w:id="0">
    <w:p w:rsidR="00123C8E" w:rsidRDefault="00123C8E" w:rsidP="00A852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9D4CCE"/>
    <w:rsid w:val="00054D54"/>
    <w:rsid w:val="0006321E"/>
    <w:rsid w:val="000A617B"/>
    <w:rsid w:val="000B785C"/>
    <w:rsid w:val="000D1912"/>
    <w:rsid w:val="000E6F4D"/>
    <w:rsid w:val="00123C8E"/>
    <w:rsid w:val="00191DAE"/>
    <w:rsid w:val="001B5724"/>
    <w:rsid w:val="001D1364"/>
    <w:rsid w:val="001D67A6"/>
    <w:rsid w:val="001F16FB"/>
    <w:rsid w:val="002155A2"/>
    <w:rsid w:val="00232361"/>
    <w:rsid w:val="00273E07"/>
    <w:rsid w:val="00280A69"/>
    <w:rsid w:val="00285BCA"/>
    <w:rsid w:val="002A1542"/>
    <w:rsid w:val="002A2F5F"/>
    <w:rsid w:val="002C4BB0"/>
    <w:rsid w:val="00321E4E"/>
    <w:rsid w:val="003323BB"/>
    <w:rsid w:val="00370929"/>
    <w:rsid w:val="00387536"/>
    <w:rsid w:val="00387BC6"/>
    <w:rsid w:val="0039586F"/>
    <w:rsid w:val="003B13DC"/>
    <w:rsid w:val="00413501"/>
    <w:rsid w:val="0041478A"/>
    <w:rsid w:val="004232A8"/>
    <w:rsid w:val="004377A1"/>
    <w:rsid w:val="004401E2"/>
    <w:rsid w:val="0046093C"/>
    <w:rsid w:val="004845D1"/>
    <w:rsid w:val="00487B10"/>
    <w:rsid w:val="004A1C50"/>
    <w:rsid w:val="004C1E5D"/>
    <w:rsid w:val="004F1D0F"/>
    <w:rsid w:val="00554B5D"/>
    <w:rsid w:val="005B3F07"/>
    <w:rsid w:val="005F2EFD"/>
    <w:rsid w:val="00613936"/>
    <w:rsid w:val="0061731E"/>
    <w:rsid w:val="00684177"/>
    <w:rsid w:val="006C563A"/>
    <w:rsid w:val="006D3457"/>
    <w:rsid w:val="00772A3C"/>
    <w:rsid w:val="00784D7C"/>
    <w:rsid w:val="007B6CFE"/>
    <w:rsid w:val="007D57D0"/>
    <w:rsid w:val="00821015"/>
    <w:rsid w:val="00862C07"/>
    <w:rsid w:val="00881805"/>
    <w:rsid w:val="008818AE"/>
    <w:rsid w:val="00885A13"/>
    <w:rsid w:val="00887C26"/>
    <w:rsid w:val="008B065F"/>
    <w:rsid w:val="008B2CA1"/>
    <w:rsid w:val="008E0831"/>
    <w:rsid w:val="009334B8"/>
    <w:rsid w:val="00964098"/>
    <w:rsid w:val="00997EC7"/>
    <w:rsid w:val="009C3BDC"/>
    <w:rsid w:val="009C6ACF"/>
    <w:rsid w:val="009C7349"/>
    <w:rsid w:val="009D4CCE"/>
    <w:rsid w:val="009E26DE"/>
    <w:rsid w:val="009F22F5"/>
    <w:rsid w:val="00A04A47"/>
    <w:rsid w:val="00A12EC3"/>
    <w:rsid w:val="00A25E27"/>
    <w:rsid w:val="00A67C9A"/>
    <w:rsid w:val="00A85252"/>
    <w:rsid w:val="00A9029A"/>
    <w:rsid w:val="00AB729A"/>
    <w:rsid w:val="00AE3979"/>
    <w:rsid w:val="00B05E55"/>
    <w:rsid w:val="00B22737"/>
    <w:rsid w:val="00B26136"/>
    <w:rsid w:val="00B87CE6"/>
    <w:rsid w:val="00BA5840"/>
    <w:rsid w:val="00BE4791"/>
    <w:rsid w:val="00C01426"/>
    <w:rsid w:val="00C61AA0"/>
    <w:rsid w:val="00C62EE2"/>
    <w:rsid w:val="00C72417"/>
    <w:rsid w:val="00C90855"/>
    <w:rsid w:val="00CB6461"/>
    <w:rsid w:val="00CD72D2"/>
    <w:rsid w:val="00CF426A"/>
    <w:rsid w:val="00D00209"/>
    <w:rsid w:val="00D03F97"/>
    <w:rsid w:val="00D32B84"/>
    <w:rsid w:val="00D73027"/>
    <w:rsid w:val="00D802F6"/>
    <w:rsid w:val="00D8760B"/>
    <w:rsid w:val="00DB5E6D"/>
    <w:rsid w:val="00DD1A78"/>
    <w:rsid w:val="00DE03AC"/>
    <w:rsid w:val="00E0500A"/>
    <w:rsid w:val="00E670CE"/>
    <w:rsid w:val="00E75896"/>
    <w:rsid w:val="00F0324F"/>
    <w:rsid w:val="00F06FE7"/>
    <w:rsid w:val="00F33C26"/>
    <w:rsid w:val="00F3665B"/>
    <w:rsid w:val="00F80938"/>
    <w:rsid w:val="00FA593C"/>
    <w:rsid w:val="00FA6CD8"/>
    <w:rsid w:val="00FE46D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F4D"/>
  </w:style>
  <w:style w:type="paragraph" w:styleId="berschrift1">
    <w:name w:val="heading 1"/>
    <w:basedOn w:val="Standard"/>
    <w:next w:val="Standard"/>
    <w:link w:val="berschrift1Zchn"/>
    <w:uiPriority w:val="9"/>
    <w:qFormat/>
    <w:rsid w:val="009D4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D4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D4C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4CC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D4CC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D4CCE"/>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F22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2F5"/>
    <w:rPr>
      <w:rFonts w:ascii="Tahoma" w:hAnsi="Tahoma" w:cs="Tahoma"/>
      <w:sz w:val="16"/>
      <w:szCs w:val="16"/>
    </w:rPr>
  </w:style>
  <w:style w:type="paragraph" w:styleId="Kopfzeile">
    <w:name w:val="header"/>
    <w:basedOn w:val="Standard"/>
    <w:link w:val="KopfzeileZchn"/>
    <w:uiPriority w:val="99"/>
    <w:semiHidden/>
    <w:unhideWhenUsed/>
    <w:rsid w:val="00A852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85252"/>
  </w:style>
  <w:style w:type="paragraph" w:styleId="Fuzeile">
    <w:name w:val="footer"/>
    <w:basedOn w:val="Standard"/>
    <w:link w:val="FuzeileZchn"/>
    <w:uiPriority w:val="99"/>
    <w:unhideWhenUsed/>
    <w:rsid w:val="00A852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252"/>
  </w:style>
  <w:style w:type="paragraph" w:styleId="Titel">
    <w:name w:val="Title"/>
    <w:basedOn w:val="Standard"/>
    <w:next w:val="Standard"/>
    <w:link w:val="TitelZchn"/>
    <w:uiPriority w:val="99"/>
    <w:qFormat/>
    <w:rsid w:val="000A617B"/>
    <w:pPr>
      <w:pBdr>
        <w:bottom w:val="single" w:sz="8" w:space="4" w:color="4F81BD"/>
      </w:pBdr>
      <w:spacing w:after="300" w:line="480" w:lineRule="auto"/>
      <w:jc w:val="both"/>
    </w:pPr>
    <w:rPr>
      <w:rFonts w:ascii="Times New Roman" w:eastAsia="Times New Roman" w:hAnsi="Times New Roman" w:cs="Times New Roman"/>
      <w:b/>
      <w:spacing w:val="5"/>
      <w:kern w:val="28"/>
      <w:sz w:val="24"/>
      <w:szCs w:val="52"/>
    </w:rPr>
  </w:style>
  <w:style w:type="character" w:customStyle="1" w:styleId="TitelZchn">
    <w:name w:val="Titel Zchn"/>
    <w:basedOn w:val="Absatz-Standardschriftart"/>
    <w:link w:val="Titel"/>
    <w:uiPriority w:val="99"/>
    <w:rsid w:val="000A617B"/>
    <w:rPr>
      <w:rFonts w:ascii="Times New Roman" w:eastAsia="Times New Roman" w:hAnsi="Times New Roman" w:cs="Times New Roman"/>
      <w:b/>
      <w:spacing w:val="5"/>
      <w:kern w:val="28"/>
      <w:sz w:val="24"/>
      <w:szCs w:val="52"/>
    </w:rPr>
  </w:style>
  <w:style w:type="character" w:styleId="Kommentarzeichen">
    <w:name w:val="annotation reference"/>
    <w:basedOn w:val="Absatz-Standardschriftart"/>
    <w:uiPriority w:val="99"/>
    <w:semiHidden/>
    <w:unhideWhenUsed/>
    <w:rsid w:val="00DB5E6D"/>
    <w:rPr>
      <w:sz w:val="16"/>
      <w:szCs w:val="16"/>
    </w:rPr>
  </w:style>
  <w:style w:type="paragraph" w:styleId="Kommentartext">
    <w:name w:val="annotation text"/>
    <w:basedOn w:val="Standard"/>
    <w:link w:val="KommentartextZchn"/>
    <w:uiPriority w:val="99"/>
    <w:semiHidden/>
    <w:unhideWhenUsed/>
    <w:rsid w:val="00DB5E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5E6D"/>
    <w:rPr>
      <w:sz w:val="20"/>
      <w:szCs w:val="20"/>
    </w:rPr>
  </w:style>
  <w:style w:type="paragraph" w:styleId="Kommentarthema">
    <w:name w:val="annotation subject"/>
    <w:basedOn w:val="Kommentartext"/>
    <w:next w:val="Kommentartext"/>
    <w:link w:val="KommentarthemaZchn"/>
    <w:uiPriority w:val="99"/>
    <w:semiHidden/>
    <w:unhideWhenUsed/>
    <w:rsid w:val="00DB5E6D"/>
    <w:rPr>
      <w:b/>
      <w:bCs/>
    </w:rPr>
  </w:style>
  <w:style w:type="character" w:customStyle="1" w:styleId="KommentarthemaZchn">
    <w:name w:val="Kommentarthema Zchn"/>
    <w:basedOn w:val="KommentartextZchn"/>
    <w:link w:val="Kommentarthema"/>
    <w:uiPriority w:val="99"/>
    <w:semiHidden/>
    <w:rsid w:val="00DB5E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6369-B282-4E5A-BE56-A5A9EA80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1903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Teumer</dc:creator>
  <cp:keywords/>
  <dc:description/>
  <cp:lastModifiedBy>Alexander Teumer</cp:lastModifiedBy>
  <cp:revision>20</cp:revision>
  <cp:lastPrinted>2012-09-06T16:18:00Z</cp:lastPrinted>
  <dcterms:created xsi:type="dcterms:W3CDTF">2012-09-06T12:59:00Z</dcterms:created>
  <dcterms:modified xsi:type="dcterms:W3CDTF">2012-11-06T05:29:00Z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DISP">
    <vt:lpwstr>ref</vt:lpwstr>
  </property>
</Properties>
</file>