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8F59" w14:textId="77777777" w:rsidR="00202712" w:rsidRPr="00AF4F9F" w:rsidRDefault="00202712" w:rsidP="00202712">
      <w:pPr>
        <w:keepNext/>
        <w:spacing w:line="360" w:lineRule="auto"/>
        <w:jc w:val="center"/>
        <w:rPr>
          <w:rFonts w:ascii="Times" w:hAnsi="Times"/>
          <w:b/>
          <w:sz w:val="28"/>
        </w:rPr>
      </w:pPr>
      <w:r w:rsidRPr="004B0AC3">
        <w:rPr>
          <w:rFonts w:ascii="Times" w:hAnsi="Times"/>
          <w:b/>
          <w:sz w:val="28"/>
        </w:rPr>
        <w:t>Pathway analysis of smoking quantity in multiple GWAS identifies cholinergic and sensory pathways</w:t>
      </w:r>
    </w:p>
    <w:p w14:paraId="59B744E3" w14:textId="77777777" w:rsidR="00202712" w:rsidRPr="00AF4F9F" w:rsidRDefault="00202712" w:rsidP="00202712">
      <w:pPr>
        <w:spacing w:line="480" w:lineRule="auto"/>
      </w:pPr>
    </w:p>
    <w:p w14:paraId="66DAA688" w14:textId="77777777" w:rsidR="00202712" w:rsidRPr="00AF4F9F" w:rsidRDefault="00202712" w:rsidP="00202712">
      <w:pPr>
        <w:spacing w:line="360" w:lineRule="auto"/>
      </w:pPr>
      <w:r w:rsidRPr="00AF4F9F">
        <w:t>Oscar Harari</w:t>
      </w:r>
      <w:r>
        <w:t xml:space="preserve"> PhD</w:t>
      </w:r>
      <w:r w:rsidRPr="00AF4F9F">
        <w:rPr>
          <w:vertAlign w:val="superscript"/>
        </w:rPr>
        <w:t>1</w:t>
      </w:r>
      <w:r>
        <w:t>,</w:t>
      </w:r>
      <w:r w:rsidRPr="00AF4F9F">
        <w:t xml:space="preserve"> </w:t>
      </w:r>
      <w:r w:rsidRPr="007E773C">
        <w:t>Jen-</w:t>
      </w:r>
      <w:proofErr w:type="spellStart"/>
      <w:r w:rsidRPr="007E773C">
        <w:t>Chyong</w:t>
      </w:r>
      <w:proofErr w:type="spellEnd"/>
      <w:r w:rsidRPr="00AF4F9F">
        <w:t xml:space="preserve"> Wang</w:t>
      </w:r>
      <w:r w:rsidRPr="00DA389A">
        <w:t xml:space="preserve"> </w:t>
      </w:r>
      <w:r>
        <w:t>PhD</w:t>
      </w:r>
      <w:r w:rsidRPr="00AF4F9F">
        <w:rPr>
          <w:vertAlign w:val="superscript"/>
        </w:rPr>
        <w:t>1</w:t>
      </w:r>
      <w:proofErr w:type="gramStart"/>
      <w:r>
        <w:t xml:space="preserve">,  </w:t>
      </w:r>
      <w:r w:rsidRPr="00AF4F9F">
        <w:t>Kathleen</w:t>
      </w:r>
      <w:proofErr w:type="gramEnd"/>
      <w:r w:rsidRPr="00AF4F9F">
        <w:t xml:space="preserve"> </w:t>
      </w:r>
      <w:proofErr w:type="spellStart"/>
      <w:r w:rsidRPr="00AF4F9F">
        <w:t>Bucholz</w:t>
      </w:r>
      <w:proofErr w:type="spellEnd"/>
      <w:r w:rsidRPr="00DA389A">
        <w:t xml:space="preserve"> </w:t>
      </w:r>
      <w:r>
        <w:t>PhD</w:t>
      </w:r>
      <w:r w:rsidRPr="00AF4F9F">
        <w:rPr>
          <w:vertAlign w:val="superscript"/>
        </w:rPr>
        <w:t>1</w:t>
      </w:r>
      <w:r>
        <w:t xml:space="preserve">,  </w:t>
      </w:r>
      <w:r w:rsidRPr="00AF4F9F">
        <w:t xml:space="preserve">Howard J. </w:t>
      </w:r>
      <w:proofErr w:type="spellStart"/>
      <w:r w:rsidRPr="00AF4F9F">
        <w:t>Edenberg</w:t>
      </w:r>
      <w:proofErr w:type="spellEnd"/>
      <w:r w:rsidRPr="00DA389A">
        <w:t xml:space="preserve"> </w:t>
      </w:r>
      <w:r>
        <w:t>PhD</w:t>
      </w:r>
      <w:r>
        <w:rPr>
          <w:vertAlign w:val="superscript"/>
        </w:rPr>
        <w:t>2</w:t>
      </w:r>
      <w:r>
        <w:t xml:space="preserve">,  </w:t>
      </w:r>
      <w:r w:rsidRPr="00AF4F9F">
        <w:t xml:space="preserve">Andrew </w:t>
      </w:r>
      <w:r>
        <w:t>Heath DPhil</w:t>
      </w:r>
      <w:r w:rsidRPr="00AF4F9F">
        <w:rPr>
          <w:vertAlign w:val="superscript"/>
        </w:rPr>
        <w:t>1</w:t>
      </w:r>
      <w:r>
        <w:t xml:space="preserve">,  </w:t>
      </w:r>
      <w:r w:rsidRPr="00AF4F9F">
        <w:t>Nic</w:t>
      </w:r>
      <w:r>
        <w:t xml:space="preserve">holas G. </w:t>
      </w:r>
      <w:r w:rsidRPr="00AF4F9F">
        <w:t xml:space="preserve"> Martin</w:t>
      </w:r>
      <w:r w:rsidRPr="00DA389A">
        <w:t xml:space="preserve"> </w:t>
      </w:r>
      <w:r>
        <w:t>PhD</w:t>
      </w:r>
      <w:r>
        <w:rPr>
          <w:vertAlign w:val="superscript"/>
        </w:rPr>
        <w:t>3</w:t>
      </w:r>
      <w:proofErr w:type="gramStart"/>
      <w:r>
        <w:t>,  Michele</w:t>
      </w:r>
      <w:proofErr w:type="gramEnd"/>
      <w:r>
        <w:t xml:space="preserve"> L. </w:t>
      </w:r>
      <w:proofErr w:type="spellStart"/>
      <w:r w:rsidRPr="00AF4F9F">
        <w:t>Pergadia</w:t>
      </w:r>
      <w:proofErr w:type="spellEnd"/>
      <w:r w:rsidRPr="00AF4F9F">
        <w:t xml:space="preserve">  </w:t>
      </w:r>
      <w:r>
        <w:t>PhD</w:t>
      </w:r>
      <w:r w:rsidRPr="00AF4F9F">
        <w:rPr>
          <w:vertAlign w:val="superscript"/>
        </w:rPr>
        <w:t>1</w:t>
      </w:r>
      <w:r>
        <w:t xml:space="preserve">,  </w:t>
      </w:r>
      <w:r w:rsidRPr="00AF4F9F">
        <w:t>Grant Montgomery</w:t>
      </w:r>
      <w:r w:rsidRPr="00DA389A">
        <w:t xml:space="preserve"> </w:t>
      </w:r>
      <w:r>
        <w:t>PhD</w:t>
      </w:r>
      <w:r>
        <w:rPr>
          <w:vertAlign w:val="superscript"/>
        </w:rPr>
        <w:t>4</w:t>
      </w:r>
      <w:r>
        <w:t xml:space="preserve">,  </w:t>
      </w:r>
      <w:r w:rsidRPr="00AF4F9F">
        <w:t>Andrew Schrage</w:t>
      </w:r>
      <w:r>
        <w:t xml:space="preserve"> MS</w:t>
      </w:r>
      <w:r w:rsidRPr="00AF4F9F">
        <w:rPr>
          <w:vertAlign w:val="superscript"/>
        </w:rPr>
        <w:t>1</w:t>
      </w:r>
      <w:r w:rsidRPr="00AF4F9F">
        <w:t>,</w:t>
      </w:r>
      <w:r>
        <w:t xml:space="preserve">  </w:t>
      </w:r>
      <w:r w:rsidRPr="00AF4F9F">
        <w:t xml:space="preserve">Laura </w:t>
      </w:r>
      <w:r>
        <w:t xml:space="preserve">J. </w:t>
      </w:r>
      <w:proofErr w:type="spellStart"/>
      <w:r w:rsidRPr="00AF4F9F">
        <w:t>Bierut</w:t>
      </w:r>
      <w:proofErr w:type="spellEnd"/>
      <w:r>
        <w:t xml:space="preserve"> MD</w:t>
      </w:r>
      <w:r w:rsidRPr="00AF4F9F">
        <w:rPr>
          <w:vertAlign w:val="superscript"/>
        </w:rPr>
        <w:t>1</w:t>
      </w:r>
      <w:r w:rsidRPr="00AF4F9F">
        <w:t>,</w:t>
      </w:r>
      <w:r>
        <w:t xml:space="preserve">  </w:t>
      </w:r>
      <w:r w:rsidRPr="00AF4F9F">
        <w:t>Pamela F. Madden</w:t>
      </w:r>
      <w:r>
        <w:t xml:space="preserve"> PhD</w:t>
      </w:r>
      <w:r w:rsidRPr="00AF4F9F">
        <w:rPr>
          <w:vertAlign w:val="superscript"/>
        </w:rPr>
        <w:t>1</w:t>
      </w:r>
      <w:r w:rsidRPr="00AF4F9F">
        <w:t xml:space="preserve">,and Alison M. </w:t>
      </w:r>
      <w:proofErr w:type="spellStart"/>
      <w:r w:rsidRPr="00AF4F9F">
        <w:t>Goate</w:t>
      </w:r>
      <w:proofErr w:type="spellEnd"/>
      <w:r w:rsidRPr="00AF4F9F">
        <w:t xml:space="preserve"> </w:t>
      </w:r>
      <w:r>
        <w:t>DPhil</w:t>
      </w:r>
      <w:r w:rsidRPr="00AF4F9F">
        <w:rPr>
          <w:vertAlign w:val="superscript"/>
        </w:rPr>
        <w:t>1</w:t>
      </w:r>
      <w:r>
        <w:rPr>
          <w:vertAlign w:val="superscript"/>
        </w:rPr>
        <w:t>,*</w:t>
      </w:r>
    </w:p>
    <w:p w14:paraId="6D33A916" w14:textId="77777777" w:rsidR="00202712" w:rsidRPr="00AF4F9F" w:rsidRDefault="00202712" w:rsidP="00202712">
      <w:pPr>
        <w:spacing w:line="360" w:lineRule="auto"/>
      </w:pPr>
    </w:p>
    <w:p w14:paraId="71EAB098" w14:textId="77777777" w:rsidR="00202712" w:rsidRDefault="00202712" w:rsidP="00202712">
      <w:pPr>
        <w:spacing w:line="360" w:lineRule="auto"/>
        <w:outlineLvl w:val="0"/>
      </w:pPr>
      <w:r w:rsidRPr="00AF4F9F">
        <w:rPr>
          <w:vertAlign w:val="superscript"/>
        </w:rPr>
        <w:t>1</w:t>
      </w:r>
      <w:r w:rsidRPr="00AF4F9F">
        <w:t xml:space="preserve">Department of Psychiatry, Washington University School of Medicine, St. Louis, </w:t>
      </w:r>
      <w:r>
        <w:rPr>
          <w:rFonts w:ascii="Verdana" w:eastAsia="Times New Roman" w:hAnsi="Verdana" w:cs="Verdana"/>
          <w:color w:val="242424"/>
          <w:sz w:val="20"/>
          <w:szCs w:val="20"/>
        </w:rPr>
        <w:t>Missouri, USA</w:t>
      </w:r>
    </w:p>
    <w:p w14:paraId="53859DF2" w14:textId="77777777" w:rsidR="00202712" w:rsidRPr="004964F2" w:rsidRDefault="00202712" w:rsidP="00202712">
      <w:pPr>
        <w:spacing w:line="360" w:lineRule="auto"/>
        <w:outlineLvl w:val="0"/>
      </w:pPr>
      <w:r w:rsidRPr="00723C5E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4964F2">
        <w:t>Department of Biochemistry and Molecular Biology, School of Medicine, Indiana University, Indianapolis, Indiana</w:t>
      </w:r>
    </w:p>
    <w:p w14:paraId="480927F4" w14:textId="77777777" w:rsidR="00202712" w:rsidRDefault="00202712" w:rsidP="00202712">
      <w:pPr>
        <w:spacing w:line="360" w:lineRule="auto"/>
        <w:outlineLvl w:val="0"/>
      </w:pPr>
      <w:proofErr w:type="gramStart"/>
      <w:r>
        <w:rPr>
          <w:vertAlign w:val="superscript"/>
        </w:rPr>
        <w:t>3</w:t>
      </w:r>
      <w:r w:rsidRPr="00AF4DC3">
        <w:rPr>
          <w:rFonts w:ascii="Verdana" w:eastAsia="Times New Roman" w:hAnsi="Verdana" w:cs="Verdana"/>
          <w:color w:val="242424"/>
          <w:sz w:val="20"/>
          <w:szCs w:val="20"/>
        </w:rPr>
        <w:t xml:space="preserve"> </w:t>
      </w:r>
      <w:r w:rsidRPr="00AF4DC3">
        <w:t>Genetic Epidemiology</w:t>
      </w:r>
      <w:proofErr w:type="gramEnd"/>
      <w:r w:rsidRPr="00AF4DC3">
        <w:t>, Queensland Institute of Medical Research, Brisbane, Australia</w:t>
      </w:r>
      <w:r>
        <w:t xml:space="preserve"> </w:t>
      </w:r>
    </w:p>
    <w:p w14:paraId="224E89B8" w14:textId="77777777" w:rsidR="00202712" w:rsidRPr="00B93021" w:rsidRDefault="00202712" w:rsidP="00202712">
      <w:pPr>
        <w:spacing w:line="360" w:lineRule="auto"/>
        <w:outlineLvl w:val="0"/>
      </w:pPr>
      <w:r>
        <w:rPr>
          <w:vertAlign w:val="superscript"/>
        </w:rPr>
        <w:t>4</w:t>
      </w:r>
      <w:r w:rsidRPr="00AF4DC3">
        <w:rPr>
          <w:rFonts w:ascii="Verdana" w:eastAsia="Times New Roman" w:hAnsi="Verdana" w:cs="Verdana"/>
          <w:color w:val="242424"/>
          <w:sz w:val="20"/>
          <w:szCs w:val="20"/>
        </w:rPr>
        <w:t xml:space="preserve"> </w:t>
      </w:r>
      <w:r w:rsidRPr="00B93021">
        <w:t xml:space="preserve">Molecular </w:t>
      </w:r>
      <w:proofErr w:type="spellStart"/>
      <w:r w:rsidRPr="00B93021">
        <w:t>Epidemology</w:t>
      </w:r>
      <w:proofErr w:type="spellEnd"/>
      <w:r w:rsidRPr="00B93021">
        <w:t>, Queensland Institute of Medical Research, Brisbane, Australia</w:t>
      </w:r>
    </w:p>
    <w:p w14:paraId="3A0615A9" w14:textId="77777777" w:rsidR="0085751E" w:rsidRDefault="0085751E" w:rsidP="0085751E">
      <w:pPr>
        <w:spacing w:line="480" w:lineRule="auto"/>
        <w:rPr>
          <w:rFonts w:ascii="Cambria Bold" w:hAnsi="Cambria Bold"/>
        </w:rPr>
      </w:pPr>
    </w:p>
    <w:p w14:paraId="1679C89E" w14:textId="77777777" w:rsidR="0085751E" w:rsidRDefault="0085751E" w:rsidP="0085751E">
      <w:pPr>
        <w:spacing w:line="480" w:lineRule="auto"/>
        <w:rPr>
          <w:rFonts w:ascii="Cambria Bold" w:hAnsi="Cambria Bold"/>
        </w:rPr>
      </w:pPr>
    </w:p>
    <w:p w14:paraId="59120F2B" w14:textId="77777777" w:rsidR="0085751E" w:rsidRPr="00202712" w:rsidRDefault="0085751E" w:rsidP="00202712">
      <w:pPr>
        <w:spacing w:line="480" w:lineRule="auto"/>
        <w:rPr>
          <w:rFonts w:ascii="Cambria Bold" w:hAnsi="Cambria Bold"/>
          <w:sz w:val="28"/>
        </w:rPr>
      </w:pPr>
      <w:r w:rsidRPr="00202712">
        <w:rPr>
          <w:rFonts w:ascii="Cambria Bold" w:hAnsi="Cambria Bold"/>
          <w:sz w:val="28"/>
        </w:rPr>
        <w:t xml:space="preserve">Supporting Text S2 - Genotypes </w:t>
      </w:r>
    </w:p>
    <w:p w14:paraId="24DCC02F" w14:textId="77777777" w:rsidR="0085751E" w:rsidRDefault="0085751E" w:rsidP="0085751E">
      <w:pPr>
        <w:spacing w:line="480" w:lineRule="auto"/>
      </w:pPr>
      <w:r w:rsidRPr="00AF4F9F">
        <w:rPr>
          <w:rFonts w:ascii="Cambria Bold" w:hAnsi="Cambria Bold"/>
        </w:rPr>
        <w:t>SAGE</w:t>
      </w:r>
      <w:r w:rsidRPr="00AF4F9F">
        <w:t xml:space="preserve">.  Genotyping was performed using </w:t>
      </w:r>
      <w:proofErr w:type="spellStart"/>
      <w:r w:rsidRPr="00AF4F9F">
        <w:t>Illumina</w:t>
      </w:r>
      <w:proofErr w:type="spellEnd"/>
      <w:r w:rsidRPr="00AF4F9F">
        <w:t xml:space="preserve"> Human1Mv1_C </w:t>
      </w:r>
      <w:proofErr w:type="spellStart"/>
      <w:r w:rsidRPr="00AF4F9F">
        <w:t>BeadChips</w:t>
      </w:r>
      <w:proofErr w:type="spellEnd"/>
      <w:r w:rsidRPr="00AF4F9F">
        <w:t xml:space="preserve">. Data cleaning and quality-control standards are described in detail in </w:t>
      </w:r>
      <w:r>
        <w:fldChar w:fldCharType="begin"/>
      </w:r>
      <w:r>
        <w:instrText xml:space="preserve"> ADDIN PAPERS2_CITATIONS &lt;citation&gt;&lt;uuid&gt;DC57559E-8316-410D-8556-60CE7F8DF662&lt;/uuid&gt;&lt;priority&gt;9&lt;/priority&gt;&lt;publications&gt;&lt;publication&gt;&lt;uuid&gt;75C962B5-36DB-4504-94A0-9836B7D23629&lt;/uuid&gt;&lt;volume&gt;107&lt;/volume&gt;&lt;doi&gt;10.1073/pnas.0911109107&lt;/doi&gt;&lt;version&gt;2010/03/06&lt;/version&gt;&lt;subtitle&gt;Proc Natl Acad Sci U S A&lt;/subtitle&gt;&lt;startpage&gt;5082&lt;/startpage&gt;&lt;publication_date&gt;99201003161200000000222000&lt;/publication_date&gt;&lt;url&gt;http://www.ncbi.nlm.nih.gov/entrez/query.fcgi?cmd=Retrieve&amp;amp;db=PubMed&amp;amp;dopt=Citation&amp;amp;list_uids=20202923&lt;/url&gt;&lt;type&gt;400&lt;/type&gt;&lt;title&gt;A genome-wide association study of alcohol dependence&lt;/title&gt;&lt;location&gt;200,9,38.6360870,-90.2661210&lt;/location&gt;&lt;institution&gt;Department of Psychiatry, Washington University School of Medicine, St Louis, MO 63110, USA. bierutl@psychiatry.wustl.edu&lt;/institution&gt;&lt;number&gt;11&lt;/number&gt;&lt;subtype&gt;400&lt;/subtype&gt;&lt;endpage&gt;5087&lt;/endpage&gt;&lt;bundle&gt;&lt;publication&gt;&lt;url&gt;http://www.pnas.org/&lt;/url&gt;&lt;title&gt;Proc Natl Acad Sci U S A&lt;/title&gt;&lt;type&gt;-100&lt;/type&gt;&lt;subtype&gt;-100&lt;/subtype&gt;&lt;uuid&gt;2A172E97-A28C-493B-8D26-634A77BA3B4B&lt;/uuid&gt;&lt;/publication&gt;&lt;/bundle&gt;&lt;authors&gt;&lt;author&gt;&lt;firstName&gt;L. J.&lt;/firstName&gt;&lt;lastName&gt;Bierut&lt;/lastName&gt;&lt;/author&gt;&lt;author&gt;&lt;firstName&gt;A.&lt;/firstName&gt;&lt;lastName&gt;Agrawal&lt;/lastName&gt;&lt;/author&gt;&lt;author&gt;&lt;firstName&gt;K. K.&lt;/firstName&gt;&lt;lastName&gt;Bucholz&lt;/lastName&gt;&lt;/author&gt;&lt;author&gt;&lt;firstName&gt;K. F.&lt;/firstName&gt;&lt;lastName&gt;Doheny&lt;/lastName&gt;&lt;/author&gt;&lt;author&gt;&lt;firstName&gt;C.&lt;/firstName&gt;&lt;lastName&gt;Laurie&lt;/lastName&gt;&lt;/author&gt;&lt;author&gt;&lt;firstName&gt;E.&lt;/firstName&gt;&lt;lastName&gt;Pugh&lt;/lastName&gt;&lt;/author&gt;&lt;author&gt;&lt;firstName&gt;S.&lt;/firstName&gt;&lt;lastName&gt;Fisher&lt;/lastName&gt;&lt;/author&gt;&lt;author&gt;&lt;firstName&gt;L.&lt;/firstName&gt;&lt;lastName&gt;Fox&lt;/lastName&gt;&lt;/author&gt;&lt;author&gt;&lt;firstName&gt;W.&lt;/firstName&gt;&lt;lastName&gt;Howells&lt;/lastName&gt;&lt;/author&gt;&lt;author&gt;&lt;firstName&gt;S.&lt;/firstName&gt;&lt;lastName&gt;Bertelsen&lt;/lastName&gt;&lt;/author&gt;&lt;author&gt;&lt;firstName&gt;A. L.&lt;/firstName&gt;&lt;lastName&gt;Hinrichs&lt;/lastName&gt;&lt;/author&gt;&lt;author&gt;&lt;firstName&gt;L.&lt;/firstName&gt;&lt;lastName&gt;Almasy&lt;/lastName&gt;&lt;/author&gt;&lt;author&gt;&lt;firstName&gt;N.&lt;/firstName&gt;&lt;lastName&gt;Breslau&lt;/lastName&gt;&lt;/author&gt;&lt;author&gt;&lt;firstName&gt;R. C.&lt;/firstName&gt;&lt;lastName&gt;Culverhouse&lt;/lastName&gt;&lt;/author&gt;&lt;author&gt;&lt;firstName&gt;D. M.&lt;/firstName&gt;&lt;lastName&gt;Dick&lt;/lastName&gt;&lt;/author&gt;&lt;author&gt;&lt;firstName&gt;H. J.&lt;/firstName&gt;&lt;lastName&gt;Edenberg&lt;/lastName&gt;&lt;/author&gt;&lt;author&gt;&lt;firstName&gt;T.&lt;/firstName&gt;&lt;lastName&gt;Foroud&lt;/lastName&gt;&lt;/author&gt;&lt;author&gt;&lt;firstName&gt;R. A.&lt;/firstName&gt;&lt;lastName&gt;Grucza&lt;/lastName&gt;&lt;/author&gt;&lt;author&gt;&lt;firstName&gt;D.&lt;/firstName&gt;&lt;lastName&gt;Hatsukami&lt;/lastName&gt;&lt;/author&gt;&lt;author&gt;&lt;firstName&gt;V.&lt;/firstName&gt;&lt;lastName&gt;Hesselbrock&lt;/lastName&gt;&lt;/author&gt;&lt;author&gt;&lt;firstName&gt;E. O.&lt;/firstName&gt;&lt;lastName&gt;Johnson&lt;/lastName&gt;&lt;/author&gt;&lt;author&gt;&lt;firstName&gt;J.&lt;/firstName&gt;&lt;lastName&gt;Kramer&lt;/lastName&gt;&lt;/author&gt;&lt;author&gt;&lt;firstName&gt;R. F.&lt;/firstName&gt;&lt;lastName&gt;Krueger&lt;/lastName&gt;&lt;/author&gt;&lt;author&gt;&lt;firstName&gt;S.&lt;/firstName&gt;&lt;lastName&gt;Kuperman&lt;/lastName&gt;&lt;/author&gt;&lt;author&gt;&lt;firstName&gt;M.&lt;/firstName&gt;&lt;lastName&gt;Lynskey&lt;/lastName&gt;&lt;/author&gt;&lt;author&gt;&lt;firstName&gt;K.&lt;/firstName&gt;&lt;lastName&gt;Mann&lt;/lastName&gt;&lt;/author&gt;&lt;author&gt;&lt;firstName&gt;R. J.&lt;/firstName&gt;&lt;lastName&gt;Neuman&lt;/lastName&gt;&lt;/author&gt;&lt;author&gt;&lt;firstName&gt;M. M.&lt;/firstName&gt;&lt;lastName&gt;Nothen&lt;/lastName&gt;&lt;/author&gt;&lt;author&gt;&lt;firstName&gt;J. I.&lt;/firstName&gt;&lt;middleNames&gt;Jr&lt;/middleNames&gt;&lt;lastName&gt;Nurnberger&lt;/lastName&gt;&lt;/author&gt;&lt;author&gt;&lt;firstName&gt;B.&lt;/firstName&gt;&lt;lastName&gt;Porjesz&lt;/lastName&gt;&lt;/author&gt;&lt;author&gt;&lt;firstName&gt;M.&lt;/firstName&gt;&lt;lastName&gt;Ridinger&lt;/lastName&gt;&lt;/author&gt;&lt;author&gt;&lt;firstName&gt;N. L.&lt;/firstName&gt;&lt;lastName&gt;Saccone&lt;/lastName&gt;&lt;/author&gt;&lt;author&gt;&lt;firstName&gt;S. F.&lt;/firstName&gt;&lt;lastName&gt;Saccone&lt;/lastName&gt;&lt;/author&gt;&lt;author&gt;&lt;firstName&gt;M. A.&lt;/firstName&gt;&lt;lastName&gt;Schuckit&lt;/lastName&gt;&lt;/author&gt;&lt;author&gt;&lt;firstName&gt;J. A.&lt;/firstName&gt;&lt;lastName&gt;Tischfield&lt;/lastName&gt;&lt;/author&gt;&lt;author&gt;&lt;firstName&gt;J. C.&lt;/firstName&gt;&lt;lastName&gt;Wang&lt;/lastName&gt;&lt;/author&gt;&lt;author&gt;&lt;firstName&gt;M.&lt;/firstName&gt;&lt;lastName&gt;Rietschel&lt;/lastName&gt;&lt;/author&gt;&lt;author&gt;&lt;firstName&gt;A. M.&lt;/firstName&gt;&lt;lastName&gt;Goate&lt;/lastName&gt;&lt;/author&gt;&lt;author&gt;&lt;firstName&gt;J. P.&lt;/firstName&gt;&lt;lastName&gt;Rice&lt;/lastName&gt;&lt;/author&gt;&lt;/authors&gt;&lt;/publication&gt;&lt;/publications&gt;&lt;cites&gt;&lt;/cites&gt;&lt;/citation&gt;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eastAsiaTheme="minorEastAsia" w:cs="Cambria"/>
          <w:color w:val="auto"/>
          <w:vertAlign w:val="superscript"/>
        </w:rPr>
        <w:t>1</w:t>
      </w:r>
      <w:r>
        <w:fldChar w:fldCharType="end"/>
      </w:r>
      <w:r w:rsidRPr="00AF4F9F">
        <w:t xml:space="preserve">.  We analyzed 391,003 SNPs with a minor allele frequency (MAF) &gt; 5% in populations of European descent, according to the human genome assembly build 37.1.  </w:t>
      </w:r>
    </w:p>
    <w:p w14:paraId="43C5A391" w14:textId="77777777" w:rsidR="0085751E" w:rsidRPr="00AF4F9F" w:rsidRDefault="0085751E" w:rsidP="0085751E">
      <w:pPr>
        <w:spacing w:line="480" w:lineRule="auto"/>
      </w:pPr>
    </w:p>
    <w:p w14:paraId="1020B903" w14:textId="27A0D9AB" w:rsidR="0085751E" w:rsidRDefault="0085751E" w:rsidP="0085751E">
      <w:pPr>
        <w:spacing w:line="480" w:lineRule="auto"/>
      </w:pPr>
      <w:r w:rsidRPr="00AF4F9F">
        <w:rPr>
          <w:rFonts w:ascii="Cambria Bold" w:hAnsi="Cambria Bold"/>
        </w:rPr>
        <w:t xml:space="preserve">OZALC-NAG. </w:t>
      </w:r>
      <w:r w:rsidRPr="00AF4F9F">
        <w:t xml:space="preserve">Genotyping was conducted on </w:t>
      </w:r>
      <w:proofErr w:type="spellStart"/>
      <w:r w:rsidRPr="00AF4F9F">
        <w:t>Illumina</w:t>
      </w:r>
      <w:proofErr w:type="spellEnd"/>
      <w:r w:rsidRPr="00AF4F9F">
        <w:t xml:space="preserve"> platforms, including the Human 317K</w:t>
      </w:r>
      <w:proofErr w:type="gramStart"/>
      <w:r w:rsidRPr="00AF4F9F">
        <w:t>,  the</w:t>
      </w:r>
      <w:proofErr w:type="gramEnd"/>
      <w:r w:rsidRPr="00AF4F9F">
        <w:t xml:space="preserve"> Human CNV370-Quadv3, and the Human 610-Quad.  A detailed </w:t>
      </w:r>
      <w:r w:rsidRPr="00AF4F9F">
        <w:lastRenderedPageBreak/>
        <w:t xml:space="preserve">description of the genotypic data, data cleaning and </w:t>
      </w:r>
      <w:proofErr w:type="gramStart"/>
      <w:r w:rsidRPr="00AF4F9F">
        <w:t>quality-control</w:t>
      </w:r>
      <w:proofErr w:type="gramEnd"/>
      <w:r w:rsidRPr="00AF4F9F">
        <w:t xml:space="preserve"> measures is available in</w:t>
      </w:r>
      <w:r w:rsidR="00E75DC5" w:rsidRPr="00E75DC5">
        <w:rPr>
          <w:vertAlign w:val="superscript"/>
        </w:rPr>
        <w:t>2</w:t>
      </w:r>
      <w:r w:rsidRPr="00AF4F9F">
        <w:t xml:space="preserve">.  We analyzed the SNPs genotyped in at least 2000 subjects, and with a MAF &gt; 5%. Employing the human genome assembly build 37.1, a total of 154,477 SNPs met these criteria.  All of these SNPs were also present on the </w:t>
      </w:r>
      <w:proofErr w:type="spellStart"/>
      <w:r w:rsidRPr="00AF4F9F">
        <w:t>Illumina</w:t>
      </w:r>
      <w:proofErr w:type="spellEnd"/>
      <w:r w:rsidRPr="00AF4F9F">
        <w:t xml:space="preserve"> Human 1M platform.  We extended the set of SNPs analyzed to match the ones evaluated </w:t>
      </w:r>
      <w:r>
        <w:t>on</w:t>
      </w:r>
      <w:r w:rsidRPr="00AF4F9F">
        <w:t xml:space="preserve"> the </w:t>
      </w:r>
      <w:proofErr w:type="spellStart"/>
      <w:r w:rsidRPr="00AF4F9F">
        <w:t>Illumina</w:t>
      </w:r>
      <w:proofErr w:type="spellEnd"/>
      <w:r w:rsidRPr="00AF4F9F">
        <w:t xml:space="preserve"> Human 1M by including imput</w:t>
      </w:r>
      <w:r>
        <w:t>ing</w:t>
      </w:r>
      <w:r w:rsidRPr="00AF4F9F">
        <w:t xml:space="preserve"> SNPs.  Imputation was performed using MaCH</w:t>
      </w:r>
      <w:r w:rsidR="00E75DC5" w:rsidRPr="00E75DC5">
        <w:rPr>
          <w:vertAlign w:val="superscript"/>
        </w:rPr>
        <w:t>3</w:t>
      </w:r>
      <w:r w:rsidRPr="00AF4F9F">
        <w:t xml:space="preserve"> and </w:t>
      </w:r>
      <w:proofErr w:type="spellStart"/>
      <w:r w:rsidRPr="00AF4F9F">
        <w:t>HapMap</w:t>
      </w:r>
      <w:proofErr w:type="spellEnd"/>
      <w:r w:rsidRPr="00AF4F9F">
        <w:t xml:space="preserve"> samples of European ancestry (CEU; build 36, release 22) as </w:t>
      </w:r>
      <w:r>
        <w:t xml:space="preserve">the </w:t>
      </w:r>
      <w:r w:rsidRPr="00AF4F9F">
        <w:t>reference population</w:t>
      </w:r>
      <w:r w:rsidR="00E75DC5" w:rsidRPr="00E75DC5">
        <w:rPr>
          <w:vertAlign w:val="superscript"/>
        </w:rPr>
        <w:t>2</w:t>
      </w:r>
      <w:r w:rsidRPr="00AF4F9F">
        <w:t xml:space="preserve">. </w:t>
      </w:r>
    </w:p>
    <w:p w14:paraId="52665891" w14:textId="77777777" w:rsidR="0085751E" w:rsidRPr="00AF4F9F" w:rsidRDefault="0085751E" w:rsidP="0085751E">
      <w:pPr>
        <w:spacing w:line="480" w:lineRule="auto"/>
      </w:pPr>
    </w:p>
    <w:p w14:paraId="3B60A085" w14:textId="2F992534" w:rsidR="0085751E" w:rsidRPr="00AF4F9F" w:rsidRDefault="0085751E" w:rsidP="0085751E">
      <w:pPr>
        <w:spacing w:line="480" w:lineRule="auto"/>
      </w:pPr>
      <w:r w:rsidRPr="00AF4F9F">
        <w:rPr>
          <w:rFonts w:ascii="Cambria Bold" w:hAnsi="Cambria Bold"/>
        </w:rPr>
        <w:t xml:space="preserve">ARIC.  </w:t>
      </w:r>
      <w:r w:rsidRPr="00AF4F9F">
        <w:t xml:space="preserve">Genotyping was performed using the </w:t>
      </w:r>
      <w:proofErr w:type="spellStart"/>
      <w:r w:rsidRPr="00AF4F9F">
        <w:t>Affymetrix</w:t>
      </w:r>
      <w:proofErr w:type="spellEnd"/>
      <w:r w:rsidRPr="00AF4F9F">
        <w:t xml:space="preserve"> Genome-Wide Human SNP Array 6.0. Data cleaning and quality-control standards are described elsewhere: </w:t>
      </w:r>
      <w:r>
        <w:fldChar w:fldCharType="begin"/>
      </w:r>
      <w:r>
        <w:instrText xml:space="preserve"> ADDIN PAPERS2_CITATIONS &lt;citation&gt;&lt;uuid&gt;13D292FC-8B5F-4532-BA1A-68ABEE632DE3&lt;/uuid&gt;&lt;priority&gt;14&lt;/priority&gt;&lt;publications&gt;&lt;publication&gt;&lt;uuid&gt;FC787FB2-3320-4D67-9B5F-F68C30C0E2BE&lt;/uuid&gt;&lt;volume&gt;34&lt;/volume&gt;&lt;doi&gt;10.1002/gepi.20525&lt;/doi&gt;&lt;startpage&gt;665&lt;/startpage&gt;&lt;publication_date&gt;99201011001200000000220000&lt;/publication_date&gt;&lt;url&gt;http://eutils.ncbi.nlm.nih.gov/entrez/eutils/elink.fcgi?dbfrom=pubmed&amp;amp;id=20839289&amp;amp;retmode=ref&amp;amp;cmd=prlinks&lt;/url&gt;&lt;type&gt;400&lt;/type&gt;&lt;title&gt;Impact of repeated measures and sample selection on genome-wide association studies of fasting glucose.&lt;/title&gt;&lt;location&gt;200,9,42.0533124,-87.6727688&lt;/location&gt;&lt;institution&gt;Department of Preventive Medicine, Northwestern University Feinberg School of Medicine, Chicago, Illinois, USA. ljrtorvik@northwestern.edu&lt;/institution&gt;&lt;number&gt;7&lt;/number&gt;&lt;subtype&gt;400&lt;/subtype&gt;&lt;endpage&gt;673&lt;/endpage&gt;&lt;bundle&gt;&lt;publication&gt;&lt;publisher&gt;NIH Public Access&lt;/publisher&gt;&lt;title&gt;Genetic Epidemiology&lt;/title&gt;&lt;type&gt;-100&lt;/type&gt;&lt;subtype&gt;-100&lt;/subtype&gt;&lt;uuid&gt;48E67111-FC9B-4304-96EA-4F6890365509&lt;/uuid&gt;&lt;/publication&gt;&lt;/bundle&gt;&lt;authors&gt;&lt;author&gt;&lt;firstName&gt;Laura&lt;/firstName&gt;&lt;middleNames&gt;J&lt;/middleNames&gt;&lt;lastName&gt;Rasmussen-Torvik&lt;/lastName&gt;&lt;/author&gt;&lt;author&gt;&lt;firstName&gt;Alvaro&lt;/firstName&gt;&lt;lastName&gt;Alonso&lt;/lastName&gt;&lt;/author&gt;&lt;author&gt;&lt;firstName&gt;Man&lt;/firstName&gt;&lt;lastName&gt;Li&lt;/lastName&gt;&lt;/author&gt;&lt;author&gt;&lt;firstName&gt;Wen&lt;/firstName&gt;&lt;lastName&gt;Kao&lt;/lastName&gt;&lt;/author&gt;&lt;author&gt;&lt;firstName&gt;Anna&lt;/firstName&gt;&lt;lastName&gt;Köttgen&lt;/lastName&gt;&lt;/author&gt;&lt;author&gt;&lt;firstName&gt;Yu&lt;/firstName&gt;&lt;lastName&gt;Yan&lt;/lastName&gt;&lt;/author&gt;&lt;author&gt;&lt;firstName&gt;David&lt;/firstName&gt;&lt;lastName&gt;Couper&lt;/lastName&gt;&lt;/author&gt;&lt;author&gt;&lt;firstName&gt;Eric&lt;/firstName&gt;&lt;lastName&gt;Boerwinkle&lt;/lastName&gt;&lt;/author&gt;&lt;author&gt;&lt;firstName&gt;Suzette&lt;/firstName&gt;&lt;middleNames&gt;J&lt;/middleNames&gt;&lt;lastName&gt;Bielinski&lt;/lastName&gt;&lt;/author&gt;&lt;author&gt;&lt;firstName&gt;James&lt;/firstName&gt;&lt;middleNames&gt;S&lt;/middleNames&gt;&lt;lastName&gt;Pankow&lt;/lastName&gt;&lt;/author&gt;&lt;/authors&gt;&lt;/publication&gt;&lt;/publications&gt;&lt;cites&gt;&lt;/cites&gt;&lt;/citation&gt;</w:instrText>
      </w:r>
      <w:r>
        <w:fldChar w:fldCharType="separate"/>
      </w:r>
      <w:r w:rsidR="00420077">
        <w:rPr>
          <w:rFonts w:eastAsiaTheme="minorEastAsia" w:cs="Cambria"/>
          <w:color w:val="auto"/>
          <w:vertAlign w:val="superscript"/>
        </w:rPr>
        <w:t>4</w:t>
      </w:r>
      <w:r>
        <w:fldChar w:fldCharType="end"/>
      </w:r>
      <w:r w:rsidRPr="00AF4F9F">
        <w:t>.  We analyzed 96,902 SNPs with a MAF &gt; 5% in European descent populations</w:t>
      </w:r>
      <w:r>
        <w:t xml:space="preserve"> that were also included in the </w:t>
      </w:r>
      <w:proofErr w:type="spellStart"/>
      <w:r w:rsidRPr="00AF4F9F">
        <w:t>Illumina</w:t>
      </w:r>
      <w:proofErr w:type="spellEnd"/>
      <w:r w:rsidRPr="00AF4F9F">
        <w:t xml:space="preserve"> Human1M.  </w:t>
      </w:r>
      <w:r>
        <w:t xml:space="preserve">We extended this set of SNP including </w:t>
      </w:r>
      <w:r w:rsidRPr="00AF4F9F">
        <w:t xml:space="preserve">imputed SNPs to match the ones genotyped in the </w:t>
      </w:r>
      <w:proofErr w:type="spellStart"/>
      <w:r w:rsidRPr="00AF4F9F">
        <w:t>Illumina</w:t>
      </w:r>
      <w:proofErr w:type="spellEnd"/>
      <w:r w:rsidRPr="00AF4F9F">
        <w:t xml:space="preserve"> Human 1M chip. Imputation was performed at the GENEVA coordination center</w:t>
      </w:r>
      <w:r>
        <w:fldChar w:fldCharType="begin"/>
      </w:r>
      <w:r>
        <w:instrText xml:space="preserve"> ADDIN PAPERS2_CITATIONS &lt;citation&gt;&lt;uuid&gt;E098A43D-3C14-49DA-9F24-616BBB1B2408&lt;/uuid&gt;&lt;priority&gt;16&lt;/priority&gt;&lt;publications&gt;&lt;publication&gt;&lt;uuid&gt;08977083-B563-4C50-9190-AD54DBCF8CC2&lt;/uuid&gt;&lt;volume&gt;34&lt;/volume&gt;&lt;doi&gt;10.1002/gepi.20492&lt;/doi&gt;&lt;startpage&gt;364&lt;/startpage&gt;&lt;publication_date&gt;99201001201200000000222000&lt;/publication_date&gt;&lt;url&gt;http://doi.wiley.com/10.1002/gepi.20492&lt;/url&gt;&lt;type&gt;400&lt;/type&gt;&lt;title&gt;The gene, environment association studies consortium (GENEVA): maximizing the knowledge obtained from GWAS by collaboration across studies of multiple conditions&lt;/title&gt;&lt;publisher&gt;NIH Public Access&lt;/publisher&gt;&lt;number&gt;4&lt;/number&gt;&lt;subtype&gt;400&lt;/subtype&gt;&lt;endpage&gt;372&lt;/endpage&gt;&lt;bundle&gt;&lt;publication&gt;&lt;publisher&gt;NIH Public Access&lt;/publisher&gt;&lt;title&gt;Genetic Epidemiology&lt;/title&gt;&lt;type&gt;-100&lt;/type&gt;&lt;subtype&gt;-100&lt;/subtype&gt;&lt;uuid&gt;48E67111-FC9B-4304-96EA-4F6890365509&lt;/uuid&gt;&lt;/publication&gt;&lt;/bundle&gt;&lt;authors&gt;&lt;author&gt;&lt;firstName&gt;Marilyn&lt;/firstName&gt;&lt;middleNames&gt;C&lt;/middleNames&gt;&lt;lastName&gt;Cornelis&lt;/lastName&gt;&lt;/author&gt;&lt;author&gt;&lt;firstName&gt;Arpana&lt;/firstName&gt;&lt;lastName&gt;Agrawal&lt;/lastName&gt;&lt;/author&gt;&lt;author&gt;&lt;firstName&gt;John&lt;/firstName&gt;&lt;middleNames&gt;W&lt;/middleNames&gt;&lt;lastName&gt;Cole&lt;/lastName&gt;&lt;/author&gt;&lt;author&gt;&lt;firstName&gt;Nadia&lt;/firstName&gt;&lt;middleNames&gt;N&lt;/middleNames&gt;&lt;lastName&gt;Hansel&lt;/lastName&gt;&lt;/author&gt;&lt;author&gt;&lt;firstName&gt;Kathleen&lt;/firstName&gt;&lt;middleNames&gt;C&lt;/middleNames&gt;&lt;lastName&gt;Barnes&lt;/lastName&gt;&lt;/author&gt;&lt;author&gt;&lt;firstName&gt;Terri&lt;/firstName&gt;&lt;middleNames&gt;H&lt;/middleNames&gt;&lt;lastName&gt;Beaty&lt;/lastName&gt;&lt;/author&gt;&lt;author&gt;&lt;firstName&gt;Siiri&lt;/firstName&gt;&lt;middleNames&gt;N&lt;/middleNames&gt;&lt;lastName&gt;Bennett&lt;/lastName&gt;&lt;/author&gt;&lt;author&gt;&lt;firstName&gt;Laura&lt;/firstName&gt;&lt;middleNames&gt;J&lt;/middleNames&gt;&lt;lastName&gt;Bierut&lt;/lastName&gt;&lt;/author&gt;&lt;author&gt;&lt;firstName&gt;Eric&lt;/firstName&gt;&lt;lastName&gt;Boerwinkle&lt;/lastName&gt;&lt;/author&gt;&lt;author&gt;&lt;firstName&gt;Kimberly&lt;/firstName&gt;&lt;middleNames&gt;F&lt;/middleNames&gt;&lt;lastName&gt;Doheny&lt;/lastName&gt;&lt;/author&gt;&lt;author&gt;&lt;firstName&gt;Bjarke&lt;/firstName&gt;&lt;lastName&gt;Feenstra&lt;/lastName&gt;&lt;/author&gt;&lt;author&gt;&lt;firstName&gt;Eleanor&lt;/firstName&gt;&lt;lastName&gt;Feingold&lt;/lastName&gt;&lt;/author&gt;&lt;author&gt;&lt;firstName&gt;Myriam&lt;/firstName&gt;&lt;lastName&gt;Fornage&lt;/lastName&gt;&lt;/author&gt;&lt;author&gt;&lt;firstName&gt;Christopher&lt;/firstName&gt;&lt;middleNames&gt;A&lt;/middleNames&gt;&lt;lastName&gt;Haiman&lt;/lastName&gt;&lt;/author&gt;&lt;author&gt;&lt;firstName&gt;Emily&lt;/firstName&gt;&lt;middleNames&gt;L&lt;/middleNames&gt;&lt;lastName&gt;Harris&lt;/lastName&gt;&lt;/author&gt;&lt;author&gt;&lt;firstName&gt;M&lt;/firstName&gt;&lt;middleNames&gt;Geoffrey&lt;/middleNames&gt;&lt;lastName&gt;Hayes&lt;/lastName&gt;&lt;/author&gt;&lt;author&gt;&lt;firstName&gt;John&lt;/firstName&gt;&lt;middleNames&gt;A&lt;/middleNames&gt;&lt;lastName&gt;Heit&lt;/lastName&gt;&lt;/author&gt;&lt;author&gt;&lt;firstName&gt;Frank&lt;/firstName&gt;&lt;middleNames&gt;B&lt;/middleNames&gt;&lt;lastName&gt;Hu&lt;/lastName&gt;&lt;/author&gt;&lt;author&gt;&lt;firstName&gt;Jae&lt;/firstName&gt;&lt;middleNames&gt;H&lt;/middleNames&gt;&lt;lastName&gt;Kang&lt;/lastName&gt;&lt;/author&gt;&lt;author&gt;&lt;firstName&gt;Cathy&lt;/firstName&gt;&lt;middleNames&gt;C&lt;/middleNames&gt;&lt;lastName&gt;Laurie&lt;/lastName&gt;&lt;/author&gt;&lt;author&gt;&lt;firstName&gt;Hua&lt;/firstName&gt;&lt;lastName&gt;Ling&lt;/lastName&gt;&lt;/author&gt;&lt;author&gt;&lt;firstName&gt;Teri&lt;/firstName&gt;&lt;middleNames&gt;A&lt;/middleNames&gt;&lt;lastName&gt;Manolio&lt;/lastName&gt;&lt;/author&gt;&lt;author&gt;&lt;firstName&gt;Mary&lt;/firstName&gt;&lt;middleNames&gt;L&lt;/middleNames&gt;&lt;lastName&gt;Marazita&lt;/lastName&gt;&lt;/author&gt;&lt;author&gt;&lt;firstName&gt;Rasika&lt;/firstName&gt;&lt;middleNames&gt;A&lt;/middleNames&gt;&lt;lastName&gt;Mathias&lt;/lastName&gt;&lt;/author&gt;&lt;author&gt;&lt;firstName&gt;Daniel&lt;/firstName&gt;&lt;middleNames&gt;B&lt;/middleNames&gt;&lt;lastName&gt;Mirel&lt;/lastName&gt;&lt;/author&gt;&lt;author&gt;&lt;firstName&gt;Justin&lt;/firstName&gt;&lt;lastName&gt;Paschall&lt;/lastName&gt;&lt;/author&gt;&lt;author&gt;&lt;firstName&gt;Louis&lt;/firstName&gt;&lt;middleNames&gt;R&lt;/middleNames&gt;&lt;lastName&gt;Pasquale&lt;/lastName&gt;&lt;/author&gt;&lt;author&gt;&lt;firstName&gt;Elizabeth&lt;/firstName&gt;&lt;middleNames&gt;W&lt;/middleNames&gt;&lt;lastName&gt;Pugh&lt;/lastName&gt;&lt;/author&gt;&lt;author&gt;&lt;firstName&gt;John&lt;/firstName&gt;&lt;middleNames&gt;P&lt;/middleNames&gt;&lt;lastName&gt;Rice&lt;/lastName&gt;&lt;/author&gt;&lt;author&gt;&lt;firstName&gt;Jenna&lt;/firstName&gt;&lt;lastName&gt;Udren&lt;/lastName&gt;&lt;/author&gt;&lt;author&gt;&lt;lastName&gt;Dam&lt;/lastName&gt;&lt;nonDroppingParticle&gt;van&lt;/nonDroppingParticle&gt;&lt;firstName&gt;Rob&lt;/firstName&gt;&lt;middleNames&gt;M&lt;/middleNames&gt;&lt;/author&gt;&lt;author&gt;&lt;firstName&gt;Xiaojing&lt;/firstName&gt;&lt;lastName&gt;Wang&lt;/lastName&gt;&lt;/author&gt;&lt;author&gt;&lt;firstName&gt;Janey&lt;/firstName&gt;&lt;middleNames&gt;L&lt;/middleNames&gt;&lt;lastName&gt;Wiggs&lt;/lastName&gt;&lt;/author&gt;&lt;author&gt;&lt;firstName&gt;Kayleen&lt;/firstName&gt;&lt;lastName&gt;Williams&lt;/lastName&gt;&lt;/author&gt;&lt;author&gt;&lt;firstName&gt;Kai&lt;/firstName&gt;&lt;lastName&gt;Yu&lt;/lastName&gt;&lt;/author&gt;&lt;/authors&gt;&lt;/publication&gt;&lt;/publications&gt;&lt;cites&gt;&lt;/cites&gt;&lt;/citation&gt;</w:instrText>
      </w:r>
      <w:r>
        <w:fldChar w:fldCharType="separate"/>
      </w:r>
      <w:r w:rsidR="005F318A">
        <w:rPr>
          <w:rFonts w:eastAsiaTheme="minorEastAsia" w:cs="Cambria"/>
          <w:color w:val="auto"/>
          <w:vertAlign w:val="superscript"/>
        </w:rPr>
        <w:t>5</w:t>
      </w:r>
      <w:r>
        <w:fldChar w:fldCharType="end"/>
      </w:r>
      <w:r w:rsidRPr="00AF4F9F">
        <w:t>, executing  BEAGLE version 3.3</w:t>
      </w:r>
      <w:r>
        <w:fldChar w:fldCharType="begin"/>
      </w:r>
      <w:r>
        <w:instrText xml:space="preserve"> ADDIN PAPERS2_CITATIONS &lt;citation&gt;&lt;uuid&gt;912EAAAC-E1E8-4813-99F6-9D7B6A1BD5E2&lt;/uuid&gt;&lt;priority&gt;17&lt;/priority&gt;&lt;publications&gt;&lt;publication&gt;&lt;uuid&gt;871C59F6-4BD7-405E-9912-95113C9446B9&lt;/uuid&gt;&lt;volume&gt;84&lt;/volume&gt;&lt;accepted_date&gt;99200901091200000000222000&lt;/accepted_date&gt;&lt;doi&gt;10.1016/j.ajhg.2009.01.005&lt;/doi&gt;&lt;startpage&gt;210&lt;/startpage&gt;&lt;revision_date&gt;99200901081200000000222000&lt;/revision_date&gt;&lt;publication_date&gt;99200902001200000000220000&lt;/publication_date&gt;&lt;url&gt;http://eutils.ncbi.nlm.nih.gov/entrez/eutils/elink.fcgi?dbfrom=pubmed&amp;amp;id=19200528&amp;amp;retmode=ref&amp;amp;cmd=prlinks&lt;/url&gt;&lt;type&gt;400&lt;/type&gt;&lt;title&gt;A unified approach to genotype imputation and haplotype-phase inference for large data sets of trios and unrelated individuals.&lt;/title&gt;&lt;location&gt;602,0,0,0&lt;/location&gt;&lt;submission_date&gt;99200810281200000000222000&lt;/submission_date&gt;&lt;number&gt;2&lt;/number&gt;&lt;institution&gt;Department of Statistics, University of Auckland, Auckland 1142, New Zealand. b.browning@auckland.ac.nz&lt;/institution&gt;&lt;subtype&gt;400&lt;/subtype&gt;&lt;endpage&gt;223&lt;/endpage&gt;&lt;bundle&gt;&lt;publication&gt;&lt;publisher&gt;The American Society of Human Genetics&lt;/publisher&gt;&lt;title&gt;Am J Hum Genet&lt;/title&gt;&lt;type&gt;-100&lt;/type&gt;&lt;subtype&gt;-100&lt;/subtype&gt;&lt;uuid&gt;99B8A500-32F4-4AC8-A517-F096CC703F9E&lt;/uuid&gt;&lt;/publication&gt;&lt;/bundle&gt;&lt;authors&gt;&lt;author&gt;&lt;firstName&gt;Brian&lt;/firstName&gt;&lt;middleNames&gt;L&lt;/middleNames&gt;&lt;lastName&gt;Browning&lt;/lastName&gt;&lt;/author&gt;&lt;author&gt;&lt;firstName&gt;Sharon&lt;/firstName&gt;&lt;middleNames&gt;R&lt;/middleNames&gt;&lt;lastName&gt;Browning&lt;/lastName&gt;&lt;/author&gt;&lt;/authors&gt;&lt;/publication&gt;&lt;/publications&gt;&lt;cites&gt;&lt;/cites&gt;&lt;/citation&gt;</w:instrText>
      </w:r>
      <w:r>
        <w:fldChar w:fldCharType="separate"/>
      </w:r>
      <w:r w:rsidR="002F423F">
        <w:rPr>
          <w:rFonts w:eastAsiaTheme="minorEastAsia" w:cs="Cambria"/>
          <w:color w:val="auto"/>
          <w:vertAlign w:val="superscript"/>
        </w:rPr>
        <w:t>6</w:t>
      </w:r>
      <w:r>
        <w:fldChar w:fldCharType="end"/>
      </w:r>
      <w:r w:rsidRPr="00AF4F9F">
        <w:t xml:space="preserve"> on the full set of SNPs genotyped and employing </w:t>
      </w:r>
      <w:proofErr w:type="spellStart"/>
      <w:r w:rsidRPr="00AF4F9F">
        <w:t>HapMap</w:t>
      </w:r>
      <w:proofErr w:type="spellEnd"/>
      <w:r w:rsidRPr="004B0AC3">
        <w:t xml:space="preserve"> Phase 3 samples of European ancestry (</w:t>
      </w:r>
      <w:r w:rsidRPr="00AF4F9F">
        <w:t xml:space="preserve">CEU + TSI) as </w:t>
      </w:r>
      <w:r>
        <w:t xml:space="preserve">the </w:t>
      </w:r>
      <w:r w:rsidRPr="00AF4F9F">
        <w:t>reference population</w:t>
      </w:r>
      <w:r w:rsidR="002F423F" w:rsidRPr="002F423F">
        <w:rPr>
          <w:vertAlign w:val="superscript"/>
        </w:rPr>
        <w:t>7</w:t>
      </w:r>
      <w:r w:rsidRPr="00AF4F9F">
        <w:t xml:space="preserve"> .</w:t>
      </w:r>
    </w:p>
    <w:p w14:paraId="0EF0C1FD" w14:textId="77777777" w:rsidR="0085751E" w:rsidRDefault="0085751E" w:rsidP="0085751E">
      <w:pPr>
        <w:rPr>
          <w:b/>
        </w:rPr>
      </w:pPr>
      <w:bookmarkStart w:id="0" w:name="_GoBack"/>
      <w:bookmarkEnd w:id="0"/>
    </w:p>
    <w:p w14:paraId="454EC33A" w14:textId="77777777" w:rsidR="0085751E" w:rsidRDefault="0085751E" w:rsidP="0085751E">
      <w:pPr>
        <w:rPr>
          <w:b/>
        </w:rPr>
      </w:pPr>
    </w:p>
    <w:p w14:paraId="79A46A5F" w14:textId="77777777" w:rsidR="0085751E" w:rsidRPr="008940A5" w:rsidRDefault="0085751E" w:rsidP="0085751E">
      <w:pPr>
        <w:rPr>
          <w:b/>
        </w:rPr>
      </w:pPr>
      <w:r w:rsidRPr="008940A5">
        <w:rPr>
          <w:b/>
        </w:rPr>
        <w:t>References</w:t>
      </w:r>
    </w:p>
    <w:p w14:paraId="3391CAB4" w14:textId="77777777" w:rsidR="0085751E" w:rsidRDefault="0085751E" w:rsidP="0085751E"/>
    <w:p w14:paraId="7B1A2F88" w14:textId="77777777" w:rsidR="0085751E" w:rsidRDefault="0085751E" w:rsidP="0085751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rPr>
          <w:rFonts w:eastAsiaTheme="minorEastAsia" w:cs="Cambria"/>
          <w:color w:val="auto"/>
        </w:rPr>
        <w:t>1.</w:t>
      </w:r>
      <w:r>
        <w:rPr>
          <w:rFonts w:eastAsiaTheme="minorEastAsia" w:cs="Cambria"/>
          <w:color w:val="auto"/>
        </w:rPr>
        <w:tab/>
      </w:r>
      <w:proofErr w:type="spellStart"/>
      <w:r>
        <w:rPr>
          <w:rFonts w:eastAsiaTheme="minorEastAsia" w:cs="Cambria"/>
          <w:color w:val="auto"/>
        </w:rPr>
        <w:t>Bierut</w:t>
      </w:r>
      <w:proofErr w:type="spellEnd"/>
      <w:r>
        <w:rPr>
          <w:rFonts w:eastAsiaTheme="minorEastAsia" w:cs="Cambria"/>
          <w:color w:val="auto"/>
        </w:rPr>
        <w:t xml:space="preserve"> LJ, </w:t>
      </w:r>
      <w:proofErr w:type="spellStart"/>
      <w:r>
        <w:rPr>
          <w:rFonts w:eastAsiaTheme="minorEastAsia" w:cs="Cambria"/>
          <w:color w:val="auto"/>
        </w:rPr>
        <w:t>Agrawal</w:t>
      </w:r>
      <w:proofErr w:type="spellEnd"/>
      <w:r>
        <w:rPr>
          <w:rFonts w:eastAsiaTheme="minorEastAsia" w:cs="Cambria"/>
          <w:color w:val="auto"/>
        </w:rPr>
        <w:t xml:space="preserve"> A, </w:t>
      </w:r>
      <w:proofErr w:type="spellStart"/>
      <w:r>
        <w:rPr>
          <w:rFonts w:eastAsiaTheme="minorEastAsia" w:cs="Cambria"/>
          <w:color w:val="auto"/>
        </w:rPr>
        <w:t>Bucholz</w:t>
      </w:r>
      <w:proofErr w:type="spellEnd"/>
      <w:r>
        <w:rPr>
          <w:rFonts w:eastAsiaTheme="minorEastAsia" w:cs="Cambria"/>
          <w:color w:val="auto"/>
        </w:rPr>
        <w:t xml:space="preserve"> KK, </w:t>
      </w:r>
      <w:proofErr w:type="spellStart"/>
      <w:r>
        <w:rPr>
          <w:rFonts w:eastAsiaTheme="minorEastAsia" w:cs="Cambria"/>
          <w:color w:val="auto"/>
        </w:rPr>
        <w:t>Doheny</w:t>
      </w:r>
      <w:proofErr w:type="spellEnd"/>
      <w:r>
        <w:rPr>
          <w:rFonts w:eastAsiaTheme="minorEastAsia" w:cs="Cambria"/>
          <w:color w:val="auto"/>
        </w:rPr>
        <w:t xml:space="preserve"> KF, Laurie C, Pugh E, </w:t>
      </w:r>
      <w:r>
        <w:rPr>
          <w:rFonts w:eastAsiaTheme="minorEastAsia" w:cs="Cambria"/>
          <w:i/>
          <w:iCs/>
          <w:color w:val="auto"/>
        </w:rPr>
        <w:t>et al.</w:t>
      </w:r>
      <w:r>
        <w:rPr>
          <w:rFonts w:eastAsiaTheme="minorEastAsia" w:cs="Cambria"/>
          <w:color w:val="auto"/>
        </w:rPr>
        <w:t xml:space="preserve"> </w:t>
      </w:r>
      <w:proofErr w:type="gramStart"/>
      <w:r>
        <w:rPr>
          <w:rFonts w:eastAsiaTheme="minorEastAsia" w:cs="Cambria"/>
          <w:color w:val="auto"/>
        </w:rPr>
        <w:t>A genome-wide association study of alcohol dependence.</w:t>
      </w:r>
      <w:proofErr w:type="gramEnd"/>
      <w:r>
        <w:rPr>
          <w:rFonts w:eastAsiaTheme="minorEastAsia" w:cs="Cambria"/>
          <w:color w:val="auto"/>
        </w:rPr>
        <w:t xml:space="preserve"> </w:t>
      </w:r>
      <w:proofErr w:type="spellStart"/>
      <w:r>
        <w:rPr>
          <w:rFonts w:eastAsiaTheme="minorEastAsia" w:cs="Cambria"/>
          <w:i/>
          <w:iCs/>
          <w:color w:val="auto"/>
        </w:rPr>
        <w:t>Proc</w:t>
      </w:r>
      <w:proofErr w:type="spellEnd"/>
      <w:r>
        <w:rPr>
          <w:rFonts w:eastAsiaTheme="minorEastAsia" w:cs="Cambria"/>
          <w:i/>
          <w:iCs/>
          <w:color w:val="auto"/>
        </w:rPr>
        <w:t xml:space="preserve"> </w:t>
      </w:r>
      <w:proofErr w:type="spellStart"/>
      <w:r>
        <w:rPr>
          <w:rFonts w:eastAsiaTheme="minorEastAsia" w:cs="Cambria"/>
          <w:i/>
          <w:iCs/>
          <w:color w:val="auto"/>
        </w:rPr>
        <w:t>Natl</w:t>
      </w:r>
      <w:proofErr w:type="spellEnd"/>
      <w:r>
        <w:rPr>
          <w:rFonts w:eastAsiaTheme="minorEastAsia" w:cs="Cambria"/>
          <w:i/>
          <w:iCs/>
          <w:color w:val="auto"/>
        </w:rPr>
        <w:t xml:space="preserve"> </w:t>
      </w:r>
      <w:proofErr w:type="spellStart"/>
      <w:r>
        <w:rPr>
          <w:rFonts w:eastAsiaTheme="minorEastAsia" w:cs="Cambria"/>
          <w:i/>
          <w:iCs/>
          <w:color w:val="auto"/>
        </w:rPr>
        <w:t>Acad</w:t>
      </w:r>
      <w:proofErr w:type="spellEnd"/>
      <w:r>
        <w:rPr>
          <w:rFonts w:eastAsiaTheme="minorEastAsia" w:cs="Cambria"/>
          <w:i/>
          <w:iCs/>
          <w:color w:val="auto"/>
        </w:rPr>
        <w:t xml:space="preserve"> </w:t>
      </w:r>
      <w:proofErr w:type="spellStart"/>
      <w:r>
        <w:rPr>
          <w:rFonts w:eastAsiaTheme="minorEastAsia" w:cs="Cambria"/>
          <w:i/>
          <w:iCs/>
          <w:color w:val="auto"/>
        </w:rPr>
        <w:t>Sci</w:t>
      </w:r>
      <w:proofErr w:type="spellEnd"/>
      <w:r>
        <w:rPr>
          <w:rFonts w:eastAsiaTheme="minorEastAsia" w:cs="Cambria"/>
          <w:i/>
          <w:iCs/>
          <w:color w:val="auto"/>
        </w:rPr>
        <w:t xml:space="preserve"> USA</w:t>
      </w:r>
      <w:r>
        <w:rPr>
          <w:rFonts w:eastAsiaTheme="minorEastAsia" w:cs="Cambria"/>
          <w:color w:val="auto"/>
        </w:rPr>
        <w:t xml:space="preserve"> 2010 Mar. 16; </w:t>
      </w:r>
      <w:r>
        <w:rPr>
          <w:rFonts w:eastAsiaTheme="minorEastAsia" w:cs="Cambria"/>
          <w:b/>
          <w:bCs/>
          <w:color w:val="auto"/>
        </w:rPr>
        <w:t>107</w:t>
      </w:r>
      <w:r>
        <w:rPr>
          <w:rFonts w:eastAsiaTheme="minorEastAsia" w:cs="Cambria"/>
          <w:color w:val="auto"/>
        </w:rPr>
        <w:t xml:space="preserve">: 5082–5087. </w:t>
      </w:r>
    </w:p>
    <w:p w14:paraId="68C1904E" w14:textId="0CD195A2" w:rsidR="0085751E" w:rsidRDefault="002F423F" w:rsidP="0085751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2</w:t>
      </w:r>
      <w:r w:rsidR="0085751E">
        <w:rPr>
          <w:rFonts w:eastAsiaTheme="minorEastAsia" w:cs="Cambria"/>
          <w:color w:val="auto"/>
        </w:rPr>
        <w:t>.</w:t>
      </w:r>
      <w:r w:rsidR="0085751E">
        <w:rPr>
          <w:rFonts w:eastAsiaTheme="minorEastAsia" w:cs="Cambria"/>
          <w:color w:val="auto"/>
        </w:rPr>
        <w:tab/>
      </w:r>
      <w:proofErr w:type="spellStart"/>
      <w:r w:rsidR="0085751E">
        <w:rPr>
          <w:rFonts w:eastAsiaTheme="minorEastAsia" w:cs="Cambria"/>
          <w:color w:val="auto"/>
        </w:rPr>
        <w:t>Medland</w:t>
      </w:r>
      <w:proofErr w:type="spellEnd"/>
      <w:r w:rsidR="0085751E">
        <w:rPr>
          <w:rFonts w:eastAsiaTheme="minorEastAsia" w:cs="Cambria"/>
          <w:color w:val="auto"/>
        </w:rPr>
        <w:t xml:space="preserve"> SE, </w:t>
      </w:r>
      <w:proofErr w:type="spellStart"/>
      <w:r w:rsidR="0085751E">
        <w:rPr>
          <w:rFonts w:eastAsiaTheme="minorEastAsia" w:cs="Cambria"/>
          <w:color w:val="auto"/>
        </w:rPr>
        <w:t>Nyholt</w:t>
      </w:r>
      <w:proofErr w:type="spellEnd"/>
      <w:r w:rsidR="0085751E">
        <w:rPr>
          <w:rFonts w:eastAsiaTheme="minorEastAsia" w:cs="Cambria"/>
          <w:color w:val="auto"/>
        </w:rPr>
        <w:t xml:space="preserve"> DR, Painter JN, </w:t>
      </w:r>
      <w:proofErr w:type="spellStart"/>
      <w:r w:rsidR="0085751E">
        <w:rPr>
          <w:rFonts w:eastAsiaTheme="minorEastAsia" w:cs="Cambria"/>
          <w:color w:val="auto"/>
        </w:rPr>
        <w:t>McEvoy</w:t>
      </w:r>
      <w:proofErr w:type="spellEnd"/>
      <w:r w:rsidR="0085751E">
        <w:rPr>
          <w:rFonts w:eastAsiaTheme="minorEastAsia" w:cs="Cambria"/>
          <w:color w:val="auto"/>
        </w:rPr>
        <w:t xml:space="preserve"> BP, McRae AF, Zhu G, </w:t>
      </w:r>
      <w:r w:rsidR="0085751E">
        <w:rPr>
          <w:rFonts w:eastAsiaTheme="minorEastAsia" w:cs="Cambria"/>
          <w:i/>
          <w:iCs/>
          <w:color w:val="auto"/>
        </w:rPr>
        <w:t>et al.</w:t>
      </w:r>
      <w:r w:rsidR="0085751E">
        <w:rPr>
          <w:rFonts w:eastAsiaTheme="minorEastAsia" w:cs="Cambria"/>
          <w:color w:val="auto"/>
        </w:rPr>
        <w:t xml:space="preserve"> Common variants in the </w:t>
      </w:r>
      <w:proofErr w:type="spellStart"/>
      <w:r w:rsidR="0085751E">
        <w:rPr>
          <w:rFonts w:eastAsiaTheme="minorEastAsia" w:cs="Cambria"/>
          <w:color w:val="auto"/>
        </w:rPr>
        <w:t>trichohyalin</w:t>
      </w:r>
      <w:proofErr w:type="spellEnd"/>
      <w:r w:rsidR="0085751E">
        <w:rPr>
          <w:rFonts w:eastAsiaTheme="minorEastAsia" w:cs="Cambria"/>
          <w:color w:val="auto"/>
        </w:rPr>
        <w:t xml:space="preserve"> gene are associated with straight hair in Europeans. </w:t>
      </w:r>
      <w:r w:rsidR="0085751E">
        <w:rPr>
          <w:rFonts w:eastAsiaTheme="minorEastAsia" w:cs="Cambria"/>
          <w:i/>
          <w:iCs/>
          <w:color w:val="auto"/>
        </w:rPr>
        <w:t>Am J Hum Genet</w:t>
      </w:r>
      <w:r w:rsidR="0085751E">
        <w:rPr>
          <w:rFonts w:eastAsiaTheme="minorEastAsia" w:cs="Cambria"/>
          <w:color w:val="auto"/>
        </w:rPr>
        <w:t xml:space="preserve"> 2009 Nov.</w:t>
      </w:r>
      <w:proofErr w:type="gramStart"/>
      <w:r w:rsidR="0085751E">
        <w:rPr>
          <w:rFonts w:eastAsiaTheme="minorEastAsia" w:cs="Cambria"/>
          <w:color w:val="auto"/>
        </w:rPr>
        <w:t>;</w:t>
      </w:r>
      <w:proofErr w:type="gramEnd"/>
      <w:r w:rsidR="0085751E">
        <w:rPr>
          <w:rFonts w:eastAsiaTheme="minorEastAsia" w:cs="Cambria"/>
          <w:color w:val="auto"/>
        </w:rPr>
        <w:t xml:space="preserve"> </w:t>
      </w:r>
      <w:r w:rsidR="0085751E">
        <w:rPr>
          <w:rFonts w:eastAsiaTheme="minorEastAsia" w:cs="Cambria"/>
          <w:b/>
          <w:bCs/>
          <w:color w:val="auto"/>
        </w:rPr>
        <w:t>85</w:t>
      </w:r>
      <w:r w:rsidR="0085751E">
        <w:rPr>
          <w:rFonts w:eastAsiaTheme="minorEastAsia" w:cs="Cambria"/>
          <w:color w:val="auto"/>
        </w:rPr>
        <w:t xml:space="preserve">: 750–755. </w:t>
      </w:r>
    </w:p>
    <w:p w14:paraId="64C9FCF1" w14:textId="6E2CF4EA" w:rsidR="0085751E" w:rsidRDefault="002F423F" w:rsidP="0085751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3</w:t>
      </w:r>
      <w:r w:rsidR="0085751E">
        <w:rPr>
          <w:rFonts w:eastAsiaTheme="minorEastAsia" w:cs="Cambria"/>
          <w:color w:val="auto"/>
        </w:rPr>
        <w:t>.</w:t>
      </w:r>
      <w:r w:rsidR="0085751E">
        <w:rPr>
          <w:rFonts w:eastAsiaTheme="minorEastAsia" w:cs="Cambria"/>
          <w:color w:val="auto"/>
        </w:rPr>
        <w:tab/>
        <w:t xml:space="preserve">Li Y, </w:t>
      </w:r>
      <w:proofErr w:type="spellStart"/>
      <w:r w:rsidR="0085751E">
        <w:rPr>
          <w:rFonts w:eastAsiaTheme="minorEastAsia" w:cs="Cambria"/>
          <w:color w:val="auto"/>
        </w:rPr>
        <w:t>Willer</w:t>
      </w:r>
      <w:proofErr w:type="spellEnd"/>
      <w:r w:rsidR="0085751E">
        <w:rPr>
          <w:rFonts w:eastAsiaTheme="minorEastAsia" w:cs="Cambria"/>
          <w:color w:val="auto"/>
        </w:rPr>
        <w:t xml:space="preserve"> CJ, Ding J, </w:t>
      </w:r>
      <w:proofErr w:type="spellStart"/>
      <w:r w:rsidR="0085751E">
        <w:rPr>
          <w:rFonts w:eastAsiaTheme="minorEastAsia" w:cs="Cambria"/>
          <w:color w:val="auto"/>
        </w:rPr>
        <w:t>Scheet</w:t>
      </w:r>
      <w:proofErr w:type="spellEnd"/>
      <w:r w:rsidR="0085751E">
        <w:rPr>
          <w:rFonts w:eastAsiaTheme="minorEastAsia" w:cs="Cambria"/>
          <w:color w:val="auto"/>
        </w:rPr>
        <w:t xml:space="preserve"> P, </w:t>
      </w:r>
      <w:proofErr w:type="spellStart"/>
      <w:r w:rsidR="0085751E">
        <w:rPr>
          <w:rFonts w:eastAsiaTheme="minorEastAsia" w:cs="Cambria"/>
          <w:color w:val="auto"/>
        </w:rPr>
        <w:t>Abecasis</w:t>
      </w:r>
      <w:proofErr w:type="spellEnd"/>
      <w:r w:rsidR="0085751E">
        <w:rPr>
          <w:rFonts w:eastAsiaTheme="minorEastAsia" w:cs="Cambria"/>
          <w:color w:val="auto"/>
        </w:rPr>
        <w:t xml:space="preserve"> GR. </w:t>
      </w:r>
      <w:proofErr w:type="spellStart"/>
      <w:r w:rsidR="0085751E">
        <w:rPr>
          <w:rFonts w:eastAsiaTheme="minorEastAsia" w:cs="Cambria"/>
          <w:color w:val="auto"/>
        </w:rPr>
        <w:t>MaCH</w:t>
      </w:r>
      <w:proofErr w:type="spellEnd"/>
      <w:r w:rsidR="0085751E">
        <w:rPr>
          <w:rFonts w:eastAsiaTheme="minorEastAsia" w:cs="Cambria"/>
          <w:color w:val="auto"/>
        </w:rPr>
        <w:t xml:space="preserve">: using sequence and genotype data to estimate haplotypes and unobserved genotypes. </w:t>
      </w:r>
      <w:proofErr w:type="gramStart"/>
      <w:r w:rsidR="0085751E">
        <w:rPr>
          <w:rFonts w:eastAsiaTheme="minorEastAsia" w:cs="Cambria"/>
          <w:i/>
          <w:iCs/>
          <w:color w:val="auto"/>
        </w:rPr>
        <w:t xml:space="preserve">Genet </w:t>
      </w:r>
      <w:proofErr w:type="spellStart"/>
      <w:r w:rsidR="0085751E">
        <w:rPr>
          <w:rFonts w:eastAsiaTheme="minorEastAsia" w:cs="Cambria"/>
          <w:i/>
          <w:iCs/>
          <w:color w:val="auto"/>
        </w:rPr>
        <w:t>Epidemiol</w:t>
      </w:r>
      <w:proofErr w:type="spellEnd"/>
      <w:r w:rsidR="0085751E">
        <w:rPr>
          <w:rFonts w:eastAsiaTheme="minorEastAsia" w:cs="Cambria"/>
          <w:color w:val="auto"/>
        </w:rPr>
        <w:t xml:space="preserve"> 2010 Dec.; </w:t>
      </w:r>
      <w:r w:rsidR="0085751E">
        <w:rPr>
          <w:rFonts w:eastAsiaTheme="minorEastAsia" w:cs="Cambria"/>
          <w:b/>
          <w:bCs/>
          <w:color w:val="auto"/>
        </w:rPr>
        <w:t>34</w:t>
      </w:r>
      <w:r w:rsidR="0085751E">
        <w:rPr>
          <w:rFonts w:eastAsiaTheme="minorEastAsia" w:cs="Cambria"/>
          <w:color w:val="auto"/>
        </w:rPr>
        <w:t>: 816–834.</w:t>
      </w:r>
      <w:proofErr w:type="gramEnd"/>
      <w:r w:rsidR="0085751E">
        <w:rPr>
          <w:rFonts w:eastAsiaTheme="minorEastAsia" w:cs="Cambria"/>
          <w:color w:val="auto"/>
        </w:rPr>
        <w:t xml:space="preserve"> </w:t>
      </w:r>
    </w:p>
    <w:p w14:paraId="33F98603" w14:textId="58C06A1F" w:rsidR="0085751E" w:rsidRDefault="002F423F" w:rsidP="0085751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4</w:t>
      </w:r>
      <w:r w:rsidR="0085751E">
        <w:rPr>
          <w:rFonts w:eastAsiaTheme="minorEastAsia" w:cs="Cambria"/>
          <w:color w:val="auto"/>
        </w:rPr>
        <w:t>.</w:t>
      </w:r>
      <w:r w:rsidR="0085751E">
        <w:rPr>
          <w:rFonts w:eastAsiaTheme="minorEastAsia" w:cs="Cambria"/>
          <w:color w:val="auto"/>
        </w:rPr>
        <w:tab/>
        <w:t>Rasmussen-</w:t>
      </w:r>
      <w:proofErr w:type="spellStart"/>
      <w:r w:rsidR="0085751E">
        <w:rPr>
          <w:rFonts w:eastAsiaTheme="minorEastAsia" w:cs="Cambria"/>
          <w:color w:val="auto"/>
        </w:rPr>
        <w:t>Torvik</w:t>
      </w:r>
      <w:proofErr w:type="spellEnd"/>
      <w:r w:rsidR="0085751E">
        <w:rPr>
          <w:rFonts w:eastAsiaTheme="minorEastAsia" w:cs="Cambria"/>
          <w:color w:val="auto"/>
        </w:rPr>
        <w:t xml:space="preserve"> LJ, Alonso A, Li M, Kao W, </w:t>
      </w:r>
      <w:proofErr w:type="spellStart"/>
      <w:r w:rsidR="0085751E">
        <w:rPr>
          <w:rFonts w:eastAsiaTheme="minorEastAsia" w:cs="Cambria"/>
          <w:color w:val="auto"/>
        </w:rPr>
        <w:t>Köttgen</w:t>
      </w:r>
      <w:proofErr w:type="spellEnd"/>
      <w:r w:rsidR="0085751E">
        <w:rPr>
          <w:rFonts w:eastAsiaTheme="minorEastAsia" w:cs="Cambria"/>
          <w:color w:val="auto"/>
        </w:rPr>
        <w:t xml:space="preserve"> A, Yan Y, </w:t>
      </w:r>
      <w:r w:rsidR="0085751E">
        <w:rPr>
          <w:rFonts w:eastAsiaTheme="minorEastAsia" w:cs="Cambria"/>
          <w:i/>
          <w:iCs/>
          <w:color w:val="auto"/>
        </w:rPr>
        <w:t>et al.</w:t>
      </w:r>
      <w:r w:rsidR="0085751E">
        <w:rPr>
          <w:rFonts w:eastAsiaTheme="minorEastAsia" w:cs="Cambria"/>
          <w:color w:val="auto"/>
        </w:rPr>
        <w:t xml:space="preserve"> Impact of repeated measures and sample selection on genome-wide association studies of fasting glucose. </w:t>
      </w:r>
      <w:proofErr w:type="gramStart"/>
      <w:r w:rsidR="0085751E">
        <w:rPr>
          <w:rFonts w:eastAsiaTheme="minorEastAsia" w:cs="Cambria"/>
          <w:i/>
          <w:iCs/>
          <w:color w:val="auto"/>
        </w:rPr>
        <w:t xml:space="preserve">Genet </w:t>
      </w:r>
      <w:proofErr w:type="spellStart"/>
      <w:r w:rsidR="0085751E">
        <w:rPr>
          <w:rFonts w:eastAsiaTheme="minorEastAsia" w:cs="Cambria"/>
          <w:i/>
          <w:iCs/>
          <w:color w:val="auto"/>
        </w:rPr>
        <w:t>Epidemiol</w:t>
      </w:r>
      <w:proofErr w:type="spellEnd"/>
      <w:r w:rsidR="0085751E">
        <w:rPr>
          <w:rFonts w:eastAsiaTheme="minorEastAsia" w:cs="Cambria"/>
          <w:color w:val="auto"/>
        </w:rPr>
        <w:t xml:space="preserve"> 2010 Nov.; </w:t>
      </w:r>
      <w:r w:rsidR="0085751E">
        <w:rPr>
          <w:rFonts w:eastAsiaTheme="minorEastAsia" w:cs="Cambria"/>
          <w:b/>
          <w:bCs/>
          <w:color w:val="auto"/>
        </w:rPr>
        <w:t>34</w:t>
      </w:r>
      <w:r w:rsidR="0085751E">
        <w:rPr>
          <w:rFonts w:eastAsiaTheme="minorEastAsia" w:cs="Cambria"/>
          <w:color w:val="auto"/>
        </w:rPr>
        <w:t>: 665–673.</w:t>
      </w:r>
      <w:proofErr w:type="gramEnd"/>
      <w:r w:rsidR="0085751E">
        <w:rPr>
          <w:rFonts w:eastAsiaTheme="minorEastAsia" w:cs="Cambria"/>
          <w:color w:val="auto"/>
        </w:rPr>
        <w:t xml:space="preserve"> </w:t>
      </w:r>
    </w:p>
    <w:p w14:paraId="0697007A" w14:textId="607507C2" w:rsidR="0085751E" w:rsidRDefault="002F423F" w:rsidP="0085751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5</w:t>
      </w:r>
      <w:r w:rsidR="0085751E">
        <w:rPr>
          <w:rFonts w:eastAsiaTheme="minorEastAsia" w:cs="Cambria"/>
          <w:color w:val="auto"/>
        </w:rPr>
        <w:t>.</w:t>
      </w:r>
      <w:r w:rsidR="0085751E">
        <w:rPr>
          <w:rFonts w:eastAsiaTheme="minorEastAsia" w:cs="Cambria"/>
          <w:color w:val="auto"/>
        </w:rPr>
        <w:tab/>
      </w:r>
      <w:proofErr w:type="spellStart"/>
      <w:r w:rsidR="0085751E">
        <w:rPr>
          <w:rFonts w:eastAsiaTheme="minorEastAsia" w:cs="Cambria"/>
          <w:color w:val="auto"/>
        </w:rPr>
        <w:t>Cornelis</w:t>
      </w:r>
      <w:proofErr w:type="spellEnd"/>
      <w:r w:rsidR="0085751E">
        <w:rPr>
          <w:rFonts w:eastAsiaTheme="minorEastAsia" w:cs="Cambria"/>
          <w:color w:val="auto"/>
        </w:rPr>
        <w:t xml:space="preserve"> MC, </w:t>
      </w:r>
      <w:proofErr w:type="spellStart"/>
      <w:r w:rsidR="0085751E">
        <w:rPr>
          <w:rFonts w:eastAsiaTheme="minorEastAsia" w:cs="Cambria"/>
          <w:color w:val="auto"/>
        </w:rPr>
        <w:t>Agrawal</w:t>
      </w:r>
      <w:proofErr w:type="spellEnd"/>
      <w:r w:rsidR="0085751E">
        <w:rPr>
          <w:rFonts w:eastAsiaTheme="minorEastAsia" w:cs="Cambria"/>
          <w:color w:val="auto"/>
        </w:rPr>
        <w:t xml:space="preserve"> A, Cole JW, Hansel NN, Barnes KC, </w:t>
      </w:r>
      <w:proofErr w:type="spellStart"/>
      <w:r w:rsidR="0085751E">
        <w:rPr>
          <w:rFonts w:eastAsiaTheme="minorEastAsia" w:cs="Cambria"/>
          <w:color w:val="auto"/>
        </w:rPr>
        <w:t>Beaty</w:t>
      </w:r>
      <w:proofErr w:type="spellEnd"/>
      <w:r w:rsidR="0085751E">
        <w:rPr>
          <w:rFonts w:eastAsiaTheme="minorEastAsia" w:cs="Cambria"/>
          <w:color w:val="auto"/>
        </w:rPr>
        <w:t xml:space="preserve"> TH, </w:t>
      </w:r>
      <w:r w:rsidR="0085751E">
        <w:rPr>
          <w:rFonts w:eastAsiaTheme="minorEastAsia" w:cs="Cambria"/>
          <w:i/>
          <w:iCs/>
          <w:color w:val="auto"/>
        </w:rPr>
        <w:t>et al.</w:t>
      </w:r>
      <w:r w:rsidR="0085751E">
        <w:rPr>
          <w:rFonts w:eastAsiaTheme="minorEastAsia" w:cs="Cambria"/>
          <w:color w:val="auto"/>
        </w:rPr>
        <w:t xml:space="preserve"> The gene, environment association studies consortium (GENEVA): maximizing the knowledge obtained from GWAS by collaboration across studies of multiple conditions. </w:t>
      </w:r>
      <w:proofErr w:type="gramStart"/>
      <w:r w:rsidR="0085751E">
        <w:rPr>
          <w:rFonts w:eastAsiaTheme="minorEastAsia" w:cs="Cambria"/>
          <w:i/>
          <w:iCs/>
          <w:color w:val="auto"/>
        </w:rPr>
        <w:t xml:space="preserve">Genet </w:t>
      </w:r>
      <w:proofErr w:type="spellStart"/>
      <w:r w:rsidR="0085751E">
        <w:rPr>
          <w:rFonts w:eastAsiaTheme="minorEastAsia" w:cs="Cambria"/>
          <w:i/>
          <w:iCs/>
          <w:color w:val="auto"/>
        </w:rPr>
        <w:t>Epidemiol</w:t>
      </w:r>
      <w:proofErr w:type="spellEnd"/>
      <w:r w:rsidR="0085751E">
        <w:rPr>
          <w:rFonts w:eastAsiaTheme="minorEastAsia" w:cs="Cambria"/>
          <w:color w:val="auto"/>
        </w:rPr>
        <w:t xml:space="preserve"> 2010 Jan. 20; </w:t>
      </w:r>
      <w:r w:rsidR="0085751E">
        <w:rPr>
          <w:rFonts w:eastAsiaTheme="minorEastAsia" w:cs="Cambria"/>
          <w:b/>
          <w:bCs/>
          <w:color w:val="auto"/>
        </w:rPr>
        <w:t>34</w:t>
      </w:r>
      <w:r w:rsidR="0085751E">
        <w:rPr>
          <w:rFonts w:eastAsiaTheme="minorEastAsia" w:cs="Cambria"/>
          <w:color w:val="auto"/>
        </w:rPr>
        <w:t>: 364–372.</w:t>
      </w:r>
      <w:proofErr w:type="gramEnd"/>
      <w:r w:rsidR="0085751E">
        <w:rPr>
          <w:rFonts w:eastAsiaTheme="minorEastAsia" w:cs="Cambria"/>
          <w:color w:val="auto"/>
        </w:rPr>
        <w:t xml:space="preserve"> </w:t>
      </w:r>
    </w:p>
    <w:p w14:paraId="69FA048F" w14:textId="0E3B06A9" w:rsidR="0085751E" w:rsidRDefault="002F423F" w:rsidP="0085751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6</w:t>
      </w:r>
      <w:r w:rsidR="0085751E">
        <w:rPr>
          <w:rFonts w:eastAsiaTheme="minorEastAsia" w:cs="Cambria"/>
          <w:color w:val="auto"/>
        </w:rPr>
        <w:t>.</w:t>
      </w:r>
      <w:r w:rsidR="0085751E">
        <w:rPr>
          <w:rFonts w:eastAsiaTheme="minorEastAsia" w:cs="Cambria"/>
          <w:color w:val="auto"/>
        </w:rPr>
        <w:tab/>
        <w:t xml:space="preserve">Browning BL, Browning SR. </w:t>
      </w:r>
      <w:proofErr w:type="gramStart"/>
      <w:r w:rsidR="0085751E">
        <w:rPr>
          <w:rFonts w:eastAsiaTheme="minorEastAsia" w:cs="Cambria"/>
          <w:color w:val="auto"/>
        </w:rPr>
        <w:t>A unified approach to genotype imputation and haplotype-phase inference for large data sets of trios and unrelated individuals.</w:t>
      </w:r>
      <w:proofErr w:type="gramEnd"/>
      <w:r w:rsidR="0085751E">
        <w:rPr>
          <w:rFonts w:eastAsiaTheme="minorEastAsia" w:cs="Cambria"/>
          <w:color w:val="auto"/>
        </w:rPr>
        <w:t xml:space="preserve"> </w:t>
      </w:r>
      <w:r w:rsidR="0085751E">
        <w:rPr>
          <w:rFonts w:eastAsiaTheme="minorEastAsia" w:cs="Cambria"/>
          <w:i/>
          <w:iCs/>
          <w:color w:val="auto"/>
        </w:rPr>
        <w:t>Am J Hum Genet</w:t>
      </w:r>
      <w:r w:rsidR="0085751E">
        <w:rPr>
          <w:rFonts w:eastAsiaTheme="minorEastAsia" w:cs="Cambria"/>
          <w:color w:val="auto"/>
        </w:rPr>
        <w:t xml:space="preserve"> 2009 Feb.</w:t>
      </w:r>
      <w:proofErr w:type="gramStart"/>
      <w:r w:rsidR="0085751E">
        <w:rPr>
          <w:rFonts w:eastAsiaTheme="minorEastAsia" w:cs="Cambria"/>
          <w:color w:val="auto"/>
        </w:rPr>
        <w:t>;</w:t>
      </w:r>
      <w:proofErr w:type="gramEnd"/>
      <w:r w:rsidR="0085751E">
        <w:rPr>
          <w:rFonts w:eastAsiaTheme="minorEastAsia" w:cs="Cambria"/>
          <w:color w:val="auto"/>
        </w:rPr>
        <w:t xml:space="preserve"> </w:t>
      </w:r>
      <w:r w:rsidR="0085751E">
        <w:rPr>
          <w:rFonts w:eastAsiaTheme="minorEastAsia" w:cs="Cambria"/>
          <w:b/>
          <w:bCs/>
          <w:color w:val="auto"/>
        </w:rPr>
        <w:t>84</w:t>
      </w:r>
      <w:r w:rsidR="0085751E">
        <w:rPr>
          <w:rFonts w:eastAsiaTheme="minorEastAsia" w:cs="Cambria"/>
          <w:color w:val="auto"/>
        </w:rPr>
        <w:t xml:space="preserve">: 210–223. </w:t>
      </w:r>
    </w:p>
    <w:p w14:paraId="378DE3A7" w14:textId="577FB6FC" w:rsidR="0085751E" w:rsidRDefault="002F423F" w:rsidP="0085751E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Theme="minorEastAsia" w:cs="Cambria"/>
          <w:color w:val="auto"/>
        </w:rPr>
      </w:pPr>
      <w:r>
        <w:rPr>
          <w:rFonts w:eastAsiaTheme="minorEastAsia" w:cs="Cambria"/>
          <w:color w:val="auto"/>
        </w:rPr>
        <w:t>7</w:t>
      </w:r>
      <w:r w:rsidR="0085751E">
        <w:rPr>
          <w:rFonts w:eastAsiaTheme="minorEastAsia" w:cs="Cambria"/>
          <w:color w:val="auto"/>
        </w:rPr>
        <w:t>.</w:t>
      </w:r>
      <w:r w:rsidR="0085751E">
        <w:rPr>
          <w:rFonts w:eastAsiaTheme="minorEastAsia" w:cs="Cambria"/>
          <w:color w:val="auto"/>
        </w:rPr>
        <w:tab/>
        <w:t xml:space="preserve">GENEVA Coordinating Center. GENEVA ARIC </w:t>
      </w:r>
      <w:proofErr w:type="gramStart"/>
      <w:r w:rsidR="0085751E">
        <w:rPr>
          <w:rFonts w:eastAsiaTheme="minorEastAsia" w:cs="Cambria"/>
          <w:color w:val="auto"/>
        </w:rPr>
        <w:t>project</w:t>
      </w:r>
      <w:proofErr w:type="gramEnd"/>
      <w:r w:rsidR="0085751E">
        <w:rPr>
          <w:rFonts w:eastAsiaTheme="minorEastAsia" w:cs="Cambria"/>
          <w:color w:val="auto"/>
        </w:rPr>
        <w:t xml:space="preserve"> imputation report [Internet]. 2010. Available from: https://www.genevastudy.org/sites/www/content/files/datacleaning/imputation/ARIC_Imputation_Report.pdf</w:t>
      </w:r>
    </w:p>
    <w:p w14:paraId="40BC626B" w14:textId="77777777" w:rsidR="00B6337D" w:rsidRDefault="0085751E" w:rsidP="0085751E">
      <w:r>
        <w:fldChar w:fldCharType="end"/>
      </w:r>
    </w:p>
    <w:sectPr w:rsidR="00B6337D" w:rsidSect="00980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1E"/>
    <w:rsid w:val="00202712"/>
    <w:rsid w:val="002F423F"/>
    <w:rsid w:val="00420077"/>
    <w:rsid w:val="005F318A"/>
    <w:rsid w:val="0085751E"/>
    <w:rsid w:val="00980FFA"/>
    <w:rsid w:val="00B6337D"/>
    <w:rsid w:val="00DC5BC4"/>
    <w:rsid w:val="00E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A3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1E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1E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2332</Words>
  <Characters>13293</Characters>
  <Application>Microsoft Macintosh Word</Application>
  <DocSecurity>0</DocSecurity>
  <Lines>110</Lines>
  <Paragraphs>31</Paragraphs>
  <ScaleCrop>false</ScaleCrop>
  <Company>Washington University in St. Louis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Harari</dc:creator>
  <cp:keywords/>
  <dc:description/>
  <cp:lastModifiedBy>Oscar Harari</cp:lastModifiedBy>
  <cp:revision>7</cp:revision>
  <dcterms:created xsi:type="dcterms:W3CDTF">2012-11-05T17:26:00Z</dcterms:created>
  <dcterms:modified xsi:type="dcterms:W3CDTF">2012-11-05T17:37:00Z</dcterms:modified>
</cp:coreProperties>
</file>