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A0" w:rsidRDefault="008423A0" w:rsidP="008423A0">
      <w:pPr>
        <w:pStyle w:val="Title"/>
        <w:spacing w:line="240" w:lineRule="auto"/>
        <w:jc w:val="both"/>
      </w:pPr>
      <w:r>
        <w:t>Evaluation of Peripheral Blood Mononuclear Cell Processing and Analysis for Survival Motor Neuron Protein</w:t>
      </w:r>
    </w:p>
    <w:p w:rsidR="008423A0" w:rsidRDefault="008423A0" w:rsidP="008423A0">
      <w:pPr>
        <w:pStyle w:val="Header"/>
        <w:tabs>
          <w:tab w:val="left" w:pos="720"/>
        </w:tabs>
        <w:spacing w:before="240" w:after="60" w:line="240" w:lineRule="auto"/>
        <w:jc w:val="both"/>
        <w:outlineLvl w:val="0"/>
        <w:rPr>
          <w:b/>
          <w:sz w:val="20"/>
        </w:rPr>
      </w:pPr>
      <w:r>
        <w:rPr>
          <w:b/>
          <w:sz w:val="20"/>
        </w:rPr>
        <w:fldChar w:fldCharType="begin"/>
      </w:r>
      <w:r>
        <w:rPr>
          <w:b/>
          <w:sz w:val="20"/>
        </w:rPr>
        <w:instrText xml:space="preserve"> ADDIN EN.MANUSCRIPTWIZARD.AUTHORS &lt;EndNoteManuscriptWizard&gt;&lt;Author&gt;&lt;FirstName&gt;Dione&lt;/FirstName&gt;&lt;LastName&gt;Kobayashi&lt;/LastName&gt;&lt;Email&gt;/o=SMA/ou=first administrative group/cn=Recipients/cn=dkobayashi&lt;/Email&gt;&lt;/Author&gt;&lt;Author&gt;&lt;FirstName&gt;Rory&lt;/FirstName&gt;&lt;LastName&gt;Olson&lt;/LastName&gt;&lt;/Author&gt;&lt;Author&gt;&lt;FirstName&gt;Suzanne&lt;/FirstName&gt;&lt;LastName&gt;Forrest&lt;/LastName&gt;&lt;Email&gt;/o=SMA/ou=first administrative group/cn=Recipients/cn=sforrest&lt;/Email&gt;&lt;/Author&gt;&lt;Author&gt;&lt;FirstName&gt;Brett &lt;/FirstName&gt;&lt;LastName&gt;Chung&lt;/LastName&gt;&lt;/Author&gt;&lt;Author&gt;&lt;FirstName&gt;Wendy&lt;/FirstName&gt;&lt;LastName&gt;Chung&lt;/LastName&gt;&lt;/Author&gt;&lt;Author&gt;&lt;FirstName&gt;Kathryn &lt;/FirstName&gt;&lt;LastName&gt;Swoboda&lt;/LastName&gt;&lt;/Author&gt;&lt;Author&gt;&lt;FirstName&gt;Michael &lt;/FirstName&gt;&lt;LastName&gt;Mullenix &lt;/LastName&gt;&lt;/Author&gt;&lt;Author&gt;&lt;FirstName&gt;Karen&lt;/FirstName&gt;&lt;LastName&gt;Chen&lt;/LastName&gt;&lt;Email&gt;/o=SMA/ou=first administrative group/cn=Recipients/cn=kchen&lt;/Email&gt;&lt;/Author&gt;&lt;/EndNoteManuscriptWizard&gt;</w:instrText>
      </w:r>
      <w:r>
        <w:rPr>
          <w:b/>
          <w:sz w:val="20"/>
        </w:rPr>
        <w:fldChar w:fldCharType="separate"/>
      </w:r>
      <w:r>
        <w:rPr>
          <w:b/>
          <w:sz w:val="20"/>
        </w:rPr>
        <w:t>Dione T. Kobayashi PhD</w:t>
      </w:r>
      <w:r>
        <w:rPr>
          <w:b/>
          <w:sz w:val="20"/>
          <w:vertAlign w:val="superscript"/>
        </w:rPr>
        <w:t>*</w:t>
      </w:r>
      <w:r>
        <w:rPr>
          <w:b/>
          <w:sz w:val="20"/>
        </w:rPr>
        <w:t>, Douglas Decker, Phillip Zaworski, Karen Klott, Julie McGonagall, Nabil Ghazal PhD, Laurel Sly, Brett Chung, James Vanderlugt MD,  Karen S. Chen PhD</w:t>
      </w:r>
      <w:r>
        <w:rPr>
          <w:b/>
          <w:sz w:val="20"/>
        </w:rPr>
        <w:fldChar w:fldCharType="end"/>
      </w:r>
    </w:p>
    <w:p w:rsidR="008423A0" w:rsidRDefault="008423A0" w:rsidP="008423A0">
      <w:pPr>
        <w:spacing w:line="240" w:lineRule="auto"/>
        <w:jc w:val="both"/>
        <w:rPr>
          <w:sz w:val="18"/>
          <w:szCs w:val="18"/>
        </w:rPr>
      </w:pPr>
      <w:r>
        <w:rPr>
          <w:sz w:val="18"/>
        </w:rPr>
        <w:t>From the Spinal Muscular Atrophy Foundation (DTK, BC, KSC) New York, NY, USA; PharmOptima LLC. (DD, PZ, LS) Portage, MI, USA; Jasper Clinic, Kalamazoo, MI (KK, JM, NG, JV)</w:t>
      </w:r>
    </w:p>
    <w:p w:rsidR="008423A0" w:rsidRDefault="008423A0" w:rsidP="008423A0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*Corresponding author: Dione T. Kobayashi (dkobayashi@smafoundation.org)</w:t>
      </w:r>
    </w:p>
    <w:p w:rsidR="008423A0" w:rsidRDefault="008423A0" w:rsidP="008423A0">
      <w:pPr>
        <w:pStyle w:val="Heading3"/>
        <w:jc w:val="both"/>
        <w:rPr>
          <w:sz w:val="22"/>
        </w:rPr>
      </w:pPr>
      <w:bookmarkStart w:id="0" w:name="_GoBack"/>
      <w:bookmarkEnd w:id="0"/>
    </w:p>
    <w:p w:rsidR="008423A0" w:rsidRDefault="008423A0" w:rsidP="008423A0">
      <w:pPr>
        <w:pStyle w:val="Heading3"/>
        <w:jc w:val="both"/>
        <w:rPr>
          <w:sz w:val="22"/>
        </w:rPr>
      </w:pPr>
      <w:r>
        <w:rPr>
          <w:sz w:val="22"/>
        </w:rPr>
        <w:t>Supplementary Table S1. PBMC counts in subjects with respiratory infection in Study 5</w:t>
      </w:r>
    </w:p>
    <w:tbl>
      <w:tblPr>
        <w:tblW w:w="10770" w:type="dxa"/>
        <w:tblInd w:w="-72" w:type="dxa"/>
        <w:tblLook w:val="04A0" w:firstRow="1" w:lastRow="0" w:firstColumn="1" w:lastColumn="0" w:noHBand="0" w:noVBand="1"/>
      </w:tblPr>
      <w:tblGrid>
        <w:gridCol w:w="960"/>
        <w:gridCol w:w="1200"/>
        <w:gridCol w:w="1465"/>
        <w:gridCol w:w="1415"/>
        <w:gridCol w:w="1350"/>
        <w:gridCol w:w="1220"/>
        <w:gridCol w:w="1380"/>
        <w:gridCol w:w="1780"/>
      </w:tblGrid>
      <w:tr w:rsidR="008423A0" w:rsidRPr="00E1379E" w:rsidTr="00EA34CB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Subject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Timepoint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Total PBMCs (10</w:t>
            </w:r>
            <w:r w:rsidRPr="0004651B">
              <w:rPr>
                <w:color w:val="000000"/>
                <w:sz w:val="22"/>
                <w:szCs w:val="22"/>
                <w:vertAlign w:val="superscript"/>
              </w:rPr>
              <w:t>6</w:t>
            </w:r>
            <w:r w:rsidRPr="000465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CD14+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CD56+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 xml:space="preserve">CD19+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CD8+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CD4+</w:t>
            </w:r>
          </w:p>
        </w:tc>
      </w:tr>
      <w:tr w:rsidR="008423A0" w:rsidRPr="00E1379E" w:rsidTr="00EA34CB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Day 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52.2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 xml:space="preserve">2.3 (4.4%)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2.4 (4.6%)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 xml:space="preserve">2.9 (5.5%)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 xml:space="preserve">4.3 (8.2%)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7.9 (15.2%)</w:t>
            </w:r>
          </w:p>
        </w:tc>
      </w:tr>
      <w:tr w:rsidR="008423A0" w:rsidRPr="00E1379E" w:rsidTr="00EA34CB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Day 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44.8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3.5 (7.8%)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1.6 (3.5%)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3.0 (6.7%)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5.2 (11.5%)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6.6 (14.7%)</w:t>
            </w:r>
          </w:p>
        </w:tc>
      </w:tr>
      <w:tr w:rsidR="008423A0" w:rsidRPr="00E1379E" w:rsidTr="00EA34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Day 30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44.8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2.0 (4.4%)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0.9 (2.0%)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1.6 (3.5%)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3.6 (7.9%)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5.8 (12.9%)</w:t>
            </w:r>
          </w:p>
        </w:tc>
      </w:tr>
      <w:tr w:rsidR="008423A0" w:rsidRPr="00E1379E" w:rsidTr="00EA34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Day 76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27.6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3.9 (14.1%)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0.7 (2.5%)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1.6 (5.7%)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2E6603">
              <w:rPr>
                <w:color w:val="000000"/>
                <w:sz w:val="22"/>
                <w:szCs w:val="22"/>
              </w:rPr>
              <w:t>1.4</w:t>
            </w:r>
            <w:r w:rsidRPr="0004651B">
              <w:rPr>
                <w:color w:val="000000"/>
                <w:sz w:val="22"/>
                <w:szCs w:val="22"/>
              </w:rPr>
              <w:t xml:space="preserve"> (4.9%)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1.9 (6.7%)</w:t>
            </w:r>
          </w:p>
        </w:tc>
      </w:tr>
      <w:tr w:rsidR="008423A0" w:rsidRPr="00E1379E" w:rsidTr="00EA34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23A0" w:rsidRPr="00E1379E" w:rsidTr="00EA34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1036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Day 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32.2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2.7 (8.4%)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 xml:space="preserve">2.3 (7.2%)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 xml:space="preserve">1.4 (4.4%)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3.4 (10.6%)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6.6 (20.6%)</w:t>
            </w:r>
          </w:p>
        </w:tc>
      </w:tr>
      <w:tr w:rsidR="008423A0" w:rsidRPr="00E1379E" w:rsidTr="00EA34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Day 7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35.6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3.4 (9.6%)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2.2 (6.1%)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1.7 (4.7%)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4.4 (12.3%)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5.6 (15.8%)</w:t>
            </w:r>
          </w:p>
        </w:tc>
      </w:tr>
      <w:tr w:rsidR="008423A0" w:rsidRPr="00E1379E" w:rsidTr="00EA34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Day 30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32.4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3.0 (9.2%)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1.9 (5.8%)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1.4 (4.4%)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3.6 (11.2%)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5.4 (16.5%)</w:t>
            </w:r>
          </w:p>
        </w:tc>
      </w:tr>
      <w:tr w:rsidR="008423A0" w:rsidRPr="00E1379E" w:rsidTr="00EA34C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Day 76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31.6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2.9 (9.1%)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3.3 (10.4%)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1.6 (5.2%)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2.4 (7.5%)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3A0" w:rsidRPr="0004651B" w:rsidRDefault="008423A0" w:rsidP="00EA34C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04651B">
              <w:rPr>
                <w:color w:val="000000"/>
                <w:sz w:val="22"/>
                <w:szCs w:val="22"/>
              </w:rPr>
              <w:t>3.0 (9.6%)</w:t>
            </w:r>
          </w:p>
        </w:tc>
      </w:tr>
    </w:tbl>
    <w:p w:rsidR="008423A0" w:rsidRDefault="008423A0" w:rsidP="008423A0">
      <w:pPr>
        <w:pStyle w:val="Heading3"/>
        <w:jc w:val="both"/>
        <w:rPr>
          <w:sz w:val="22"/>
        </w:rPr>
      </w:pPr>
    </w:p>
    <w:p w:rsidR="008423A0" w:rsidRDefault="008423A0" w:rsidP="008423A0">
      <w:r>
        <w:t>All PBMC subtypes are represented as 10</w:t>
      </w:r>
      <w:r w:rsidRPr="0004651B">
        <w:rPr>
          <w:vertAlign w:val="superscript"/>
        </w:rPr>
        <w:t>6</w:t>
      </w:r>
      <w:r>
        <w:t xml:space="preserve"> cells. Values depicted with % signs represent the percentage of a particular subtype cells among the total PBMC cell count for that timepoint.</w:t>
      </w:r>
    </w:p>
    <w:p w:rsidR="00DC4A2C" w:rsidRDefault="008423A0"/>
    <w:sectPr w:rsidR="00DC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A0"/>
    <w:rsid w:val="0032089A"/>
    <w:rsid w:val="008423A0"/>
    <w:rsid w:val="00F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A0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3A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423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42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3A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423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423A0"/>
    <w:rPr>
      <w:rFonts w:ascii="Times New Roman" w:eastAsia="Times New Roman" w:hAnsi="Times New Roman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A0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3A0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8423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423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3A0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423A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423A0"/>
    <w:rPr>
      <w:rFonts w:ascii="Times New Roman" w:eastAsia="Times New Roman" w:hAnsi="Times New Roman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 Foundation</dc:creator>
  <cp:lastModifiedBy>SMA Foundation</cp:lastModifiedBy>
  <cp:revision>1</cp:revision>
  <dcterms:created xsi:type="dcterms:W3CDTF">2012-10-19T17:47:00Z</dcterms:created>
  <dcterms:modified xsi:type="dcterms:W3CDTF">2012-10-19T17:51:00Z</dcterms:modified>
</cp:coreProperties>
</file>