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3F" w:rsidRPr="003C101F" w:rsidRDefault="00B46D3F" w:rsidP="00B46D3F">
      <w:pPr>
        <w:tabs>
          <w:tab w:val="clear" w:pos="8640"/>
        </w:tabs>
        <w:jc w:val="center"/>
        <w:rPr>
          <w:rFonts w:eastAsia="Arial Unicode MS"/>
          <w:b/>
          <w:lang w:eastAsia="zh-TW"/>
        </w:rPr>
      </w:pPr>
      <w:bookmarkStart w:id="0" w:name="OLE_LINK1"/>
      <w:bookmarkStart w:id="1" w:name="OLE_LINK2"/>
      <w:r w:rsidRPr="003C101F">
        <w:rPr>
          <w:rFonts w:eastAsia="Arial Unicode MS"/>
          <w:b/>
          <w:lang w:eastAsia="zh-TW"/>
        </w:rPr>
        <w:t xml:space="preserve">Table </w:t>
      </w:r>
      <w:r>
        <w:rPr>
          <w:rFonts w:eastAsia="Arial Unicode MS"/>
          <w:b/>
          <w:lang w:eastAsia="zh-TW"/>
        </w:rPr>
        <w:t>S</w:t>
      </w:r>
      <w:r w:rsidR="00AB6E88">
        <w:rPr>
          <w:rFonts w:eastAsia="Arial Unicode MS"/>
          <w:b/>
          <w:lang w:eastAsia="zh-TW"/>
        </w:rPr>
        <w:t>3</w:t>
      </w:r>
      <w:r w:rsidRPr="003C101F">
        <w:rPr>
          <w:rFonts w:eastAsia="Arial Unicode MS"/>
          <w:b/>
          <w:lang w:eastAsia="zh-TW"/>
        </w:rPr>
        <w:t>: Summary of themes generated from the synthesis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10052"/>
      </w:tblGrid>
      <w:tr w:rsidR="00B46D3F" w:rsidRPr="00170701" w:rsidTr="005B1207">
        <w:tc>
          <w:tcPr>
            <w:tcW w:w="3227" w:type="dxa"/>
            <w:shd w:val="clear" w:color="000000" w:fill="auto"/>
          </w:tcPr>
          <w:bookmarkEnd w:id="0"/>
          <w:bookmarkEnd w:id="1"/>
          <w:p w:rsidR="00B46D3F" w:rsidRPr="00C75BC9" w:rsidRDefault="00B46D3F" w:rsidP="005B1207">
            <w:pPr>
              <w:tabs>
                <w:tab w:val="clear" w:pos="8640"/>
              </w:tabs>
              <w:jc w:val="left"/>
              <w:rPr>
                <w:rFonts w:eastAsia="Arial Unicode MS"/>
                <w:lang w:eastAsia="zh-TW"/>
              </w:rPr>
            </w:pPr>
            <w:r w:rsidRPr="00C75BC9">
              <w:rPr>
                <w:rFonts w:eastAsia="Arial Unicode MS"/>
                <w:lang w:eastAsia="zh-TW"/>
              </w:rPr>
              <w:t xml:space="preserve">IPC INDICATORS </w:t>
            </w:r>
          </w:p>
        </w:tc>
        <w:tc>
          <w:tcPr>
            <w:tcW w:w="10631" w:type="dxa"/>
            <w:shd w:val="clear" w:color="000000" w:fill="auto"/>
          </w:tcPr>
          <w:p w:rsidR="00B46D3F" w:rsidRPr="00C75BC9" w:rsidRDefault="00B46D3F" w:rsidP="005B1207">
            <w:pPr>
              <w:tabs>
                <w:tab w:val="clear" w:pos="8640"/>
              </w:tabs>
              <w:jc w:val="left"/>
              <w:rPr>
                <w:rFonts w:eastAsia="Arial Unicode MS"/>
                <w:lang w:eastAsia="zh-TW"/>
              </w:rPr>
            </w:pPr>
            <w:r w:rsidRPr="00C75BC9">
              <w:rPr>
                <w:rFonts w:eastAsia="Arial Unicode MS"/>
                <w:lang w:eastAsia="zh-TW"/>
              </w:rPr>
              <w:t>K</w:t>
            </w:r>
            <w:r>
              <w:rPr>
                <w:rFonts w:eastAsia="Arial Unicode MS"/>
                <w:lang w:eastAsia="zh-TW"/>
              </w:rPr>
              <w:t>EY</w:t>
            </w:r>
            <w:r w:rsidRPr="00C75BC9">
              <w:rPr>
                <w:rFonts w:eastAsia="Arial Unicode MS"/>
                <w:lang w:eastAsia="zh-TW"/>
              </w:rPr>
              <w:t xml:space="preserve"> POINTS</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r w:rsidRPr="00C75BC9">
              <w:rPr>
                <w:rFonts w:eastAsia="Arial Unicode MS"/>
                <w:lang w:eastAsia="zh-TW"/>
              </w:rPr>
              <w:t xml:space="preserve">1. Governance </w:t>
            </w:r>
          </w:p>
        </w:tc>
        <w:tc>
          <w:tcPr>
            <w:tcW w:w="10631" w:type="dxa"/>
            <w:shd w:val="clear" w:color="000000" w:fill="auto"/>
          </w:tcPr>
          <w:p w:rsidR="00B46D3F" w:rsidRPr="004572DD" w:rsidRDefault="00B46D3F" w:rsidP="005B1207">
            <w:pPr>
              <w:numPr>
                <w:ilvl w:val="0"/>
                <w:numId w:val="1"/>
              </w:numPr>
              <w:tabs>
                <w:tab w:val="clear" w:pos="8640"/>
              </w:tabs>
              <w:jc w:val="left"/>
              <w:rPr>
                <w:rFonts w:eastAsia="Arial Unicode MS"/>
                <w:sz w:val="21"/>
                <w:u w:val="single"/>
                <w:lang w:eastAsia="zh-TW"/>
              </w:rPr>
            </w:pPr>
            <w:r w:rsidRPr="00170701">
              <w:rPr>
                <w:rFonts w:eastAsia="Arial Unicode MS"/>
                <w:lang w:eastAsia="zh-TW"/>
              </w:rPr>
              <w:t xml:space="preserve">The need to respond to patients’ demand for holistic care, and the need to fill the effectiveness gaps of BM are the main drivers for integration initiatives. </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p>
        </w:tc>
        <w:tc>
          <w:tcPr>
            <w:tcW w:w="10631" w:type="dxa"/>
            <w:shd w:val="clear" w:color="000000" w:fill="auto"/>
          </w:tcPr>
          <w:p w:rsidR="00B46D3F" w:rsidRPr="00170701" w:rsidRDefault="00B46D3F" w:rsidP="005B1207">
            <w:pPr>
              <w:numPr>
                <w:ilvl w:val="0"/>
                <w:numId w:val="1"/>
              </w:numPr>
              <w:tabs>
                <w:tab w:val="clear" w:pos="8640"/>
              </w:tabs>
              <w:jc w:val="left"/>
              <w:rPr>
                <w:rFonts w:eastAsia="Arial Unicode MS"/>
                <w:lang w:eastAsia="zh-TW"/>
              </w:rPr>
            </w:pPr>
            <w:r w:rsidRPr="00170701">
              <w:rPr>
                <w:rFonts w:eastAsia="Arial Unicode MS"/>
                <w:lang w:eastAsia="zh-HK"/>
              </w:rPr>
              <w:t>Sufficient funding is essential for building a collaboration-ready TCAMP team and promoting equality for patient access, but securing such funding is a major challen</w:t>
            </w:r>
            <w:r>
              <w:rPr>
                <w:rFonts w:eastAsia="Arial Unicode MS"/>
                <w:lang w:eastAsia="zh-HK"/>
              </w:rPr>
              <w:t>ge</w:t>
            </w:r>
            <w:r w:rsidRPr="00170701">
              <w:rPr>
                <w:rFonts w:eastAsia="Arial Unicode MS"/>
                <w:lang w:eastAsia="zh-HK"/>
              </w:rPr>
              <w:t xml:space="preserve"> for central authorities.</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r w:rsidRPr="00C75BC9">
              <w:rPr>
                <w:rFonts w:eastAsia="Arial Unicode MS"/>
                <w:lang w:eastAsia="zh-TW"/>
              </w:rPr>
              <w:t>2. Leadership</w:t>
            </w:r>
          </w:p>
        </w:tc>
        <w:tc>
          <w:tcPr>
            <w:tcW w:w="10631" w:type="dxa"/>
            <w:shd w:val="clear" w:color="000000" w:fill="auto"/>
          </w:tcPr>
          <w:p w:rsidR="00B46D3F" w:rsidRPr="004572DD" w:rsidRDefault="00B46D3F" w:rsidP="005B1207">
            <w:pPr>
              <w:numPr>
                <w:ilvl w:val="0"/>
                <w:numId w:val="2"/>
              </w:numPr>
              <w:tabs>
                <w:tab w:val="clear" w:pos="8640"/>
              </w:tabs>
              <w:jc w:val="left"/>
              <w:rPr>
                <w:rFonts w:eastAsia="Arial Unicode MS"/>
                <w:sz w:val="21"/>
                <w:lang w:eastAsia="zh-TW"/>
              </w:rPr>
            </w:pPr>
            <w:r w:rsidRPr="00170701">
              <w:rPr>
                <w:rFonts w:eastAsia="Arial Unicode MS"/>
                <w:lang w:eastAsia="zh-TW"/>
              </w:rPr>
              <w:t xml:space="preserve">Clinicians trained both in BM and </w:t>
            </w:r>
            <w:r>
              <w:rPr>
                <w:rFonts w:eastAsia="Arial Unicode MS"/>
                <w:lang w:eastAsia="zh-TW"/>
              </w:rPr>
              <w:t>TCAM</w:t>
            </w:r>
            <w:r w:rsidRPr="00170701">
              <w:rPr>
                <w:rFonts w:eastAsia="Arial Unicode MS"/>
                <w:lang w:eastAsia="zh-TW"/>
              </w:rPr>
              <w:t xml:space="preserve"> are preferred candidates for leading integration.</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p>
        </w:tc>
        <w:tc>
          <w:tcPr>
            <w:tcW w:w="10631" w:type="dxa"/>
            <w:shd w:val="clear" w:color="000000" w:fill="auto"/>
          </w:tcPr>
          <w:p w:rsidR="00B46D3F" w:rsidRPr="00170701" w:rsidRDefault="00B46D3F" w:rsidP="005B1207">
            <w:pPr>
              <w:numPr>
                <w:ilvl w:val="0"/>
                <w:numId w:val="2"/>
              </w:numPr>
              <w:tabs>
                <w:tab w:val="clear" w:pos="8640"/>
              </w:tabs>
              <w:jc w:val="left"/>
              <w:rPr>
                <w:rFonts w:eastAsia="Arial Unicode MS"/>
                <w:lang w:eastAsia="zh-TW"/>
              </w:rPr>
            </w:pPr>
            <w:r w:rsidRPr="00170701">
              <w:rPr>
                <w:rFonts w:eastAsia="Arial Unicode MS"/>
                <w:lang w:eastAsia="zh-HK"/>
              </w:rPr>
              <w:t>Leaders may experience less resistance from the management if the participating TCAMP are accredited in their own discipline, covered by liability insurance, and are willing to stay within their defined scope of practice.</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r w:rsidRPr="00C75BC9">
              <w:rPr>
                <w:rFonts w:eastAsia="Arial Unicode MS"/>
                <w:lang w:eastAsia="zh-TW"/>
              </w:rPr>
              <w:t xml:space="preserve">3. Support for innovation </w:t>
            </w:r>
          </w:p>
        </w:tc>
        <w:tc>
          <w:tcPr>
            <w:tcW w:w="10631" w:type="dxa"/>
            <w:shd w:val="clear" w:color="000000" w:fill="auto"/>
          </w:tcPr>
          <w:p w:rsidR="00B46D3F" w:rsidRPr="004572DD" w:rsidRDefault="00B46D3F" w:rsidP="005B1207">
            <w:pPr>
              <w:numPr>
                <w:ilvl w:val="0"/>
                <w:numId w:val="2"/>
              </w:numPr>
              <w:tabs>
                <w:tab w:val="clear" w:pos="8640"/>
              </w:tabs>
              <w:jc w:val="left"/>
              <w:rPr>
                <w:rFonts w:eastAsia="Arial Unicode MS"/>
                <w:sz w:val="21"/>
                <w:u w:val="single"/>
                <w:lang w:eastAsia="zh-TW"/>
              </w:rPr>
            </w:pPr>
            <w:r w:rsidRPr="00170701">
              <w:rPr>
                <w:rFonts w:eastAsia="Arial Unicode MS"/>
                <w:lang w:eastAsia="zh-HK"/>
              </w:rPr>
              <w:t xml:space="preserve">Bridge-building activities, including </w:t>
            </w:r>
            <w:proofErr w:type="spellStart"/>
            <w:r w:rsidRPr="00170701">
              <w:rPr>
                <w:rFonts w:eastAsia="Arial Unicode MS"/>
                <w:lang w:eastAsia="zh-HK"/>
              </w:rPr>
              <w:t>interprofessional</w:t>
            </w:r>
            <w:proofErr w:type="spellEnd"/>
            <w:r w:rsidRPr="00170701">
              <w:rPr>
                <w:rFonts w:eastAsia="Arial Unicode MS"/>
                <w:lang w:eastAsia="zh-HK"/>
              </w:rPr>
              <w:t xml:space="preserve"> education, mutual practice observation and the creation of communication platforms, are beneficial for creating bonding between team members. </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p>
        </w:tc>
        <w:tc>
          <w:tcPr>
            <w:tcW w:w="10631" w:type="dxa"/>
            <w:shd w:val="clear" w:color="000000" w:fill="auto"/>
          </w:tcPr>
          <w:p w:rsidR="00B46D3F" w:rsidRPr="00170701" w:rsidRDefault="00B46D3F" w:rsidP="005B1207">
            <w:pPr>
              <w:numPr>
                <w:ilvl w:val="0"/>
                <w:numId w:val="2"/>
              </w:numPr>
              <w:tabs>
                <w:tab w:val="clear" w:pos="8640"/>
              </w:tabs>
              <w:jc w:val="left"/>
              <w:rPr>
                <w:rFonts w:eastAsia="Arial Unicode MS"/>
                <w:lang w:eastAsia="zh-HK"/>
              </w:rPr>
            </w:pPr>
            <w:r w:rsidRPr="00170701">
              <w:rPr>
                <w:rFonts w:eastAsia="Arial Unicode MS"/>
                <w:lang w:eastAsia="zh-HK"/>
              </w:rPr>
              <w:t xml:space="preserve">Gate-keeping of </w:t>
            </w:r>
            <w:r>
              <w:rPr>
                <w:rFonts w:eastAsia="Arial Unicode MS"/>
                <w:lang w:eastAsia="zh-HK"/>
              </w:rPr>
              <w:t>TCAM</w:t>
            </w:r>
            <w:r w:rsidRPr="00170701">
              <w:rPr>
                <w:rFonts w:eastAsia="Arial Unicode MS"/>
                <w:lang w:eastAsia="zh-HK"/>
              </w:rPr>
              <w:t xml:space="preserve"> services by BMD may elicit a mixed response from TCAMP. </w:t>
            </w:r>
            <w:r w:rsidRPr="00170701">
              <w:rPr>
                <w:rFonts w:eastAsia="Arial Unicode MS"/>
                <w:lang w:eastAsia="zh-TW"/>
              </w:rPr>
              <w:t>Leaders need to reduce this power differential such that TCAMP can be sufficiently empowered for meaningful participation.</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r w:rsidRPr="00C75BC9">
              <w:rPr>
                <w:rFonts w:eastAsia="Arial Unicode MS"/>
                <w:lang w:eastAsia="zh-TW"/>
              </w:rPr>
              <w:t>4. Connectivity</w:t>
            </w:r>
          </w:p>
        </w:tc>
        <w:tc>
          <w:tcPr>
            <w:tcW w:w="10631" w:type="dxa"/>
            <w:shd w:val="clear" w:color="000000" w:fill="auto"/>
          </w:tcPr>
          <w:p w:rsidR="00B46D3F" w:rsidRPr="004572DD" w:rsidRDefault="00B46D3F" w:rsidP="005B1207">
            <w:pPr>
              <w:numPr>
                <w:ilvl w:val="0"/>
                <w:numId w:val="3"/>
              </w:numPr>
              <w:tabs>
                <w:tab w:val="clear" w:pos="8640"/>
              </w:tabs>
              <w:jc w:val="left"/>
              <w:rPr>
                <w:rFonts w:eastAsia="Arial Unicode MS"/>
                <w:sz w:val="21"/>
                <w:u w:val="single"/>
                <w:lang w:eastAsia="zh-TW"/>
              </w:rPr>
            </w:pPr>
            <w:r w:rsidRPr="00170701">
              <w:rPr>
                <w:rFonts w:eastAsia="Arial Unicode MS"/>
                <w:lang w:eastAsia="zh-TW"/>
              </w:rPr>
              <w:t xml:space="preserve">BMD is better connected with </w:t>
            </w:r>
            <w:r>
              <w:rPr>
                <w:rFonts w:eastAsia="Arial Unicode MS"/>
                <w:lang w:eastAsia="zh-TW"/>
              </w:rPr>
              <w:t>TCAM</w:t>
            </w:r>
            <w:r w:rsidRPr="00170701">
              <w:rPr>
                <w:rFonts w:eastAsia="Arial Unicode MS"/>
                <w:lang w:eastAsia="zh-TW"/>
              </w:rPr>
              <w:t xml:space="preserve"> modalities that have a lower degree of perceived foreignness – </w:t>
            </w:r>
            <w:r w:rsidRPr="00170701">
              <w:rPr>
                <w:rFonts w:eastAsia="Arial Unicode MS"/>
                <w:i/>
                <w:lang w:eastAsia="zh-TW"/>
              </w:rPr>
              <w:t>e.g</w:t>
            </w:r>
            <w:r w:rsidRPr="00170701">
              <w:rPr>
                <w:rFonts w:eastAsia="Arial Unicode MS"/>
                <w:lang w:eastAsia="zh-TW"/>
              </w:rPr>
              <w:t xml:space="preserve">., acupuncture is more accepted than homeopathy. </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p>
        </w:tc>
        <w:tc>
          <w:tcPr>
            <w:tcW w:w="10631" w:type="dxa"/>
            <w:shd w:val="clear" w:color="000000" w:fill="auto"/>
          </w:tcPr>
          <w:p w:rsidR="00B46D3F" w:rsidRPr="004572DD" w:rsidRDefault="00B46D3F" w:rsidP="005B1207">
            <w:pPr>
              <w:numPr>
                <w:ilvl w:val="0"/>
                <w:numId w:val="3"/>
              </w:numPr>
              <w:tabs>
                <w:tab w:val="clear" w:pos="8640"/>
              </w:tabs>
              <w:jc w:val="left"/>
              <w:rPr>
                <w:rFonts w:eastAsia="Arial Unicode MS"/>
                <w:sz w:val="21"/>
                <w:u w:val="single"/>
                <w:lang w:eastAsia="zh-TW"/>
              </w:rPr>
            </w:pPr>
            <w:r w:rsidRPr="00170701">
              <w:rPr>
                <w:rFonts w:eastAsia="Arial Unicode MS"/>
                <w:lang w:eastAsia="zh-TW"/>
              </w:rPr>
              <w:t xml:space="preserve">At clinician level, co-location is critical in fostering trust and also in developing a sense of partnership between BMD and </w:t>
            </w:r>
            <w:r>
              <w:rPr>
                <w:rFonts w:eastAsia="Arial Unicode MS"/>
                <w:lang w:eastAsia="zh-TW"/>
              </w:rPr>
              <w:t>TCAM</w:t>
            </w:r>
            <w:r w:rsidRPr="00170701">
              <w:rPr>
                <w:rFonts w:eastAsia="Arial Unicode MS"/>
                <w:lang w:eastAsia="zh-TW"/>
              </w:rPr>
              <w:t>.</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p>
        </w:tc>
        <w:tc>
          <w:tcPr>
            <w:tcW w:w="10631" w:type="dxa"/>
            <w:shd w:val="clear" w:color="000000" w:fill="auto"/>
          </w:tcPr>
          <w:p w:rsidR="00B46D3F" w:rsidRPr="00170701" w:rsidRDefault="00B46D3F" w:rsidP="005B1207">
            <w:pPr>
              <w:numPr>
                <w:ilvl w:val="0"/>
                <w:numId w:val="3"/>
              </w:numPr>
              <w:tabs>
                <w:tab w:val="clear" w:pos="8640"/>
              </w:tabs>
              <w:jc w:val="left"/>
              <w:rPr>
                <w:rFonts w:eastAsia="Arial Unicode MS"/>
                <w:lang w:eastAsia="zh-TW"/>
              </w:rPr>
            </w:pPr>
            <w:r w:rsidRPr="00170701">
              <w:rPr>
                <w:rFonts w:eastAsia="Arial Unicode MS"/>
                <w:lang w:eastAsia="zh-HK"/>
              </w:rPr>
              <w:t>At an operational level, co-location facilitates efficient referral, feedback, communication, chart-sharing and access to BM testing facilities.</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r w:rsidRPr="00C75BC9">
              <w:rPr>
                <w:rFonts w:eastAsia="Arial Unicode MS"/>
                <w:lang w:eastAsia="zh-TW"/>
              </w:rPr>
              <w:t>5. Formalization tools</w:t>
            </w:r>
          </w:p>
        </w:tc>
        <w:tc>
          <w:tcPr>
            <w:tcW w:w="10631" w:type="dxa"/>
            <w:shd w:val="clear" w:color="000000" w:fill="auto"/>
          </w:tcPr>
          <w:p w:rsidR="00B46D3F" w:rsidRPr="00170701" w:rsidRDefault="00B46D3F" w:rsidP="005B1207">
            <w:pPr>
              <w:numPr>
                <w:ilvl w:val="0"/>
                <w:numId w:val="3"/>
              </w:numPr>
              <w:tabs>
                <w:tab w:val="clear" w:pos="8640"/>
              </w:tabs>
              <w:jc w:val="left"/>
              <w:rPr>
                <w:rFonts w:eastAsia="Arial Unicode MS"/>
                <w:lang w:eastAsia="zh-HK"/>
              </w:rPr>
            </w:pPr>
            <w:r w:rsidRPr="00170701">
              <w:rPr>
                <w:rFonts w:eastAsia="Arial Unicode MS"/>
                <w:lang w:eastAsia="zh-TW"/>
              </w:rPr>
              <w:t>Included literature highlighted three common types of delegation mechanisms: (</w:t>
            </w:r>
            <w:proofErr w:type="spellStart"/>
            <w:r w:rsidRPr="00170701">
              <w:rPr>
                <w:rFonts w:eastAsia="Arial Unicode MS"/>
                <w:lang w:eastAsia="zh-TW"/>
              </w:rPr>
              <w:t>i</w:t>
            </w:r>
            <w:proofErr w:type="spellEnd"/>
            <w:r w:rsidRPr="00170701">
              <w:rPr>
                <w:rFonts w:eastAsia="Arial Unicode MS"/>
                <w:lang w:eastAsia="zh-TW"/>
              </w:rPr>
              <w:t>) case-by-case referral; (ii) flexible protocol-based referral; and (iii) condition-specific referral protocol.</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p>
        </w:tc>
        <w:tc>
          <w:tcPr>
            <w:tcW w:w="10631" w:type="dxa"/>
            <w:shd w:val="clear" w:color="000000" w:fill="auto"/>
          </w:tcPr>
          <w:p w:rsidR="00B46D3F" w:rsidRPr="00170701" w:rsidRDefault="00B46D3F" w:rsidP="005B1207">
            <w:pPr>
              <w:numPr>
                <w:ilvl w:val="0"/>
                <w:numId w:val="3"/>
              </w:numPr>
              <w:tabs>
                <w:tab w:val="clear" w:pos="8640"/>
              </w:tabs>
              <w:jc w:val="left"/>
              <w:rPr>
                <w:rFonts w:eastAsia="Arial Unicode MS"/>
                <w:lang w:eastAsia="zh-TW"/>
              </w:rPr>
            </w:pPr>
            <w:r w:rsidRPr="00170701">
              <w:rPr>
                <w:rFonts w:eastAsia="Arial Unicode MS"/>
                <w:lang w:eastAsia="zh-HK"/>
              </w:rPr>
              <w:t xml:space="preserve">In the first two delegation mechanisms, the efficacy of the chosen </w:t>
            </w:r>
            <w:smartTag w:uri="urn:schemas-microsoft-com:office:smarttags" w:element="stockticker">
              <w:r w:rsidRPr="00170701">
                <w:rPr>
                  <w:rFonts w:eastAsia="Arial Unicode MS"/>
                  <w:lang w:eastAsia="zh-HK"/>
                </w:rPr>
                <w:t>TCAM</w:t>
              </w:r>
            </w:smartTag>
            <w:r w:rsidRPr="00170701">
              <w:rPr>
                <w:rFonts w:eastAsia="Arial Unicode MS"/>
                <w:lang w:eastAsia="zh-HK"/>
              </w:rPr>
              <w:t xml:space="preserve"> therapy is usually not assessed. Instead, managers’ and BMD’s opinions and perceptions on that therapy’s safety, as well as the cost and local availability, dominate the decision-making process.</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p>
        </w:tc>
        <w:tc>
          <w:tcPr>
            <w:tcW w:w="10631" w:type="dxa"/>
            <w:shd w:val="clear" w:color="000000" w:fill="auto"/>
          </w:tcPr>
          <w:p w:rsidR="00B46D3F" w:rsidRPr="00170701" w:rsidRDefault="00B46D3F" w:rsidP="005B1207">
            <w:pPr>
              <w:numPr>
                <w:ilvl w:val="0"/>
                <w:numId w:val="3"/>
              </w:numPr>
              <w:tabs>
                <w:tab w:val="clear" w:pos="8640"/>
              </w:tabs>
              <w:jc w:val="left"/>
              <w:rPr>
                <w:rFonts w:eastAsia="Arial Unicode MS"/>
                <w:lang w:eastAsia="zh-HK"/>
              </w:rPr>
            </w:pPr>
            <w:r w:rsidRPr="004572DD">
              <w:rPr>
                <w:rFonts w:eastAsia="Arial Unicode MS"/>
                <w:lang w:eastAsia="zh-HK"/>
              </w:rPr>
              <w:t xml:space="preserve">In the third approach, leaders may brand </w:t>
            </w:r>
            <w:r>
              <w:rPr>
                <w:rFonts w:eastAsia="Arial Unicode MS"/>
                <w:lang w:eastAsia="zh-HK"/>
              </w:rPr>
              <w:t>TCAM</w:t>
            </w:r>
            <w:r w:rsidRPr="004572DD">
              <w:rPr>
                <w:rFonts w:eastAsia="Arial Unicode MS"/>
                <w:lang w:eastAsia="zh-HK"/>
              </w:rPr>
              <w:t xml:space="preserve"> inclusion as a means for clinical research and this is likely to satisfy skeptics. However, success would often require extra support from experienced researchers.</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r w:rsidRPr="00C75BC9">
              <w:rPr>
                <w:rFonts w:eastAsia="Arial Unicode MS"/>
                <w:lang w:eastAsia="zh-TW"/>
              </w:rPr>
              <w:t>6. Information exchange</w:t>
            </w:r>
          </w:p>
        </w:tc>
        <w:tc>
          <w:tcPr>
            <w:tcW w:w="10631" w:type="dxa"/>
            <w:shd w:val="clear" w:color="000000" w:fill="auto"/>
          </w:tcPr>
          <w:p w:rsidR="00B46D3F" w:rsidRPr="004572DD" w:rsidRDefault="00B46D3F" w:rsidP="005B1207">
            <w:pPr>
              <w:numPr>
                <w:ilvl w:val="0"/>
                <w:numId w:val="3"/>
              </w:numPr>
              <w:tabs>
                <w:tab w:val="clear" w:pos="8640"/>
              </w:tabs>
              <w:jc w:val="left"/>
              <w:rPr>
                <w:rFonts w:eastAsia="Arial Unicode MS"/>
                <w:lang w:eastAsia="zh-HK"/>
              </w:rPr>
            </w:pPr>
            <w:r w:rsidRPr="00170701">
              <w:rPr>
                <w:rFonts w:eastAsia="Arial Unicode MS"/>
                <w:lang w:eastAsia="zh-TW"/>
              </w:rPr>
              <w:t>Shared electronic health record is the preferred mode of information exchange between BMD and TCAMP.</w:t>
            </w:r>
          </w:p>
        </w:tc>
      </w:tr>
      <w:tr w:rsidR="00B46D3F" w:rsidRPr="00170701" w:rsidTr="005B1207">
        <w:tc>
          <w:tcPr>
            <w:tcW w:w="3227" w:type="dxa"/>
            <w:shd w:val="clear" w:color="000000" w:fill="auto"/>
          </w:tcPr>
          <w:p w:rsidR="00B46D3F" w:rsidRPr="00C75BC9" w:rsidRDefault="00B46D3F" w:rsidP="005B1207">
            <w:pPr>
              <w:tabs>
                <w:tab w:val="clear" w:pos="8640"/>
              </w:tabs>
              <w:jc w:val="left"/>
              <w:rPr>
                <w:rFonts w:eastAsia="Arial Unicode MS"/>
                <w:lang w:eastAsia="zh-TW"/>
              </w:rPr>
            </w:pPr>
          </w:p>
        </w:tc>
        <w:tc>
          <w:tcPr>
            <w:tcW w:w="10631" w:type="dxa"/>
            <w:shd w:val="clear" w:color="000000" w:fill="auto"/>
          </w:tcPr>
          <w:p w:rsidR="00B46D3F" w:rsidRPr="00170701" w:rsidRDefault="00B46D3F" w:rsidP="005B1207">
            <w:pPr>
              <w:numPr>
                <w:ilvl w:val="0"/>
                <w:numId w:val="3"/>
              </w:numPr>
              <w:tabs>
                <w:tab w:val="clear" w:pos="8640"/>
              </w:tabs>
              <w:jc w:val="left"/>
              <w:rPr>
                <w:rFonts w:eastAsia="Arial Unicode MS"/>
                <w:lang w:eastAsia="zh-TW"/>
              </w:rPr>
            </w:pPr>
            <w:r w:rsidRPr="00170701">
              <w:rPr>
                <w:rFonts w:eastAsia="Arial Unicode MS"/>
                <w:lang w:eastAsia="zh-TW"/>
              </w:rPr>
              <w:t xml:space="preserve">Immediate positive feedback received via record exchange </w:t>
            </w:r>
            <w:r w:rsidRPr="00170701">
              <w:rPr>
                <w:rFonts w:eastAsia="Arial Unicode MS"/>
                <w:lang w:eastAsia="zh-HK"/>
              </w:rPr>
              <w:t xml:space="preserve">can promote BMD’s referral decisions </w:t>
            </w:r>
            <w:r w:rsidRPr="00170701">
              <w:rPr>
                <w:rFonts w:eastAsia="Arial Unicode MS"/>
                <w:lang w:eastAsia="zh-HK"/>
              </w:rPr>
              <w:lastRenderedPageBreak/>
              <w:t>as well as create a stronger trust in TCAMP’s competency.</w:t>
            </w:r>
          </w:p>
        </w:tc>
      </w:tr>
      <w:tr w:rsidR="00B46D3F" w:rsidRPr="00170701" w:rsidTr="005B1207">
        <w:tc>
          <w:tcPr>
            <w:tcW w:w="3227" w:type="dxa"/>
            <w:shd w:val="clear" w:color="000000" w:fill="auto"/>
          </w:tcPr>
          <w:p w:rsidR="00B46D3F" w:rsidRPr="00170701" w:rsidRDefault="00B46D3F" w:rsidP="005B1207">
            <w:pPr>
              <w:tabs>
                <w:tab w:val="clear" w:pos="8640"/>
              </w:tabs>
              <w:jc w:val="left"/>
              <w:rPr>
                <w:rFonts w:eastAsia="Arial Unicode MS"/>
                <w:u w:val="single"/>
                <w:lang w:eastAsia="zh-TW"/>
              </w:rPr>
            </w:pPr>
          </w:p>
        </w:tc>
        <w:tc>
          <w:tcPr>
            <w:tcW w:w="10631" w:type="dxa"/>
            <w:shd w:val="clear" w:color="000000" w:fill="auto"/>
          </w:tcPr>
          <w:p w:rsidR="00B46D3F" w:rsidRPr="00170701" w:rsidRDefault="00B46D3F" w:rsidP="005B1207">
            <w:pPr>
              <w:numPr>
                <w:ilvl w:val="0"/>
                <w:numId w:val="3"/>
              </w:numPr>
              <w:tabs>
                <w:tab w:val="clear" w:pos="8640"/>
              </w:tabs>
              <w:jc w:val="left"/>
              <w:rPr>
                <w:rFonts w:eastAsia="Arial Unicode MS"/>
                <w:lang w:eastAsia="zh-TW"/>
              </w:rPr>
            </w:pPr>
            <w:r w:rsidRPr="00170701">
              <w:rPr>
                <w:rFonts w:eastAsia="Arial Unicode MS"/>
                <w:lang w:eastAsia="zh-HK"/>
              </w:rPr>
              <w:t>More mature integration programs usually formalize their evaluation process around outcomes that are recognized both by BMD and TCAMP.</w:t>
            </w:r>
          </w:p>
        </w:tc>
      </w:tr>
    </w:tbl>
    <w:p w:rsidR="008B0CD7" w:rsidRDefault="008B0CD7"/>
    <w:sectPr w:rsidR="008B0CD7" w:rsidSect="00B46D3F">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A1F"/>
    <w:multiLevelType w:val="hybridMultilevel"/>
    <w:tmpl w:val="716A5228"/>
    <w:lvl w:ilvl="0" w:tplc="9F1679A8">
      <w:start w:val="1"/>
      <w:numFmt w:val="bullet"/>
      <w:lvlText w:val=""/>
      <w:lvlJc w:val="left"/>
      <w:pPr>
        <w:tabs>
          <w:tab w:val="num" w:pos="420"/>
        </w:tabs>
        <w:ind w:left="420" w:hanging="420"/>
      </w:pPr>
      <w:rPr>
        <w:rFonts w:ascii="Wingdings" w:hAnsi="Wingdings" w:hint="default"/>
      </w:rPr>
    </w:lvl>
    <w:lvl w:ilvl="1" w:tplc="C654383C" w:tentative="1">
      <w:start w:val="1"/>
      <w:numFmt w:val="bullet"/>
      <w:lvlText w:val=""/>
      <w:lvlJc w:val="left"/>
      <w:pPr>
        <w:tabs>
          <w:tab w:val="num" w:pos="840"/>
        </w:tabs>
        <w:ind w:left="840" w:hanging="420"/>
      </w:pPr>
      <w:rPr>
        <w:rFonts w:ascii="Wingdings" w:hAnsi="Wingdings" w:hint="default"/>
      </w:rPr>
    </w:lvl>
    <w:lvl w:ilvl="2" w:tplc="9EEE78E2" w:tentative="1">
      <w:start w:val="1"/>
      <w:numFmt w:val="bullet"/>
      <w:lvlText w:val=""/>
      <w:lvlJc w:val="left"/>
      <w:pPr>
        <w:tabs>
          <w:tab w:val="num" w:pos="1260"/>
        </w:tabs>
        <w:ind w:left="1260" w:hanging="420"/>
      </w:pPr>
      <w:rPr>
        <w:rFonts w:ascii="Wingdings" w:hAnsi="Wingdings" w:hint="default"/>
      </w:rPr>
    </w:lvl>
    <w:lvl w:ilvl="3" w:tplc="12548AC0" w:tentative="1">
      <w:start w:val="1"/>
      <w:numFmt w:val="bullet"/>
      <w:lvlText w:val=""/>
      <w:lvlJc w:val="left"/>
      <w:pPr>
        <w:tabs>
          <w:tab w:val="num" w:pos="1680"/>
        </w:tabs>
        <w:ind w:left="1680" w:hanging="420"/>
      </w:pPr>
      <w:rPr>
        <w:rFonts w:ascii="Wingdings" w:hAnsi="Wingdings" w:hint="default"/>
      </w:rPr>
    </w:lvl>
    <w:lvl w:ilvl="4" w:tplc="85BE49B2" w:tentative="1">
      <w:start w:val="1"/>
      <w:numFmt w:val="bullet"/>
      <w:lvlText w:val=""/>
      <w:lvlJc w:val="left"/>
      <w:pPr>
        <w:tabs>
          <w:tab w:val="num" w:pos="2100"/>
        </w:tabs>
        <w:ind w:left="2100" w:hanging="420"/>
      </w:pPr>
      <w:rPr>
        <w:rFonts w:ascii="Wingdings" w:hAnsi="Wingdings" w:hint="default"/>
      </w:rPr>
    </w:lvl>
    <w:lvl w:ilvl="5" w:tplc="91BC59E0" w:tentative="1">
      <w:start w:val="1"/>
      <w:numFmt w:val="bullet"/>
      <w:lvlText w:val=""/>
      <w:lvlJc w:val="left"/>
      <w:pPr>
        <w:tabs>
          <w:tab w:val="num" w:pos="2520"/>
        </w:tabs>
        <w:ind w:left="2520" w:hanging="420"/>
      </w:pPr>
      <w:rPr>
        <w:rFonts w:ascii="Wingdings" w:hAnsi="Wingdings" w:hint="default"/>
      </w:rPr>
    </w:lvl>
    <w:lvl w:ilvl="6" w:tplc="440847F2" w:tentative="1">
      <w:start w:val="1"/>
      <w:numFmt w:val="bullet"/>
      <w:lvlText w:val=""/>
      <w:lvlJc w:val="left"/>
      <w:pPr>
        <w:tabs>
          <w:tab w:val="num" w:pos="2940"/>
        </w:tabs>
        <w:ind w:left="2940" w:hanging="420"/>
      </w:pPr>
      <w:rPr>
        <w:rFonts w:ascii="Wingdings" w:hAnsi="Wingdings" w:hint="default"/>
      </w:rPr>
    </w:lvl>
    <w:lvl w:ilvl="7" w:tplc="5C9E76C0" w:tentative="1">
      <w:start w:val="1"/>
      <w:numFmt w:val="bullet"/>
      <w:lvlText w:val=""/>
      <w:lvlJc w:val="left"/>
      <w:pPr>
        <w:tabs>
          <w:tab w:val="num" w:pos="3360"/>
        </w:tabs>
        <w:ind w:left="3360" w:hanging="420"/>
      </w:pPr>
      <w:rPr>
        <w:rFonts w:ascii="Wingdings" w:hAnsi="Wingdings" w:hint="default"/>
      </w:rPr>
    </w:lvl>
    <w:lvl w:ilvl="8" w:tplc="09A6791A" w:tentative="1">
      <w:start w:val="1"/>
      <w:numFmt w:val="bullet"/>
      <w:lvlText w:val=""/>
      <w:lvlJc w:val="left"/>
      <w:pPr>
        <w:tabs>
          <w:tab w:val="num" w:pos="3780"/>
        </w:tabs>
        <w:ind w:left="3780" w:hanging="420"/>
      </w:pPr>
      <w:rPr>
        <w:rFonts w:ascii="Wingdings" w:hAnsi="Wingdings" w:hint="default"/>
      </w:rPr>
    </w:lvl>
  </w:abstractNum>
  <w:abstractNum w:abstractNumId="1">
    <w:nsid w:val="61DF6519"/>
    <w:multiLevelType w:val="hybridMultilevel"/>
    <w:tmpl w:val="8F903352"/>
    <w:lvl w:ilvl="0" w:tplc="A192D6E2">
      <w:start w:val="1"/>
      <w:numFmt w:val="bullet"/>
      <w:lvlText w:val=""/>
      <w:lvlJc w:val="left"/>
      <w:pPr>
        <w:tabs>
          <w:tab w:val="num" w:pos="420"/>
        </w:tabs>
        <w:ind w:left="420" w:hanging="420"/>
      </w:pPr>
      <w:rPr>
        <w:rFonts w:ascii="Wingdings" w:hAnsi="Wingdings" w:hint="default"/>
      </w:rPr>
    </w:lvl>
    <w:lvl w:ilvl="1" w:tplc="17C4330C" w:tentative="1">
      <w:start w:val="1"/>
      <w:numFmt w:val="bullet"/>
      <w:lvlText w:val=""/>
      <w:lvlJc w:val="left"/>
      <w:pPr>
        <w:tabs>
          <w:tab w:val="num" w:pos="840"/>
        </w:tabs>
        <w:ind w:left="840" w:hanging="420"/>
      </w:pPr>
      <w:rPr>
        <w:rFonts w:ascii="Wingdings" w:hAnsi="Wingdings" w:hint="default"/>
      </w:rPr>
    </w:lvl>
    <w:lvl w:ilvl="2" w:tplc="ADE0F60E" w:tentative="1">
      <w:start w:val="1"/>
      <w:numFmt w:val="bullet"/>
      <w:lvlText w:val=""/>
      <w:lvlJc w:val="left"/>
      <w:pPr>
        <w:tabs>
          <w:tab w:val="num" w:pos="1260"/>
        </w:tabs>
        <w:ind w:left="1260" w:hanging="420"/>
      </w:pPr>
      <w:rPr>
        <w:rFonts w:ascii="Wingdings" w:hAnsi="Wingdings" w:hint="default"/>
      </w:rPr>
    </w:lvl>
    <w:lvl w:ilvl="3" w:tplc="42AAF28C" w:tentative="1">
      <w:start w:val="1"/>
      <w:numFmt w:val="bullet"/>
      <w:lvlText w:val=""/>
      <w:lvlJc w:val="left"/>
      <w:pPr>
        <w:tabs>
          <w:tab w:val="num" w:pos="1680"/>
        </w:tabs>
        <w:ind w:left="1680" w:hanging="420"/>
      </w:pPr>
      <w:rPr>
        <w:rFonts w:ascii="Wingdings" w:hAnsi="Wingdings" w:hint="default"/>
      </w:rPr>
    </w:lvl>
    <w:lvl w:ilvl="4" w:tplc="8528B0DC" w:tentative="1">
      <w:start w:val="1"/>
      <w:numFmt w:val="bullet"/>
      <w:lvlText w:val=""/>
      <w:lvlJc w:val="left"/>
      <w:pPr>
        <w:tabs>
          <w:tab w:val="num" w:pos="2100"/>
        </w:tabs>
        <w:ind w:left="2100" w:hanging="420"/>
      </w:pPr>
      <w:rPr>
        <w:rFonts w:ascii="Wingdings" w:hAnsi="Wingdings" w:hint="default"/>
      </w:rPr>
    </w:lvl>
    <w:lvl w:ilvl="5" w:tplc="5C4AF4D2" w:tentative="1">
      <w:start w:val="1"/>
      <w:numFmt w:val="bullet"/>
      <w:lvlText w:val=""/>
      <w:lvlJc w:val="left"/>
      <w:pPr>
        <w:tabs>
          <w:tab w:val="num" w:pos="2520"/>
        </w:tabs>
        <w:ind w:left="2520" w:hanging="420"/>
      </w:pPr>
      <w:rPr>
        <w:rFonts w:ascii="Wingdings" w:hAnsi="Wingdings" w:hint="default"/>
      </w:rPr>
    </w:lvl>
    <w:lvl w:ilvl="6" w:tplc="AF2497E8" w:tentative="1">
      <w:start w:val="1"/>
      <w:numFmt w:val="bullet"/>
      <w:lvlText w:val=""/>
      <w:lvlJc w:val="left"/>
      <w:pPr>
        <w:tabs>
          <w:tab w:val="num" w:pos="2940"/>
        </w:tabs>
        <w:ind w:left="2940" w:hanging="420"/>
      </w:pPr>
      <w:rPr>
        <w:rFonts w:ascii="Wingdings" w:hAnsi="Wingdings" w:hint="default"/>
      </w:rPr>
    </w:lvl>
    <w:lvl w:ilvl="7" w:tplc="293C58B8" w:tentative="1">
      <w:start w:val="1"/>
      <w:numFmt w:val="bullet"/>
      <w:lvlText w:val=""/>
      <w:lvlJc w:val="left"/>
      <w:pPr>
        <w:tabs>
          <w:tab w:val="num" w:pos="3360"/>
        </w:tabs>
        <w:ind w:left="3360" w:hanging="420"/>
      </w:pPr>
      <w:rPr>
        <w:rFonts w:ascii="Wingdings" w:hAnsi="Wingdings" w:hint="default"/>
      </w:rPr>
    </w:lvl>
    <w:lvl w:ilvl="8" w:tplc="F6361F78" w:tentative="1">
      <w:start w:val="1"/>
      <w:numFmt w:val="bullet"/>
      <w:lvlText w:val=""/>
      <w:lvlJc w:val="left"/>
      <w:pPr>
        <w:tabs>
          <w:tab w:val="num" w:pos="3780"/>
        </w:tabs>
        <w:ind w:left="3780" w:hanging="420"/>
      </w:pPr>
      <w:rPr>
        <w:rFonts w:ascii="Wingdings" w:hAnsi="Wingdings" w:hint="default"/>
      </w:rPr>
    </w:lvl>
  </w:abstractNum>
  <w:abstractNum w:abstractNumId="2">
    <w:nsid w:val="7B8B6141"/>
    <w:multiLevelType w:val="hybridMultilevel"/>
    <w:tmpl w:val="BFFCB0B4"/>
    <w:lvl w:ilvl="0" w:tplc="E53CE84A">
      <w:start w:val="1"/>
      <w:numFmt w:val="bullet"/>
      <w:lvlText w:val=""/>
      <w:lvlJc w:val="left"/>
      <w:pPr>
        <w:tabs>
          <w:tab w:val="num" w:pos="420"/>
        </w:tabs>
        <w:ind w:left="420" w:hanging="420"/>
      </w:pPr>
      <w:rPr>
        <w:rFonts w:ascii="Wingdings" w:hAnsi="Wingdings" w:hint="default"/>
      </w:rPr>
    </w:lvl>
    <w:lvl w:ilvl="1" w:tplc="EA22A952" w:tentative="1">
      <w:start w:val="1"/>
      <w:numFmt w:val="bullet"/>
      <w:lvlText w:val=""/>
      <w:lvlJc w:val="left"/>
      <w:pPr>
        <w:tabs>
          <w:tab w:val="num" w:pos="840"/>
        </w:tabs>
        <w:ind w:left="840" w:hanging="420"/>
      </w:pPr>
      <w:rPr>
        <w:rFonts w:ascii="Wingdings" w:hAnsi="Wingdings" w:hint="default"/>
      </w:rPr>
    </w:lvl>
    <w:lvl w:ilvl="2" w:tplc="1DBE55DA" w:tentative="1">
      <w:start w:val="1"/>
      <w:numFmt w:val="bullet"/>
      <w:lvlText w:val=""/>
      <w:lvlJc w:val="left"/>
      <w:pPr>
        <w:tabs>
          <w:tab w:val="num" w:pos="1260"/>
        </w:tabs>
        <w:ind w:left="1260" w:hanging="420"/>
      </w:pPr>
      <w:rPr>
        <w:rFonts w:ascii="Wingdings" w:hAnsi="Wingdings" w:hint="default"/>
      </w:rPr>
    </w:lvl>
    <w:lvl w:ilvl="3" w:tplc="F2542950" w:tentative="1">
      <w:start w:val="1"/>
      <w:numFmt w:val="bullet"/>
      <w:lvlText w:val=""/>
      <w:lvlJc w:val="left"/>
      <w:pPr>
        <w:tabs>
          <w:tab w:val="num" w:pos="1680"/>
        </w:tabs>
        <w:ind w:left="1680" w:hanging="420"/>
      </w:pPr>
      <w:rPr>
        <w:rFonts w:ascii="Wingdings" w:hAnsi="Wingdings" w:hint="default"/>
      </w:rPr>
    </w:lvl>
    <w:lvl w:ilvl="4" w:tplc="6D966E62" w:tentative="1">
      <w:start w:val="1"/>
      <w:numFmt w:val="bullet"/>
      <w:lvlText w:val=""/>
      <w:lvlJc w:val="left"/>
      <w:pPr>
        <w:tabs>
          <w:tab w:val="num" w:pos="2100"/>
        </w:tabs>
        <w:ind w:left="2100" w:hanging="420"/>
      </w:pPr>
      <w:rPr>
        <w:rFonts w:ascii="Wingdings" w:hAnsi="Wingdings" w:hint="default"/>
      </w:rPr>
    </w:lvl>
    <w:lvl w:ilvl="5" w:tplc="156E6480" w:tentative="1">
      <w:start w:val="1"/>
      <w:numFmt w:val="bullet"/>
      <w:lvlText w:val=""/>
      <w:lvlJc w:val="left"/>
      <w:pPr>
        <w:tabs>
          <w:tab w:val="num" w:pos="2520"/>
        </w:tabs>
        <w:ind w:left="2520" w:hanging="420"/>
      </w:pPr>
      <w:rPr>
        <w:rFonts w:ascii="Wingdings" w:hAnsi="Wingdings" w:hint="default"/>
      </w:rPr>
    </w:lvl>
    <w:lvl w:ilvl="6" w:tplc="E5F221A2" w:tentative="1">
      <w:start w:val="1"/>
      <w:numFmt w:val="bullet"/>
      <w:lvlText w:val=""/>
      <w:lvlJc w:val="left"/>
      <w:pPr>
        <w:tabs>
          <w:tab w:val="num" w:pos="2940"/>
        </w:tabs>
        <w:ind w:left="2940" w:hanging="420"/>
      </w:pPr>
      <w:rPr>
        <w:rFonts w:ascii="Wingdings" w:hAnsi="Wingdings" w:hint="default"/>
      </w:rPr>
    </w:lvl>
    <w:lvl w:ilvl="7" w:tplc="B4D628A6" w:tentative="1">
      <w:start w:val="1"/>
      <w:numFmt w:val="bullet"/>
      <w:lvlText w:val=""/>
      <w:lvlJc w:val="left"/>
      <w:pPr>
        <w:tabs>
          <w:tab w:val="num" w:pos="3360"/>
        </w:tabs>
        <w:ind w:left="3360" w:hanging="420"/>
      </w:pPr>
      <w:rPr>
        <w:rFonts w:ascii="Wingdings" w:hAnsi="Wingdings" w:hint="default"/>
      </w:rPr>
    </w:lvl>
    <w:lvl w:ilvl="8" w:tplc="E9785ECA"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B46D3F"/>
    <w:rsid w:val="0003326E"/>
    <w:rsid w:val="008B0CD7"/>
    <w:rsid w:val="0096276F"/>
    <w:rsid w:val="00AB6E88"/>
    <w:rsid w:val="00B46D3F"/>
    <w:rsid w:val="00D94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3F"/>
    <w:pPr>
      <w:tabs>
        <w:tab w:val="right" w:pos="8640"/>
      </w:tabs>
      <w:spacing w:after="0" w:line="240" w:lineRule="auto"/>
      <w:jc w:val="both"/>
    </w:pPr>
    <w:rPr>
      <w:rFonts w:ascii="Times New Roman" w:hAnsi="Times New Roman" w:cs="Times New Roman"/>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polly</cp:lastModifiedBy>
  <cp:revision>4</cp:revision>
  <dcterms:created xsi:type="dcterms:W3CDTF">2012-10-26T08:45:00Z</dcterms:created>
  <dcterms:modified xsi:type="dcterms:W3CDTF">2012-10-26T09:27:00Z</dcterms:modified>
</cp:coreProperties>
</file>