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25" w:rsidRDefault="00A77C66" w:rsidP="001C7A25">
      <w:bookmarkStart w:id="0" w:name="_GoBack"/>
      <w:bookmarkEnd w:id="0"/>
      <w:r>
        <w:rPr>
          <w:b/>
        </w:rPr>
        <w:t>Table S3</w:t>
      </w:r>
      <w:r w:rsidR="001C7A25" w:rsidRPr="00CB298D">
        <w:rPr>
          <w:b/>
        </w:rPr>
        <w:t>:</w:t>
      </w:r>
      <w:r w:rsidR="001C7A25">
        <w:t xml:space="preserve"> Summary of studies meeting criteria for contacting authors for further data but for which insufficient secondary data was provided for study inclusion.</w:t>
      </w:r>
    </w:p>
    <w:tbl>
      <w:tblPr>
        <w:tblpPr w:leftFromText="180" w:rightFromText="180" w:vertAnchor="text" w:horzAnchor="margin" w:tblpXSpec="center" w:tblpY="671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2353"/>
        <w:gridCol w:w="1418"/>
        <w:gridCol w:w="1984"/>
        <w:gridCol w:w="1985"/>
        <w:gridCol w:w="2410"/>
      </w:tblGrid>
      <w:tr w:rsidR="00C86AB5" w:rsidRPr="00C86AB5" w:rsidTr="00C86AB5">
        <w:tc>
          <w:tcPr>
            <w:tcW w:w="2353" w:type="dxa"/>
            <w:vAlign w:val="center"/>
          </w:tcPr>
          <w:p w:rsidR="00C86AB5" w:rsidRPr="00C86AB5" w:rsidRDefault="00C86AB5" w:rsidP="00C86A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Study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spacing w:line="240" w:lineRule="auto"/>
              <w:ind w:left="190" w:hanging="19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Eligible subjects with TST placement (N)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Eligible subjects testing TST-positive (N)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spacing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Overall proportion of subjects testing TST-positive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>Zhang et al (2010) [1]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 xml:space="preserve"> 3.2%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6AB5">
              <w:rPr>
                <w:color w:val="000000"/>
                <w:sz w:val="18"/>
                <w:szCs w:val="18"/>
              </w:rPr>
              <w:t>Golub</w:t>
            </w:r>
            <w:proofErr w:type="spellEnd"/>
            <w:r w:rsidRPr="00C86AB5">
              <w:rPr>
                <w:color w:val="000000"/>
                <w:sz w:val="18"/>
                <w:szCs w:val="18"/>
              </w:rPr>
              <w:t xml:space="preserve"> et al (2007) [2]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5492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 xml:space="preserve"> 24.8%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6AB5">
              <w:rPr>
                <w:color w:val="000000"/>
                <w:sz w:val="18"/>
                <w:szCs w:val="18"/>
              </w:rPr>
              <w:t>Hawken</w:t>
            </w:r>
            <w:proofErr w:type="spellEnd"/>
            <w:r w:rsidRPr="00C86AB5">
              <w:rPr>
                <w:color w:val="000000"/>
                <w:sz w:val="18"/>
                <w:szCs w:val="18"/>
              </w:rPr>
              <w:t xml:space="preserve"> et al (1997) [3]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136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>22.9%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6AB5">
              <w:rPr>
                <w:color w:val="000000"/>
                <w:sz w:val="18"/>
                <w:szCs w:val="18"/>
              </w:rPr>
              <w:t>Kabeer</w:t>
            </w:r>
            <w:proofErr w:type="spellEnd"/>
            <w:r w:rsidRPr="00C86AB5">
              <w:rPr>
                <w:color w:val="000000"/>
                <w:sz w:val="18"/>
                <w:szCs w:val="18"/>
              </w:rPr>
              <w:t xml:space="preserve"> et al (2011) [4]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 xml:space="preserve"> 18.9%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6AB5">
              <w:rPr>
                <w:color w:val="000000"/>
                <w:sz w:val="18"/>
                <w:szCs w:val="18"/>
              </w:rPr>
              <w:t>Leidl</w:t>
            </w:r>
            <w:proofErr w:type="spellEnd"/>
            <w:r w:rsidRPr="00C86AB5">
              <w:rPr>
                <w:color w:val="000000"/>
                <w:sz w:val="18"/>
                <w:szCs w:val="18"/>
              </w:rPr>
              <w:t xml:space="preserve"> et al (2010) [5]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 xml:space="preserve"> 47.2%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6AB5">
              <w:rPr>
                <w:color w:val="000000"/>
                <w:sz w:val="18"/>
                <w:szCs w:val="18"/>
              </w:rPr>
              <w:t>Talati</w:t>
            </w:r>
            <w:proofErr w:type="spellEnd"/>
            <w:r w:rsidRPr="00C86AB5">
              <w:rPr>
                <w:color w:val="000000"/>
                <w:sz w:val="18"/>
                <w:szCs w:val="18"/>
              </w:rPr>
              <w:t xml:space="preserve"> et al (2011) [6]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Zambia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128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 xml:space="preserve"> 43.0%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>Toledo et al (2000) [7]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>-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6AB5">
              <w:rPr>
                <w:color w:val="000000"/>
                <w:sz w:val="18"/>
                <w:szCs w:val="18"/>
              </w:rPr>
              <w:t>Pistone</w:t>
            </w:r>
            <w:proofErr w:type="spellEnd"/>
            <w:r w:rsidRPr="00C86AB5">
              <w:rPr>
                <w:color w:val="000000"/>
                <w:sz w:val="18"/>
                <w:szCs w:val="18"/>
              </w:rPr>
              <w:t xml:space="preserve"> et al (2002) [8]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Senegal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 xml:space="preserve"> 23.5%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>Rodriguez et al (1997) [9]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 xml:space="preserve"> 22.1%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86AB5">
              <w:rPr>
                <w:color w:val="000000"/>
                <w:sz w:val="18"/>
                <w:szCs w:val="18"/>
              </w:rPr>
              <w:t>Tegbaru</w:t>
            </w:r>
            <w:proofErr w:type="spellEnd"/>
            <w:r w:rsidRPr="00C86AB5">
              <w:rPr>
                <w:color w:val="000000"/>
                <w:sz w:val="18"/>
                <w:szCs w:val="18"/>
              </w:rPr>
              <w:t xml:space="preserve"> et al (2006) [10]</w:t>
            </w: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  <w:r w:rsidRPr="00C86AB5">
              <w:rPr>
                <w:color w:val="000000"/>
                <w:sz w:val="18"/>
                <w:szCs w:val="18"/>
              </w:rPr>
              <w:t xml:space="preserve"> 40.5%</w:t>
            </w:r>
          </w:p>
        </w:tc>
      </w:tr>
      <w:tr w:rsidR="00C86AB5" w:rsidRPr="00C86AB5" w:rsidTr="00C86AB5">
        <w:tc>
          <w:tcPr>
            <w:tcW w:w="2353" w:type="dxa"/>
            <w:vAlign w:val="bottom"/>
          </w:tcPr>
          <w:p w:rsidR="00C86AB5" w:rsidRPr="00C86AB5" w:rsidRDefault="00C86AB5" w:rsidP="00C86AB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86AB5" w:rsidRPr="00C86AB5" w:rsidRDefault="00C86AB5" w:rsidP="00C86A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86AB5" w:rsidRPr="00C86AB5" w:rsidRDefault="00C86AB5" w:rsidP="00C86AB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86AB5" w:rsidRPr="00C86AB5" w:rsidTr="00C86AB5">
        <w:tc>
          <w:tcPr>
            <w:tcW w:w="10150" w:type="dxa"/>
            <w:gridSpan w:val="5"/>
            <w:vAlign w:val="bottom"/>
          </w:tcPr>
          <w:p w:rsidR="00C86AB5" w:rsidRPr="00C86AB5" w:rsidRDefault="00C86AB5" w:rsidP="00C86AB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86AB5">
              <w:rPr>
                <w:b/>
                <w:bCs/>
                <w:color w:val="000000"/>
                <w:sz w:val="18"/>
                <w:szCs w:val="18"/>
              </w:rPr>
              <w:t>Median proportion of study subjects testing TST-positive [%</w:t>
            </w:r>
            <w:proofErr w:type="gramStart"/>
            <w:r w:rsidRPr="00C86AB5">
              <w:rPr>
                <w:b/>
                <w:bCs/>
                <w:color w:val="000000"/>
                <w:sz w:val="18"/>
                <w:szCs w:val="18"/>
              </w:rPr>
              <w:t>(IQR</w:t>
            </w:r>
            <w:proofErr w:type="gramEnd"/>
            <w:r w:rsidRPr="00C86AB5">
              <w:rPr>
                <w:b/>
                <w:bCs/>
                <w:color w:val="000000"/>
                <w:sz w:val="18"/>
                <w:szCs w:val="18"/>
              </w:rPr>
              <w:t xml:space="preserve">)]                                                                      </w:t>
            </w:r>
            <w:r w:rsidRPr="00C86AB5">
              <w:rPr>
                <w:b/>
                <w:sz w:val="18"/>
                <w:szCs w:val="18"/>
              </w:rPr>
              <w:t xml:space="preserve">23.5% (22.1-40.1%) </w:t>
            </w:r>
          </w:p>
        </w:tc>
      </w:tr>
    </w:tbl>
    <w:p w:rsidR="00371D0C" w:rsidRDefault="00371D0C" w:rsidP="00371D0C"/>
    <w:p w:rsidR="00371D0C" w:rsidRDefault="00371D0C" w:rsidP="00371D0C"/>
    <w:p w:rsidR="00371D0C" w:rsidRDefault="00371D0C" w:rsidP="00371D0C"/>
    <w:p w:rsidR="00371D0C" w:rsidRPr="004677B5" w:rsidRDefault="00371D0C" w:rsidP="00F44408">
      <w:pPr>
        <w:rPr>
          <w:b/>
        </w:rPr>
      </w:pPr>
      <w:r w:rsidRPr="004677B5">
        <w:rPr>
          <w:b/>
        </w:rPr>
        <w:t>References</w:t>
      </w:r>
    </w:p>
    <w:p w:rsidR="00371D0C" w:rsidRDefault="00371D0C" w:rsidP="00F44408">
      <w:pPr>
        <w:pStyle w:val="ListParagraph"/>
        <w:numPr>
          <w:ilvl w:val="0"/>
          <w:numId w:val="1"/>
        </w:numPr>
        <w:tabs>
          <w:tab w:val="right" w:pos="540"/>
          <w:tab w:val="left" w:pos="720"/>
        </w:tabs>
        <w:spacing w:after="240"/>
        <w:rPr>
          <w:szCs w:val="24"/>
        </w:rPr>
      </w:pPr>
      <w:r w:rsidRPr="00010C2D">
        <w:rPr>
          <w:szCs w:val="24"/>
        </w:rPr>
        <w:t xml:space="preserve">Zhang M, Wang H, Liao M, Chen X, </w:t>
      </w:r>
      <w:proofErr w:type="spellStart"/>
      <w:r w:rsidRPr="00010C2D">
        <w:rPr>
          <w:szCs w:val="24"/>
        </w:rPr>
        <w:t>Graner</w:t>
      </w:r>
      <w:proofErr w:type="spellEnd"/>
      <w:r w:rsidRPr="00010C2D">
        <w:rPr>
          <w:szCs w:val="24"/>
        </w:rPr>
        <w:t xml:space="preserve"> M, et al. (2010) Diagnosis of latent tuberculosis infection in </w:t>
      </w:r>
      <w:proofErr w:type="spellStart"/>
      <w:r w:rsidRPr="00010C2D">
        <w:rPr>
          <w:szCs w:val="24"/>
        </w:rPr>
        <w:t>bacille</w:t>
      </w:r>
      <w:proofErr w:type="spellEnd"/>
      <w:r w:rsidRPr="00010C2D">
        <w:rPr>
          <w:szCs w:val="24"/>
        </w:rPr>
        <w:t xml:space="preserve"> </w:t>
      </w:r>
      <w:proofErr w:type="spellStart"/>
      <w:r w:rsidRPr="00010C2D">
        <w:rPr>
          <w:szCs w:val="24"/>
        </w:rPr>
        <w:t>Calmette</w:t>
      </w:r>
      <w:proofErr w:type="spellEnd"/>
      <w:r w:rsidRPr="00010C2D">
        <w:rPr>
          <w:szCs w:val="24"/>
        </w:rPr>
        <w:t xml:space="preserve">-Guerin vaccinated subjects in China by interferon-gamma </w:t>
      </w:r>
      <w:proofErr w:type="spellStart"/>
      <w:r w:rsidRPr="00010C2D">
        <w:rPr>
          <w:szCs w:val="24"/>
        </w:rPr>
        <w:t>ELISpot</w:t>
      </w:r>
      <w:proofErr w:type="spellEnd"/>
      <w:r w:rsidRPr="00010C2D">
        <w:rPr>
          <w:szCs w:val="24"/>
        </w:rPr>
        <w:t xml:space="preserve"> assay. </w:t>
      </w:r>
      <w:proofErr w:type="spellStart"/>
      <w:r w:rsidRPr="00010C2D">
        <w:rPr>
          <w:szCs w:val="24"/>
        </w:rPr>
        <w:t>Int</w:t>
      </w:r>
      <w:proofErr w:type="spellEnd"/>
      <w:r w:rsidRPr="00010C2D">
        <w:rPr>
          <w:szCs w:val="24"/>
        </w:rPr>
        <w:t xml:space="preserve"> J </w:t>
      </w:r>
      <w:proofErr w:type="spellStart"/>
      <w:r w:rsidRPr="00010C2D">
        <w:rPr>
          <w:szCs w:val="24"/>
        </w:rPr>
        <w:t>Tuberc</w:t>
      </w:r>
      <w:proofErr w:type="spellEnd"/>
      <w:r w:rsidRPr="00010C2D">
        <w:rPr>
          <w:szCs w:val="24"/>
        </w:rPr>
        <w:t xml:space="preserve"> Lung </w:t>
      </w:r>
      <w:proofErr w:type="spellStart"/>
      <w:r w:rsidRPr="00010C2D">
        <w:rPr>
          <w:szCs w:val="24"/>
        </w:rPr>
        <w:t>Dis</w:t>
      </w:r>
      <w:proofErr w:type="spellEnd"/>
      <w:r w:rsidRPr="00010C2D">
        <w:rPr>
          <w:szCs w:val="24"/>
        </w:rPr>
        <w:t xml:space="preserve"> 14: 1556-63.</w:t>
      </w:r>
    </w:p>
    <w:p w:rsidR="00010C2D" w:rsidRPr="00010C2D" w:rsidRDefault="00010C2D" w:rsidP="00F44408">
      <w:pPr>
        <w:pStyle w:val="ListParagraph"/>
        <w:numPr>
          <w:ilvl w:val="0"/>
          <w:numId w:val="1"/>
        </w:numPr>
        <w:tabs>
          <w:tab w:val="right" w:pos="540"/>
          <w:tab w:val="left" w:pos="720"/>
        </w:tabs>
        <w:spacing w:after="240"/>
        <w:rPr>
          <w:szCs w:val="24"/>
        </w:rPr>
      </w:pPr>
      <w:proofErr w:type="spellStart"/>
      <w:r w:rsidRPr="00010C2D">
        <w:rPr>
          <w:szCs w:val="24"/>
        </w:rPr>
        <w:t>Golub</w:t>
      </w:r>
      <w:proofErr w:type="spellEnd"/>
      <w:r w:rsidRPr="00010C2D">
        <w:rPr>
          <w:szCs w:val="24"/>
        </w:rPr>
        <w:t xml:space="preserve"> JE, </w:t>
      </w:r>
      <w:proofErr w:type="spellStart"/>
      <w:r w:rsidRPr="00010C2D">
        <w:rPr>
          <w:szCs w:val="24"/>
        </w:rPr>
        <w:t>Saraceni</w:t>
      </w:r>
      <w:proofErr w:type="spellEnd"/>
      <w:r w:rsidRPr="00010C2D">
        <w:rPr>
          <w:szCs w:val="24"/>
        </w:rPr>
        <w:t xml:space="preserve"> V, </w:t>
      </w:r>
      <w:proofErr w:type="spellStart"/>
      <w:r w:rsidRPr="00010C2D">
        <w:rPr>
          <w:szCs w:val="24"/>
        </w:rPr>
        <w:t>Cavalcante</w:t>
      </w:r>
      <w:proofErr w:type="spellEnd"/>
      <w:r w:rsidRPr="00010C2D">
        <w:rPr>
          <w:szCs w:val="24"/>
        </w:rPr>
        <w:t xml:space="preserve"> SC, Pacheco AG, Moulton LH, et al. (2007) The impact of antiretroviral therapy and </w:t>
      </w:r>
      <w:proofErr w:type="spellStart"/>
      <w:r w:rsidRPr="00010C2D">
        <w:rPr>
          <w:szCs w:val="24"/>
        </w:rPr>
        <w:t>isoniazid</w:t>
      </w:r>
      <w:proofErr w:type="spellEnd"/>
      <w:r w:rsidRPr="00010C2D">
        <w:rPr>
          <w:szCs w:val="24"/>
        </w:rPr>
        <w:t xml:space="preserve"> preventive therapy on tuberculosis incidence in HIV-infected patients in Rio de Janeiro, Brazil. AIDS 21: 1441-8.</w:t>
      </w:r>
    </w:p>
    <w:p w:rsidR="00010C2D" w:rsidRPr="00010C2D" w:rsidRDefault="00010C2D" w:rsidP="00F44408">
      <w:pPr>
        <w:pStyle w:val="ListParagraph"/>
        <w:numPr>
          <w:ilvl w:val="0"/>
          <w:numId w:val="1"/>
        </w:numPr>
        <w:tabs>
          <w:tab w:val="right" w:pos="540"/>
          <w:tab w:val="left" w:pos="720"/>
        </w:tabs>
        <w:spacing w:after="240"/>
        <w:rPr>
          <w:szCs w:val="24"/>
        </w:rPr>
      </w:pPr>
      <w:proofErr w:type="spellStart"/>
      <w:r w:rsidRPr="00E81E59">
        <w:rPr>
          <w:szCs w:val="24"/>
        </w:rPr>
        <w:t>Hawken</w:t>
      </w:r>
      <w:proofErr w:type="spellEnd"/>
      <w:r w:rsidRPr="00E81E59">
        <w:rPr>
          <w:szCs w:val="24"/>
        </w:rPr>
        <w:t xml:space="preserve"> MP, Meme HK, Elliott LC, </w:t>
      </w:r>
      <w:proofErr w:type="spellStart"/>
      <w:r w:rsidRPr="00E81E59">
        <w:rPr>
          <w:szCs w:val="24"/>
        </w:rPr>
        <w:t>Chakaya</w:t>
      </w:r>
      <w:proofErr w:type="spellEnd"/>
      <w:r w:rsidRPr="00E81E59">
        <w:rPr>
          <w:szCs w:val="24"/>
        </w:rPr>
        <w:t xml:space="preserve"> JM, Morris JS, et al. (1997) </w:t>
      </w:r>
      <w:proofErr w:type="spellStart"/>
      <w:r w:rsidRPr="00E81E59">
        <w:rPr>
          <w:szCs w:val="24"/>
        </w:rPr>
        <w:t>Isoniazid</w:t>
      </w:r>
      <w:proofErr w:type="spellEnd"/>
      <w:r w:rsidRPr="00E81E59">
        <w:rPr>
          <w:szCs w:val="24"/>
        </w:rPr>
        <w:t xml:space="preserve"> preventive therapy for tuberculosis in HIV-1-infected adults: results of a randomized controlled trial. AIDS 11: 875-82.</w:t>
      </w:r>
    </w:p>
    <w:p w:rsidR="00371D0C" w:rsidRPr="00E81E59" w:rsidRDefault="00371D0C" w:rsidP="00F44408">
      <w:pPr>
        <w:tabs>
          <w:tab w:val="right" w:pos="540"/>
          <w:tab w:val="left" w:pos="720"/>
        </w:tabs>
        <w:spacing w:after="240"/>
        <w:ind w:left="720" w:hanging="720"/>
        <w:rPr>
          <w:szCs w:val="24"/>
        </w:rPr>
      </w:pPr>
      <w:r>
        <w:rPr>
          <w:szCs w:val="24"/>
        </w:rPr>
        <w:tab/>
        <w:t>(4</w:t>
      </w:r>
      <w:r w:rsidRPr="00E81E59">
        <w:rPr>
          <w:szCs w:val="24"/>
        </w:rPr>
        <w:t xml:space="preserve">) </w:t>
      </w:r>
      <w:r w:rsidRPr="00E81E59">
        <w:rPr>
          <w:szCs w:val="24"/>
        </w:rPr>
        <w:tab/>
      </w:r>
      <w:proofErr w:type="spellStart"/>
      <w:r w:rsidRPr="00E81E59">
        <w:rPr>
          <w:szCs w:val="24"/>
        </w:rPr>
        <w:t>Kabeer</w:t>
      </w:r>
      <w:proofErr w:type="spellEnd"/>
      <w:r w:rsidRPr="00E81E59">
        <w:rPr>
          <w:szCs w:val="24"/>
        </w:rPr>
        <w:t xml:space="preserve"> BS, </w:t>
      </w:r>
      <w:proofErr w:type="spellStart"/>
      <w:r w:rsidRPr="00E81E59">
        <w:rPr>
          <w:szCs w:val="24"/>
        </w:rPr>
        <w:t>Sikhamani</w:t>
      </w:r>
      <w:proofErr w:type="spellEnd"/>
      <w:r w:rsidRPr="00E81E59">
        <w:rPr>
          <w:szCs w:val="24"/>
        </w:rPr>
        <w:t xml:space="preserve"> R, Raja A. (2011) Comparison of interferon gamma-inducible protein-10 and interferon gamma-based </w:t>
      </w:r>
      <w:proofErr w:type="spellStart"/>
      <w:r w:rsidRPr="00E81E59">
        <w:rPr>
          <w:szCs w:val="24"/>
        </w:rPr>
        <w:t>QuantiFERON</w:t>
      </w:r>
      <w:proofErr w:type="spellEnd"/>
      <w:r w:rsidRPr="00E81E59">
        <w:rPr>
          <w:szCs w:val="24"/>
        </w:rPr>
        <w:t xml:space="preserve"> TB Gold assays with tuberculin skin test in HIV-infected subjects. </w:t>
      </w:r>
      <w:proofErr w:type="spellStart"/>
      <w:r w:rsidRPr="00E81E59">
        <w:rPr>
          <w:szCs w:val="24"/>
        </w:rPr>
        <w:t>Diagn</w:t>
      </w:r>
      <w:proofErr w:type="spellEnd"/>
      <w:r w:rsidRPr="00E81E59">
        <w:rPr>
          <w:szCs w:val="24"/>
        </w:rPr>
        <w:t xml:space="preserve"> </w:t>
      </w:r>
      <w:proofErr w:type="spellStart"/>
      <w:r w:rsidRPr="00E81E59">
        <w:rPr>
          <w:szCs w:val="24"/>
        </w:rPr>
        <w:t>Microbiol</w:t>
      </w:r>
      <w:proofErr w:type="spellEnd"/>
      <w:r w:rsidRPr="00E81E59">
        <w:rPr>
          <w:szCs w:val="24"/>
        </w:rPr>
        <w:t xml:space="preserve"> Infect </w:t>
      </w:r>
      <w:proofErr w:type="spellStart"/>
      <w:r w:rsidRPr="00E81E59">
        <w:rPr>
          <w:szCs w:val="24"/>
        </w:rPr>
        <w:t>Dis</w:t>
      </w:r>
      <w:proofErr w:type="spellEnd"/>
      <w:r w:rsidRPr="00E81E59">
        <w:rPr>
          <w:szCs w:val="24"/>
        </w:rPr>
        <w:t xml:space="preserve"> 71: 236-43.</w:t>
      </w:r>
    </w:p>
    <w:p w:rsidR="00371D0C" w:rsidRPr="00E81E59" w:rsidRDefault="00371D0C" w:rsidP="00F44408">
      <w:pPr>
        <w:tabs>
          <w:tab w:val="right" w:pos="540"/>
          <w:tab w:val="left" w:pos="720"/>
        </w:tabs>
        <w:spacing w:after="240"/>
        <w:ind w:left="720" w:hanging="720"/>
        <w:rPr>
          <w:szCs w:val="24"/>
        </w:rPr>
      </w:pPr>
      <w:r>
        <w:rPr>
          <w:szCs w:val="24"/>
        </w:rPr>
        <w:tab/>
        <w:t>(5</w:t>
      </w:r>
      <w:r w:rsidRPr="00E81E59">
        <w:rPr>
          <w:szCs w:val="24"/>
        </w:rPr>
        <w:t xml:space="preserve">) </w:t>
      </w:r>
      <w:r w:rsidRPr="00E81E59">
        <w:rPr>
          <w:szCs w:val="24"/>
        </w:rPr>
        <w:tab/>
      </w:r>
      <w:proofErr w:type="spellStart"/>
      <w:r w:rsidRPr="00E81E59">
        <w:rPr>
          <w:szCs w:val="24"/>
        </w:rPr>
        <w:t>Leidl</w:t>
      </w:r>
      <w:proofErr w:type="spellEnd"/>
      <w:r w:rsidRPr="00E81E59">
        <w:rPr>
          <w:szCs w:val="24"/>
        </w:rPr>
        <w:t xml:space="preserve"> L, </w:t>
      </w:r>
      <w:proofErr w:type="spellStart"/>
      <w:r w:rsidRPr="00E81E59">
        <w:rPr>
          <w:szCs w:val="24"/>
        </w:rPr>
        <w:t>Mayanja-Kizza</w:t>
      </w:r>
      <w:proofErr w:type="spellEnd"/>
      <w:r w:rsidRPr="00E81E59">
        <w:rPr>
          <w:szCs w:val="24"/>
        </w:rPr>
        <w:t xml:space="preserve"> H, </w:t>
      </w:r>
      <w:proofErr w:type="spellStart"/>
      <w:r w:rsidRPr="00E81E59">
        <w:rPr>
          <w:szCs w:val="24"/>
        </w:rPr>
        <w:t>Sotgiu</w:t>
      </w:r>
      <w:proofErr w:type="spellEnd"/>
      <w:r w:rsidRPr="00E81E59">
        <w:rPr>
          <w:szCs w:val="24"/>
        </w:rPr>
        <w:t xml:space="preserve"> G, </w:t>
      </w:r>
      <w:proofErr w:type="spellStart"/>
      <w:r w:rsidRPr="00E81E59">
        <w:rPr>
          <w:szCs w:val="24"/>
        </w:rPr>
        <w:t>Baseke</w:t>
      </w:r>
      <w:proofErr w:type="spellEnd"/>
      <w:r w:rsidRPr="00E81E59">
        <w:rPr>
          <w:szCs w:val="24"/>
        </w:rPr>
        <w:t xml:space="preserve"> J, Ernst M,  et al. (2010) Relationship of immunodiagnostic assays for tuberculosis and numbers of circulating CD4+ T-cells in HIV infection. </w:t>
      </w:r>
      <w:proofErr w:type="spellStart"/>
      <w:r w:rsidRPr="00E81E59">
        <w:rPr>
          <w:szCs w:val="24"/>
        </w:rPr>
        <w:t>Eur</w:t>
      </w:r>
      <w:proofErr w:type="spellEnd"/>
      <w:r w:rsidRPr="00E81E59">
        <w:rPr>
          <w:szCs w:val="24"/>
        </w:rPr>
        <w:t xml:space="preserve"> </w:t>
      </w:r>
      <w:proofErr w:type="spellStart"/>
      <w:r w:rsidRPr="00E81E59">
        <w:rPr>
          <w:szCs w:val="24"/>
        </w:rPr>
        <w:t>Respir</w:t>
      </w:r>
      <w:proofErr w:type="spellEnd"/>
      <w:r w:rsidRPr="00E81E59">
        <w:rPr>
          <w:szCs w:val="24"/>
        </w:rPr>
        <w:t xml:space="preserve"> J 35: 619-26.</w:t>
      </w:r>
    </w:p>
    <w:p w:rsidR="00371D0C" w:rsidRPr="00E81E59" w:rsidRDefault="00371D0C" w:rsidP="00F44408">
      <w:pPr>
        <w:tabs>
          <w:tab w:val="right" w:pos="540"/>
          <w:tab w:val="left" w:pos="720"/>
        </w:tabs>
        <w:spacing w:after="240"/>
        <w:ind w:left="720" w:hanging="720"/>
        <w:rPr>
          <w:szCs w:val="24"/>
        </w:rPr>
      </w:pPr>
      <w:r>
        <w:rPr>
          <w:szCs w:val="24"/>
        </w:rPr>
        <w:lastRenderedPageBreak/>
        <w:tab/>
        <w:t>(6</w:t>
      </w:r>
      <w:r w:rsidRPr="00E81E59">
        <w:rPr>
          <w:szCs w:val="24"/>
        </w:rPr>
        <w:t xml:space="preserve">) </w:t>
      </w:r>
      <w:r w:rsidRPr="00E81E59">
        <w:rPr>
          <w:szCs w:val="24"/>
        </w:rPr>
        <w:tab/>
      </w:r>
      <w:proofErr w:type="spellStart"/>
      <w:r w:rsidRPr="00E81E59">
        <w:rPr>
          <w:szCs w:val="24"/>
        </w:rPr>
        <w:t>Talati</w:t>
      </w:r>
      <w:proofErr w:type="spellEnd"/>
      <w:r w:rsidRPr="00E81E59">
        <w:rPr>
          <w:szCs w:val="24"/>
        </w:rPr>
        <w:t xml:space="preserve"> NJ, Gonzalez-Diaz E, </w:t>
      </w:r>
      <w:proofErr w:type="spellStart"/>
      <w:r w:rsidRPr="00E81E59">
        <w:rPr>
          <w:szCs w:val="24"/>
        </w:rPr>
        <w:t>Mutemba</w:t>
      </w:r>
      <w:proofErr w:type="spellEnd"/>
      <w:r w:rsidRPr="00E81E59">
        <w:rPr>
          <w:szCs w:val="24"/>
        </w:rPr>
        <w:t xml:space="preserve"> C, Wendt J, </w:t>
      </w:r>
      <w:proofErr w:type="spellStart"/>
      <w:r w:rsidRPr="00E81E59">
        <w:rPr>
          <w:szCs w:val="24"/>
        </w:rPr>
        <w:t>Kilembe</w:t>
      </w:r>
      <w:proofErr w:type="spellEnd"/>
      <w:r w:rsidRPr="00E81E59">
        <w:rPr>
          <w:szCs w:val="24"/>
        </w:rPr>
        <w:t xml:space="preserve"> W, et al. (2011) Diagnosis of latent tuberculosis infection among HIV discordant partners using interferon gamma release assays. BMC Infect </w:t>
      </w:r>
      <w:proofErr w:type="spellStart"/>
      <w:r w:rsidRPr="00E81E59">
        <w:rPr>
          <w:szCs w:val="24"/>
        </w:rPr>
        <w:t>Dis</w:t>
      </w:r>
      <w:proofErr w:type="spellEnd"/>
      <w:r w:rsidRPr="00E81E59">
        <w:rPr>
          <w:szCs w:val="24"/>
        </w:rPr>
        <w:t xml:space="preserve"> 11:264.</w:t>
      </w:r>
    </w:p>
    <w:p w:rsidR="00371D0C" w:rsidRDefault="00371D0C" w:rsidP="00F44408">
      <w:pPr>
        <w:tabs>
          <w:tab w:val="right" w:pos="540"/>
          <w:tab w:val="left" w:pos="720"/>
        </w:tabs>
        <w:spacing w:after="240"/>
        <w:ind w:left="720" w:hanging="72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>(7</w:t>
      </w:r>
      <w:r w:rsidRPr="00E81E59">
        <w:rPr>
          <w:szCs w:val="24"/>
        </w:rPr>
        <w:t xml:space="preserve">) </w:t>
      </w:r>
      <w:r w:rsidRPr="00E81E59">
        <w:rPr>
          <w:szCs w:val="24"/>
        </w:rPr>
        <w:tab/>
        <w:t xml:space="preserve">de Castro Toledo AC </w:t>
      </w:r>
      <w:proofErr w:type="spellStart"/>
      <w:r w:rsidRPr="00E81E59">
        <w:rPr>
          <w:szCs w:val="24"/>
        </w:rPr>
        <w:t>Jr</w:t>
      </w:r>
      <w:proofErr w:type="spellEnd"/>
      <w:r w:rsidRPr="00E81E59">
        <w:rPr>
          <w:szCs w:val="24"/>
        </w:rPr>
        <w:t xml:space="preserve">, Greco DB, </w:t>
      </w:r>
      <w:proofErr w:type="spellStart"/>
      <w:r w:rsidRPr="00E81E59">
        <w:rPr>
          <w:szCs w:val="24"/>
        </w:rPr>
        <w:t>Antunes</w:t>
      </w:r>
      <w:proofErr w:type="spellEnd"/>
      <w:r w:rsidRPr="00E81E59">
        <w:rPr>
          <w:szCs w:val="24"/>
        </w:rPr>
        <w:t xml:space="preserve"> CM. (2000) Risk factors for tuberculosis among human immunodeficiency virus-infected persons.</w:t>
      </w:r>
      <w:proofErr w:type="gramEnd"/>
      <w:r w:rsidRPr="00E81E59">
        <w:rPr>
          <w:szCs w:val="24"/>
        </w:rPr>
        <w:t xml:space="preserve"> </w:t>
      </w:r>
      <w:proofErr w:type="gramStart"/>
      <w:r w:rsidRPr="00E81E59">
        <w:rPr>
          <w:szCs w:val="24"/>
        </w:rPr>
        <w:t xml:space="preserve">A case-control study in Belo Horizonte, Minas </w:t>
      </w:r>
      <w:proofErr w:type="spellStart"/>
      <w:r w:rsidRPr="00E81E59">
        <w:rPr>
          <w:szCs w:val="24"/>
        </w:rPr>
        <w:t>Gerais</w:t>
      </w:r>
      <w:proofErr w:type="spellEnd"/>
      <w:r w:rsidRPr="00E81E59">
        <w:rPr>
          <w:szCs w:val="24"/>
        </w:rPr>
        <w:t>, Brazil (1985-1996).</w:t>
      </w:r>
      <w:proofErr w:type="gramEnd"/>
      <w:r w:rsidRPr="00E81E59">
        <w:rPr>
          <w:szCs w:val="24"/>
        </w:rPr>
        <w:t xml:space="preserve"> </w:t>
      </w:r>
      <w:proofErr w:type="spellStart"/>
      <w:r w:rsidRPr="00E81E59">
        <w:rPr>
          <w:szCs w:val="24"/>
        </w:rPr>
        <w:t>Mem</w:t>
      </w:r>
      <w:proofErr w:type="spellEnd"/>
      <w:r w:rsidRPr="00E81E59">
        <w:rPr>
          <w:szCs w:val="24"/>
        </w:rPr>
        <w:t xml:space="preserve"> Inst </w:t>
      </w:r>
      <w:proofErr w:type="spellStart"/>
      <w:r w:rsidRPr="00E81E59">
        <w:rPr>
          <w:szCs w:val="24"/>
        </w:rPr>
        <w:t>Oswaldo</w:t>
      </w:r>
      <w:proofErr w:type="spellEnd"/>
      <w:r w:rsidRPr="00E81E59">
        <w:rPr>
          <w:szCs w:val="24"/>
        </w:rPr>
        <w:t xml:space="preserve"> </w:t>
      </w:r>
      <w:proofErr w:type="gramStart"/>
      <w:r w:rsidRPr="00E81E59">
        <w:rPr>
          <w:szCs w:val="24"/>
        </w:rPr>
        <w:t xml:space="preserve">Cruz </w:t>
      </w:r>
      <w:r w:rsidR="004677B5">
        <w:rPr>
          <w:szCs w:val="24"/>
        </w:rPr>
        <w:t xml:space="preserve"> </w:t>
      </w:r>
      <w:r w:rsidRPr="00E81E59">
        <w:rPr>
          <w:szCs w:val="24"/>
        </w:rPr>
        <w:t>95</w:t>
      </w:r>
      <w:proofErr w:type="gramEnd"/>
      <w:r w:rsidRPr="00E81E59">
        <w:rPr>
          <w:szCs w:val="24"/>
        </w:rPr>
        <w:t>: 437-43.</w:t>
      </w:r>
    </w:p>
    <w:p w:rsidR="00010C2D" w:rsidRPr="00E81E59" w:rsidRDefault="00010C2D" w:rsidP="00F44408">
      <w:pPr>
        <w:tabs>
          <w:tab w:val="right" w:pos="540"/>
          <w:tab w:val="left" w:pos="720"/>
        </w:tabs>
        <w:spacing w:after="240"/>
        <w:ind w:left="720" w:hanging="720"/>
        <w:rPr>
          <w:szCs w:val="24"/>
        </w:rPr>
      </w:pPr>
      <w:r>
        <w:rPr>
          <w:szCs w:val="24"/>
        </w:rPr>
        <w:tab/>
        <w:t>(8</w:t>
      </w:r>
      <w:r w:rsidRPr="00E81E59">
        <w:rPr>
          <w:szCs w:val="24"/>
        </w:rPr>
        <w:t xml:space="preserve">) </w:t>
      </w:r>
      <w:r w:rsidRPr="00E81E59">
        <w:rPr>
          <w:szCs w:val="24"/>
        </w:rPr>
        <w:tab/>
      </w:r>
      <w:proofErr w:type="spellStart"/>
      <w:r w:rsidRPr="00E81E59">
        <w:rPr>
          <w:szCs w:val="24"/>
        </w:rPr>
        <w:t>Pistone</w:t>
      </w:r>
      <w:proofErr w:type="spellEnd"/>
      <w:r w:rsidRPr="00E81E59">
        <w:rPr>
          <w:szCs w:val="24"/>
        </w:rPr>
        <w:t xml:space="preserve"> T, </w:t>
      </w:r>
      <w:proofErr w:type="spellStart"/>
      <w:r w:rsidRPr="00E81E59">
        <w:rPr>
          <w:szCs w:val="24"/>
        </w:rPr>
        <w:t>Kony</w:t>
      </w:r>
      <w:proofErr w:type="spellEnd"/>
      <w:r w:rsidRPr="00E81E59">
        <w:rPr>
          <w:szCs w:val="24"/>
        </w:rPr>
        <w:t xml:space="preserve"> S, Faye-</w:t>
      </w:r>
      <w:proofErr w:type="spellStart"/>
      <w:r w:rsidRPr="00E81E59">
        <w:rPr>
          <w:szCs w:val="24"/>
        </w:rPr>
        <w:t>Niang</w:t>
      </w:r>
      <w:proofErr w:type="spellEnd"/>
      <w:r w:rsidRPr="00E81E59">
        <w:rPr>
          <w:szCs w:val="24"/>
        </w:rPr>
        <w:t xml:space="preserve"> MA, </w:t>
      </w:r>
      <w:proofErr w:type="spellStart"/>
      <w:r w:rsidRPr="00E81E59">
        <w:rPr>
          <w:szCs w:val="24"/>
        </w:rPr>
        <w:t>Ndour</w:t>
      </w:r>
      <w:proofErr w:type="spellEnd"/>
      <w:r w:rsidRPr="00E81E59">
        <w:rPr>
          <w:szCs w:val="24"/>
        </w:rPr>
        <w:t xml:space="preserve"> CT, </w:t>
      </w:r>
      <w:proofErr w:type="spellStart"/>
      <w:r w:rsidRPr="00E81E59">
        <w:rPr>
          <w:szCs w:val="24"/>
        </w:rPr>
        <w:t>Gueye</w:t>
      </w:r>
      <w:proofErr w:type="spellEnd"/>
      <w:r w:rsidRPr="00E81E59">
        <w:rPr>
          <w:szCs w:val="24"/>
        </w:rPr>
        <w:t xml:space="preserve"> PM,  et al. (2002) A simple clinical and </w:t>
      </w:r>
      <w:proofErr w:type="spellStart"/>
      <w:r w:rsidRPr="00E81E59">
        <w:rPr>
          <w:szCs w:val="24"/>
        </w:rPr>
        <w:t>paraclinical</w:t>
      </w:r>
      <w:proofErr w:type="spellEnd"/>
      <w:r w:rsidRPr="00E81E59">
        <w:rPr>
          <w:szCs w:val="24"/>
        </w:rPr>
        <w:t xml:space="preserve"> score predictive of CD4 cells counts below 400/mm3 in HIV-infected adults in Dakar University Hospital, Senegal. Trans R Soc </w:t>
      </w:r>
      <w:proofErr w:type="spellStart"/>
      <w:r w:rsidRPr="00E81E59">
        <w:rPr>
          <w:szCs w:val="24"/>
        </w:rPr>
        <w:t>Trop</w:t>
      </w:r>
      <w:proofErr w:type="spellEnd"/>
      <w:r w:rsidRPr="00E81E59">
        <w:rPr>
          <w:szCs w:val="24"/>
        </w:rPr>
        <w:t xml:space="preserve"> Med </w:t>
      </w:r>
      <w:proofErr w:type="spellStart"/>
      <w:r w:rsidRPr="00E81E59">
        <w:rPr>
          <w:szCs w:val="24"/>
        </w:rPr>
        <w:t>Hyg</w:t>
      </w:r>
      <w:proofErr w:type="spellEnd"/>
      <w:r w:rsidRPr="00E81E59">
        <w:rPr>
          <w:szCs w:val="24"/>
        </w:rPr>
        <w:t xml:space="preserve"> 96: 167-72.</w:t>
      </w:r>
    </w:p>
    <w:p w:rsidR="00010C2D" w:rsidRPr="00E81E59" w:rsidRDefault="00010C2D" w:rsidP="00F44408">
      <w:pPr>
        <w:tabs>
          <w:tab w:val="right" w:pos="540"/>
          <w:tab w:val="left" w:pos="720"/>
        </w:tabs>
        <w:spacing w:after="240"/>
        <w:ind w:left="720" w:hanging="720"/>
        <w:rPr>
          <w:szCs w:val="24"/>
        </w:rPr>
      </w:pPr>
      <w:r>
        <w:rPr>
          <w:szCs w:val="24"/>
        </w:rPr>
        <w:tab/>
        <w:t>(9</w:t>
      </w:r>
      <w:r w:rsidRPr="00E81E59">
        <w:rPr>
          <w:szCs w:val="24"/>
        </w:rPr>
        <w:t xml:space="preserve">) </w:t>
      </w:r>
      <w:r w:rsidRPr="00E81E59">
        <w:rPr>
          <w:szCs w:val="24"/>
        </w:rPr>
        <w:tab/>
        <w:t xml:space="preserve">Rodriguez JI, Arias M, Paris SC, </w:t>
      </w:r>
      <w:proofErr w:type="spellStart"/>
      <w:r w:rsidRPr="00E81E59">
        <w:rPr>
          <w:szCs w:val="24"/>
        </w:rPr>
        <w:t>Arbelaez</w:t>
      </w:r>
      <w:proofErr w:type="spellEnd"/>
      <w:r w:rsidRPr="00E81E59">
        <w:rPr>
          <w:szCs w:val="24"/>
        </w:rPr>
        <w:t xml:space="preserve"> MP, </w:t>
      </w:r>
      <w:proofErr w:type="spellStart"/>
      <w:r w:rsidRPr="00E81E59">
        <w:rPr>
          <w:szCs w:val="24"/>
        </w:rPr>
        <w:t>Betancur</w:t>
      </w:r>
      <w:proofErr w:type="spellEnd"/>
      <w:r w:rsidRPr="00E81E59">
        <w:rPr>
          <w:szCs w:val="24"/>
        </w:rPr>
        <w:t xml:space="preserve"> J, Garcia LF. (1997) Tuberculin skin test and CD4+/CD8+ T cell counts in adults infected with the human immunodeficiency virus in Medellin, Colombia. </w:t>
      </w:r>
      <w:proofErr w:type="spellStart"/>
      <w:r w:rsidRPr="00E81E59">
        <w:rPr>
          <w:szCs w:val="24"/>
        </w:rPr>
        <w:t>Mem</w:t>
      </w:r>
      <w:proofErr w:type="spellEnd"/>
      <w:r w:rsidRPr="00E81E59">
        <w:rPr>
          <w:szCs w:val="24"/>
        </w:rPr>
        <w:t xml:space="preserve"> Inst </w:t>
      </w:r>
      <w:proofErr w:type="spellStart"/>
      <w:r w:rsidRPr="00E81E59">
        <w:rPr>
          <w:szCs w:val="24"/>
        </w:rPr>
        <w:t>Oswaldo</w:t>
      </w:r>
      <w:proofErr w:type="spellEnd"/>
      <w:r w:rsidRPr="00E81E59">
        <w:rPr>
          <w:szCs w:val="24"/>
        </w:rPr>
        <w:t xml:space="preserve"> Cruz 92: 245-50.</w:t>
      </w:r>
    </w:p>
    <w:p w:rsidR="00010C2D" w:rsidRPr="00010C2D" w:rsidRDefault="00371D0C" w:rsidP="00F44408">
      <w:pPr>
        <w:tabs>
          <w:tab w:val="right" w:pos="540"/>
          <w:tab w:val="left" w:pos="720"/>
        </w:tabs>
        <w:ind w:left="720" w:hanging="720"/>
        <w:rPr>
          <w:szCs w:val="24"/>
        </w:rPr>
      </w:pPr>
      <w:r>
        <w:rPr>
          <w:szCs w:val="24"/>
        </w:rPr>
        <w:tab/>
        <w:t>(10</w:t>
      </w:r>
      <w:r w:rsidRPr="00E81E59">
        <w:rPr>
          <w:szCs w:val="24"/>
        </w:rPr>
        <w:t xml:space="preserve">) </w:t>
      </w:r>
      <w:r w:rsidRPr="00E81E59">
        <w:rPr>
          <w:szCs w:val="24"/>
        </w:rPr>
        <w:tab/>
      </w:r>
      <w:proofErr w:type="spellStart"/>
      <w:r w:rsidRPr="00E81E59">
        <w:rPr>
          <w:szCs w:val="24"/>
        </w:rPr>
        <w:t>Tegbaru</w:t>
      </w:r>
      <w:proofErr w:type="spellEnd"/>
      <w:r w:rsidRPr="00E81E59">
        <w:rPr>
          <w:szCs w:val="24"/>
        </w:rPr>
        <w:t xml:space="preserve"> B, </w:t>
      </w:r>
      <w:proofErr w:type="spellStart"/>
      <w:r w:rsidRPr="00E81E59">
        <w:rPr>
          <w:szCs w:val="24"/>
        </w:rPr>
        <w:t>Wolday</w:t>
      </w:r>
      <w:proofErr w:type="spellEnd"/>
      <w:r w:rsidRPr="00E81E59">
        <w:rPr>
          <w:szCs w:val="24"/>
        </w:rPr>
        <w:t xml:space="preserve"> D, </w:t>
      </w:r>
      <w:proofErr w:type="spellStart"/>
      <w:r w:rsidRPr="00E81E59">
        <w:rPr>
          <w:szCs w:val="24"/>
        </w:rPr>
        <w:t>Messele</w:t>
      </w:r>
      <w:proofErr w:type="spellEnd"/>
      <w:r w:rsidRPr="00E81E59">
        <w:rPr>
          <w:szCs w:val="24"/>
        </w:rPr>
        <w:t xml:space="preserve"> T, </w:t>
      </w:r>
      <w:proofErr w:type="spellStart"/>
      <w:r w:rsidRPr="00E81E59">
        <w:rPr>
          <w:szCs w:val="24"/>
        </w:rPr>
        <w:t>Legesse</w:t>
      </w:r>
      <w:proofErr w:type="spellEnd"/>
      <w:r w:rsidRPr="00E81E59">
        <w:rPr>
          <w:szCs w:val="24"/>
        </w:rPr>
        <w:t xml:space="preserve"> M, </w:t>
      </w:r>
      <w:proofErr w:type="spellStart"/>
      <w:r w:rsidRPr="00E81E59">
        <w:rPr>
          <w:szCs w:val="24"/>
        </w:rPr>
        <w:t>Mekonnen</w:t>
      </w:r>
      <w:proofErr w:type="spellEnd"/>
      <w:r w:rsidRPr="00E81E59">
        <w:rPr>
          <w:szCs w:val="24"/>
        </w:rPr>
        <w:t xml:space="preserve"> Y, et al. (2006) Tuberculin skin test conversion and reactivity rates among adults with and without human immunodeficiency virus in urban settings in Ethiopia. </w:t>
      </w:r>
      <w:proofErr w:type="spellStart"/>
      <w:r w:rsidRPr="00E81E59">
        <w:rPr>
          <w:szCs w:val="24"/>
        </w:rPr>
        <w:t>Clin</w:t>
      </w:r>
      <w:proofErr w:type="spellEnd"/>
      <w:r w:rsidRPr="00E81E59">
        <w:rPr>
          <w:szCs w:val="24"/>
        </w:rPr>
        <w:t xml:space="preserve"> Vaccine </w:t>
      </w:r>
      <w:proofErr w:type="spellStart"/>
      <w:r w:rsidRPr="00E81E59">
        <w:rPr>
          <w:szCs w:val="24"/>
        </w:rPr>
        <w:t>Immunol</w:t>
      </w:r>
      <w:proofErr w:type="spellEnd"/>
      <w:r w:rsidRPr="00E81E59">
        <w:rPr>
          <w:szCs w:val="24"/>
        </w:rPr>
        <w:t xml:space="preserve"> 13: 784-9.</w:t>
      </w:r>
    </w:p>
    <w:p w:rsidR="00371D0C" w:rsidRPr="00C86AB5" w:rsidRDefault="00010C2D" w:rsidP="00C86AB5">
      <w:pPr>
        <w:tabs>
          <w:tab w:val="right" w:pos="540"/>
          <w:tab w:val="left" w:pos="720"/>
        </w:tabs>
        <w:spacing w:after="240" w:line="276" w:lineRule="auto"/>
        <w:ind w:left="720" w:hanging="720"/>
        <w:rPr>
          <w:szCs w:val="24"/>
        </w:rPr>
      </w:pPr>
      <w:r>
        <w:rPr>
          <w:szCs w:val="24"/>
        </w:rPr>
        <w:tab/>
      </w:r>
    </w:p>
    <w:sectPr w:rsidR="00371D0C" w:rsidRPr="00C86AB5" w:rsidSect="00C86A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B19CE"/>
    <w:multiLevelType w:val="hybridMultilevel"/>
    <w:tmpl w:val="CA829AB6"/>
    <w:lvl w:ilvl="0" w:tplc="077471A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65A6C"/>
    <w:rsid w:val="00010C2D"/>
    <w:rsid w:val="001C7A25"/>
    <w:rsid w:val="0021237B"/>
    <w:rsid w:val="002458D7"/>
    <w:rsid w:val="00265A6C"/>
    <w:rsid w:val="00371D0C"/>
    <w:rsid w:val="003F4848"/>
    <w:rsid w:val="004677B5"/>
    <w:rsid w:val="00636069"/>
    <w:rsid w:val="008F719F"/>
    <w:rsid w:val="00A214C8"/>
    <w:rsid w:val="00A77C66"/>
    <w:rsid w:val="00B141F7"/>
    <w:rsid w:val="00B417FC"/>
    <w:rsid w:val="00C3390E"/>
    <w:rsid w:val="00C86AB5"/>
    <w:rsid w:val="00F44408"/>
    <w:rsid w:val="00F52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A6C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Lawn</dc:creator>
  <cp:lastModifiedBy>Stephen Lawn</cp:lastModifiedBy>
  <cp:revision>7</cp:revision>
  <dcterms:created xsi:type="dcterms:W3CDTF">2012-10-27T16:44:00Z</dcterms:created>
  <dcterms:modified xsi:type="dcterms:W3CDTF">2012-10-31T09:16:00Z</dcterms:modified>
</cp:coreProperties>
</file>