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F9" w:rsidRPr="00DA0DAF" w:rsidRDefault="00F97CF9" w:rsidP="00F97CF9">
      <w:pPr>
        <w:autoSpaceDE w:val="0"/>
        <w:autoSpaceDN w:val="0"/>
        <w:adjustRightInd w:val="0"/>
        <w:spacing w:line="480" w:lineRule="auto"/>
        <w:jc w:val="center"/>
        <w:rPr>
          <w:b/>
          <w:bCs/>
          <w:lang w:val="en-US"/>
        </w:rPr>
      </w:pPr>
      <w:r w:rsidRPr="00DA0DAF">
        <w:rPr>
          <w:b/>
          <w:bCs/>
          <w:lang w:val="en-US"/>
        </w:rPr>
        <w:t xml:space="preserve">Online </w:t>
      </w:r>
      <w:r w:rsidR="00275A9F">
        <w:rPr>
          <w:b/>
          <w:bCs/>
          <w:lang w:val="en-US"/>
        </w:rPr>
        <w:t>Supporting Information</w:t>
      </w:r>
    </w:p>
    <w:p w:rsidR="00275A9F" w:rsidRDefault="00275A9F" w:rsidP="00275A9F">
      <w:pPr>
        <w:pStyle w:val="BodyText"/>
        <w:spacing w:line="360" w:lineRule="auto"/>
      </w:pPr>
      <w:r>
        <w:t>Associations of different phenotypes of wheezing illness in early childhood with environmental variables implicated in the aetiology of asthma</w:t>
      </w:r>
    </w:p>
    <w:p w:rsidR="00275A9F" w:rsidRDefault="00275A9F" w:rsidP="00275A9F">
      <w:pPr>
        <w:spacing w:before="120" w:line="360" w:lineRule="auto"/>
      </w:pPr>
      <w:r>
        <w:t xml:space="preserve">Raquel </w:t>
      </w:r>
      <w:proofErr w:type="spellStart"/>
      <w:r>
        <w:t>Granell</w:t>
      </w:r>
      <w:proofErr w:type="spellEnd"/>
      <w:r>
        <w:t>, Jonathan A.C. Sterne &amp; John Henderson</w:t>
      </w:r>
    </w:p>
    <w:p w:rsidR="00275A9F" w:rsidRDefault="00275A9F" w:rsidP="00275A9F">
      <w:pPr>
        <w:spacing w:line="360" w:lineRule="auto"/>
      </w:pPr>
      <w:r>
        <w:t>School of Social and Community Medicine, University of Bristol, Bristol, United Kingdom</w:t>
      </w:r>
    </w:p>
    <w:p w:rsidR="00275A9F" w:rsidRDefault="00275A9F" w:rsidP="00275A9F">
      <w:pPr>
        <w:spacing w:line="360" w:lineRule="auto"/>
      </w:pPr>
    </w:p>
    <w:p w:rsidR="00275A9F" w:rsidRDefault="00275A9F" w:rsidP="00275A9F">
      <w:pPr>
        <w:tabs>
          <w:tab w:val="left" w:pos="2160"/>
        </w:tabs>
        <w:spacing w:line="360" w:lineRule="auto"/>
      </w:pPr>
      <w:r>
        <w:t>Correspondence to:</w:t>
      </w:r>
      <w:r>
        <w:tab/>
        <w:t xml:space="preserve">Raquel </w:t>
      </w:r>
      <w:proofErr w:type="spellStart"/>
      <w:r>
        <w:t>Granell</w:t>
      </w:r>
      <w:proofErr w:type="spellEnd"/>
    </w:p>
    <w:p w:rsidR="00275A9F" w:rsidRDefault="00275A9F" w:rsidP="00275A9F">
      <w:pPr>
        <w:tabs>
          <w:tab w:val="left" w:pos="2160"/>
        </w:tabs>
        <w:spacing w:line="360" w:lineRule="auto"/>
      </w:pPr>
      <w:r>
        <w:tab/>
        <w:t>ALSPAC, Oakfield House</w:t>
      </w:r>
    </w:p>
    <w:p w:rsidR="00275A9F" w:rsidRDefault="00275A9F" w:rsidP="00275A9F">
      <w:pPr>
        <w:tabs>
          <w:tab w:val="left" w:pos="2160"/>
        </w:tabs>
        <w:spacing w:line="360" w:lineRule="auto"/>
      </w:pPr>
      <w:r>
        <w:tab/>
        <w:t>Oakfield Grove, Bristol BS8 2BN</w:t>
      </w:r>
    </w:p>
    <w:p w:rsidR="00275A9F" w:rsidRDefault="00275A9F" w:rsidP="00275A9F">
      <w:pPr>
        <w:tabs>
          <w:tab w:val="left" w:pos="2160"/>
        </w:tabs>
        <w:spacing w:line="360" w:lineRule="auto"/>
      </w:pPr>
      <w:r>
        <w:tab/>
        <w:t>Tel: +44 117 331 0105; Fax: +44 117 331 0080</w:t>
      </w:r>
    </w:p>
    <w:p w:rsidR="00DD2B68" w:rsidRPr="00275A9F" w:rsidRDefault="00275A9F" w:rsidP="00275A9F">
      <w:pPr>
        <w:tabs>
          <w:tab w:val="left" w:pos="2160"/>
        </w:tabs>
        <w:spacing w:line="360" w:lineRule="auto"/>
      </w:pPr>
      <w:r>
        <w:tab/>
        <w:t xml:space="preserve">Email: </w:t>
      </w:r>
      <w:r w:rsidRPr="00424361">
        <w:t>raquel.granell@bris.ac.uk</w:t>
      </w:r>
      <w:r w:rsidR="00DD2B68" w:rsidRPr="00DD2B68">
        <w:br w:type="page"/>
      </w:r>
    </w:p>
    <w:p w:rsidR="009C02AC" w:rsidRDefault="009C02AC" w:rsidP="00DF3DAE">
      <w:pPr>
        <w:tabs>
          <w:tab w:val="left" w:pos="2160"/>
        </w:tabs>
        <w:spacing w:line="360" w:lineRule="auto"/>
        <w:rPr>
          <w:b/>
          <w:bCs/>
        </w:rPr>
      </w:pPr>
      <w:r w:rsidRPr="009C02AC">
        <w:rPr>
          <w:b/>
          <w:bCs/>
        </w:rPr>
        <w:lastRenderedPageBreak/>
        <w:t>METHODS</w:t>
      </w:r>
      <w:r w:rsidR="00857EC7">
        <w:rPr>
          <w:b/>
          <w:bCs/>
        </w:rPr>
        <w:t xml:space="preserve"> S1</w:t>
      </w:r>
    </w:p>
    <w:p w:rsidR="009C02AC" w:rsidRDefault="009C02AC" w:rsidP="00481752">
      <w:pPr>
        <w:pStyle w:val="Heading1"/>
        <w:spacing w:before="120" w:line="360" w:lineRule="auto"/>
        <w:rPr>
          <w:b w:val="0"/>
          <w:i/>
        </w:rPr>
      </w:pPr>
      <w:r>
        <w:rPr>
          <w:b w:val="0"/>
          <w:i/>
        </w:rPr>
        <w:t>Early life risk factors</w:t>
      </w:r>
    </w:p>
    <w:p w:rsidR="009C02AC" w:rsidRDefault="009C02AC" w:rsidP="00DF3DAE">
      <w:pPr>
        <w:tabs>
          <w:tab w:val="left" w:pos="2160"/>
        </w:tabs>
        <w:spacing w:line="360" w:lineRule="auto"/>
        <w:rPr>
          <w:lang w:val="en-US"/>
        </w:rPr>
      </w:pPr>
      <w:r>
        <w:t>The exposure variables were categorised according to timing of exposure: 1) ‘demographic, maternal, pregnancy &amp; child</w:t>
      </w:r>
      <w:r w:rsidR="00DF3DAE">
        <w:t>’</w:t>
      </w:r>
      <w:r>
        <w:t xml:space="preserve"> (characteristics that do not change over time or were measured before birth), 2) perinatal and 3) postnatal characteristics. These were selected on the basis of either previously reported or putative associations with asthma, e.g. through associations with atopy. From questionnaires sent to the mother during pregnancy or 3 to 12 months after delivery, we obtained details of educational attainment (lower level defined as educated to school leaving certificate at 16 years (GCE level in UK) or lower), housing tenure, overcrowding of the home (&gt;0.75 persons per room), gas cooking, marital status, number of </w:t>
      </w:r>
      <w:r w:rsidR="00F873FB">
        <w:t>previous pregnancies</w:t>
      </w:r>
      <w:r>
        <w:t>, smoking history and personal history of asthma</w:t>
      </w:r>
      <w:r w:rsidR="00F873FB">
        <w:t xml:space="preserve"> or allergy</w:t>
      </w:r>
      <w:r>
        <w:t xml:space="preserve">. Perinatal data were obtained from delivery health care records and consisted of maternal age at delivery, sex of the child, birth weight (also categorised as low birth weight if  </w:t>
      </w:r>
      <w:r>
        <w:rPr>
          <w:u w:val="single"/>
        </w:rPr>
        <w:t>&lt;</w:t>
      </w:r>
      <w:r>
        <w:t>2.5 kilograms) and duration of gestation (also categorised as preterm if  &lt;37 weeks completed gestation). Postnatal maternal questionnaires from 3-15 months after birth were used to ascertain breastfeeding history, environmental tobacco smoke exposure, day care attendan</w:t>
      </w:r>
      <w:r w:rsidR="00481752">
        <w:t>ce</w:t>
      </w:r>
      <w:r w:rsidR="00F873FB">
        <w:t xml:space="preserve"> and </w:t>
      </w:r>
      <w:r w:rsidR="00481752">
        <w:t xml:space="preserve">pet ownership. In view of the recent report of a dose-dependent association </w:t>
      </w:r>
      <w:r w:rsidR="00F873FB">
        <w:t>between maternal anxiety during pregnancy</w:t>
      </w:r>
      <w:r w:rsidR="00481752">
        <w:t xml:space="preserve"> and asthma at age 7½ years</w:t>
      </w:r>
      <w:r w:rsidR="00F873FB">
        <w:t xml:space="preserve"> </w:t>
      </w:r>
      <w:r w:rsidR="00B019FD">
        <w:rPr>
          <w:noProof/>
        </w:rPr>
        <w:t>[</w:t>
      </w:r>
      <w:r w:rsidR="00B019FD" w:rsidRPr="006C4550">
        <w:rPr>
          <w:noProof/>
        </w:rPr>
        <w:t>1</w:t>
      </w:r>
      <w:r w:rsidR="00B019FD">
        <w:rPr>
          <w:noProof/>
        </w:rPr>
        <w:t>]</w:t>
      </w:r>
      <w:r w:rsidR="00481752">
        <w:t>, t</w:t>
      </w:r>
      <w:r>
        <w:t>he association of prenatal and postnatal self-reported maternal anxiety with early wheez</w:t>
      </w:r>
      <w:r w:rsidR="00481752">
        <w:t>ing phenotypes was investigated</w:t>
      </w:r>
      <w:r>
        <w:t>. Anxiety was measured at 32 weeks gestation and at 8 months after pregnancy using the validated self-report Crown Crisp Experiential Index which ranges from 0 (no anxious) to 16 (very anxious)</w:t>
      </w:r>
      <w:r w:rsidR="002424B0">
        <w:t xml:space="preserve"> </w:t>
      </w:r>
      <w:r w:rsidR="00055B03">
        <w:rPr>
          <w:noProof/>
        </w:rPr>
        <w:t>(4)</w:t>
      </w:r>
      <w:r>
        <w:t>. Maternal anxiety scores were not normally distributed and therefore were converted into 1</w:t>
      </w:r>
      <w:r>
        <w:rPr>
          <w:vertAlign w:val="superscript"/>
        </w:rPr>
        <w:t>st</w:t>
      </w:r>
      <w:r>
        <w:t xml:space="preserve"> quartile </w:t>
      </w:r>
      <w:r w:rsidR="002424B0">
        <w:t>[</w:t>
      </w:r>
      <w:r>
        <w:t>0 to 2</w:t>
      </w:r>
      <w:r w:rsidR="002424B0">
        <w:t>]</w:t>
      </w:r>
      <w:r>
        <w:t>, 2</w:t>
      </w:r>
      <w:r>
        <w:rPr>
          <w:vertAlign w:val="superscript"/>
        </w:rPr>
        <w:t>nd</w:t>
      </w:r>
      <w:r>
        <w:t xml:space="preserve"> quartile </w:t>
      </w:r>
      <w:r w:rsidR="002424B0">
        <w:t>[</w:t>
      </w:r>
      <w:r>
        <w:t>3-4</w:t>
      </w:r>
      <w:r w:rsidR="002424B0">
        <w:t>]</w:t>
      </w:r>
      <w:r>
        <w:t>, 3</w:t>
      </w:r>
      <w:r>
        <w:rPr>
          <w:vertAlign w:val="superscript"/>
        </w:rPr>
        <w:t>rd</w:t>
      </w:r>
      <w:r>
        <w:t xml:space="preserve"> quartile </w:t>
      </w:r>
      <w:r w:rsidR="002424B0">
        <w:t>[</w:t>
      </w:r>
      <w:r>
        <w:t>5-7</w:t>
      </w:r>
      <w:r w:rsidR="002424B0">
        <w:t>]</w:t>
      </w:r>
      <w:r>
        <w:t xml:space="preserve"> and 4</w:t>
      </w:r>
      <w:r>
        <w:rPr>
          <w:vertAlign w:val="superscript"/>
        </w:rPr>
        <w:t>th</w:t>
      </w:r>
      <w:r>
        <w:t xml:space="preserve"> quartile </w:t>
      </w:r>
      <w:r w:rsidR="002424B0">
        <w:t>[</w:t>
      </w:r>
      <w:r>
        <w:t>8-16</w:t>
      </w:r>
      <w:r w:rsidR="002424B0">
        <w:t>]</w:t>
      </w:r>
      <w:r>
        <w:t>. Each quartile was compared with the lowe</w:t>
      </w:r>
      <w:r w:rsidR="00481752">
        <w:t xml:space="preserve">st quartile (least anxious). </w:t>
      </w:r>
    </w:p>
    <w:p w:rsidR="00DE0701" w:rsidRDefault="00DE0701" w:rsidP="00481752">
      <w:pPr>
        <w:pStyle w:val="Heading1"/>
        <w:spacing w:before="120" w:line="360" w:lineRule="auto"/>
        <w:rPr>
          <w:b w:val="0"/>
          <w:i/>
        </w:rPr>
      </w:pPr>
      <w:r>
        <w:rPr>
          <w:b w:val="0"/>
          <w:i/>
        </w:rPr>
        <w:t>Statistical methods</w:t>
      </w:r>
    </w:p>
    <w:p w:rsidR="00DE0701" w:rsidRDefault="00DE0701" w:rsidP="00DE0701">
      <w:pPr>
        <w:autoSpaceDE w:val="0"/>
        <w:autoSpaceDN w:val="0"/>
        <w:adjustRightInd w:val="0"/>
        <w:spacing w:line="360" w:lineRule="auto"/>
      </w:pPr>
      <w:r>
        <w:t>We used longitudinal latent class analysis, as described in detail previously</w:t>
      </w:r>
      <w:r w:rsidR="00F873FB">
        <w:t xml:space="preserve"> </w:t>
      </w:r>
      <w:r w:rsidR="00B019FD">
        <w:rPr>
          <w:noProof/>
        </w:rPr>
        <w:t>[</w:t>
      </w:r>
      <w:r w:rsidR="00B019FD" w:rsidRPr="006C4550">
        <w:rPr>
          <w:noProof/>
        </w:rPr>
        <w:t>2</w:t>
      </w:r>
      <w:r w:rsidR="00B019FD">
        <w:rPr>
          <w:noProof/>
        </w:rPr>
        <w:t>,</w:t>
      </w:r>
      <w:r w:rsidR="00B019FD" w:rsidRPr="006C4550">
        <w:rPr>
          <w:noProof/>
        </w:rPr>
        <w:t>3</w:t>
      </w:r>
      <w:r w:rsidR="00B019FD">
        <w:rPr>
          <w:noProof/>
        </w:rPr>
        <w:t>]</w:t>
      </w:r>
      <w:r>
        <w:t>, to identify wheezing phenotypes (latent classes) that explain the associations between wheezing at different time points; that is, classes within which the probability of wheezing at each time point is statistically independent of wheeze at other times. A latent class model estima</w:t>
      </w:r>
      <w:r w:rsidR="002424B0">
        <w:t xml:space="preserve">tes two sets of parameters: </w:t>
      </w:r>
      <w:r>
        <w:t>conditional probabilities of wheeze at each time point given mem</w:t>
      </w:r>
      <w:r w:rsidR="002424B0">
        <w:t xml:space="preserve">bership of a phenotype, and </w:t>
      </w:r>
      <w:r>
        <w:t>the posterior probabilities of phenotype membership for each child, given their wheezing history.</w:t>
      </w:r>
    </w:p>
    <w:p w:rsidR="00DE0701" w:rsidRDefault="00DE0701" w:rsidP="00480715">
      <w:pPr>
        <w:autoSpaceDE w:val="0"/>
        <w:autoSpaceDN w:val="0"/>
        <w:adjustRightInd w:val="0"/>
        <w:spacing w:line="360" w:lineRule="auto"/>
      </w:pPr>
      <w:r>
        <w:lastRenderedPageBreak/>
        <w:t>Associations of risk factors with wheezing phenotypes were examined using multinomial logistic regression models that were weighted according to each individual’s posterior probability of belonging to each phenotype. Children contributed a line of data corresponding to each phenotype with a nonzero posterior probability. For example, a child might have posterior probability 0.9 of persistent wheeze, 0.1 of transient early wheeze and zero for all other phenotypes. In regression analyses, this child would contribute two lines of data, the first for persistent wheeze with weight 0.9 and the second for transient early wheeze with weight 0.1. Relative risk ratios were derived in relation to the never/infrequent wheezing trajectory group, which was used as the reference group in all analyses. We estimated both crude and adjusted relative risk ratios, with adjustment for all variables in same category as the risk factor of interest, and additionally for all variables in preceding categories (</w:t>
      </w:r>
      <w:proofErr w:type="spellStart"/>
      <w:r>
        <w:t>ie</w:t>
      </w:r>
      <w:proofErr w:type="spellEnd"/>
      <w:r>
        <w:t xml:space="preserve"> those that were measured earlier). Analysis adjusted for birth weight did not include low birth weight and vice versa. Analysis adjusted for duration of gestation did not include preterm delivery (and vice versa), and neither of these variables was adjusted for birth weight. Latent class analyses were performed with </w:t>
      </w:r>
      <w:proofErr w:type="spellStart"/>
      <w:r>
        <w:t>Mplus</w:t>
      </w:r>
      <w:proofErr w:type="spellEnd"/>
      <w:r>
        <w:t xml:space="preserve"> 4.1 software (2006, 192 Los Angeles) and weighted multinomial logistic regression models were fitt</w:t>
      </w:r>
      <w:r w:rsidR="00E81CF4">
        <w:t xml:space="preserve">ed using </w:t>
      </w:r>
      <w:proofErr w:type="spellStart"/>
      <w:r w:rsidR="00E81CF4">
        <w:t>Stata</w:t>
      </w:r>
      <w:proofErr w:type="spellEnd"/>
      <w:r w:rsidR="00E81CF4">
        <w:t xml:space="preserve"> Version 11.0.</w:t>
      </w:r>
    </w:p>
    <w:p w:rsidR="006A7F06" w:rsidRDefault="006A7F06" w:rsidP="00DF3DAE">
      <w:pPr>
        <w:pageBreakBefore/>
        <w:tabs>
          <w:tab w:val="left" w:pos="2160"/>
        </w:tabs>
        <w:spacing w:line="360" w:lineRule="auto"/>
        <w:rPr>
          <w:b/>
          <w:bCs/>
        </w:rPr>
      </w:pPr>
      <w:r>
        <w:rPr>
          <w:b/>
          <w:bCs/>
        </w:rPr>
        <w:lastRenderedPageBreak/>
        <w:t>RESULTS</w:t>
      </w:r>
      <w:r w:rsidR="00857EC7">
        <w:rPr>
          <w:b/>
          <w:bCs/>
        </w:rPr>
        <w:t xml:space="preserve"> S1</w:t>
      </w:r>
    </w:p>
    <w:p w:rsidR="00B76EC6" w:rsidRDefault="00B019FD" w:rsidP="00B76EC6">
      <w:pPr>
        <w:autoSpaceDE w:val="0"/>
        <w:autoSpaceDN w:val="0"/>
        <w:adjustRightInd w:val="0"/>
        <w:spacing w:after="120" w:line="360" w:lineRule="auto"/>
      </w:pPr>
      <w:r>
        <w:t>Table S</w:t>
      </w:r>
      <w:r w:rsidR="00B76EC6">
        <w:t xml:space="preserve">1 </w:t>
      </w:r>
      <w:r w:rsidR="00B76EC6" w:rsidRPr="00B76EC6">
        <w:t>displays the timing of questionnaires</w:t>
      </w:r>
      <w:r w:rsidR="00B76EC6">
        <w:t xml:space="preserve"> including questions about wheezing</w:t>
      </w:r>
      <w:r w:rsidR="00B76EC6" w:rsidRPr="00B76EC6">
        <w:t xml:space="preserve"> and the proportion of retur</w:t>
      </w:r>
      <w:r w:rsidR="00B76EC6">
        <w:t xml:space="preserve">ned questionnaires at each time, as well as the proportion of not completed and the proportion of positive and negative responses. </w:t>
      </w:r>
    </w:p>
    <w:p w:rsidR="00370E13" w:rsidRDefault="00F97CF9" w:rsidP="00DF3DAE">
      <w:pPr>
        <w:autoSpaceDE w:val="0"/>
        <w:autoSpaceDN w:val="0"/>
        <w:adjustRightInd w:val="0"/>
        <w:spacing w:line="360" w:lineRule="auto"/>
      </w:pPr>
      <w:r>
        <w:t xml:space="preserve">Crude associations between </w:t>
      </w:r>
      <w:r w:rsidRPr="00160316">
        <w:t>demographic, maternal</w:t>
      </w:r>
      <w:r>
        <w:t>, pregnancy</w:t>
      </w:r>
      <w:r w:rsidRPr="00160316">
        <w:t xml:space="preserve"> and child</w:t>
      </w:r>
      <w:r>
        <w:t xml:space="preserve"> factors and wheezing phenotypes</w:t>
      </w:r>
      <w:r w:rsidR="00FD3EB5">
        <w:t xml:space="preserve"> </w:t>
      </w:r>
      <w:r>
        <w:t xml:space="preserve">are shown in Table </w:t>
      </w:r>
      <w:r w:rsidR="00B019FD">
        <w:t>S</w:t>
      </w:r>
      <w:r w:rsidR="0053250C">
        <w:t>2</w:t>
      </w:r>
      <w:r>
        <w:t>.</w:t>
      </w:r>
      <w:r w:rsidR="006A7F06">
        <w:t xml:space="preserve"> </w:t>
      </w:r>
      <w:r w:rsidR="008F54F3">
        <w:t xml:space="preserve">Transient early wheezing (TEW) </w:t>
      </w:r>
      <w:r w:rsidR="00CE708A">
        <w:t>was</w:t>
      </w:r>
      <w:r w:rsidR="008F54F3">
        <w:t xml:space="preserve"> associated with maternal history of asthma or allergy, maternal smoking during pregnancy, gender and number of </w:t>
      </w:r>
      <w:r w:rsidR="00E81CF4">
        <w:t>previous pregnancies</w:t>
      </w:r>
      <w:r w:rsidR="008F54F3">
        <w:t xml:space="preserve">. TEW </w:t>
      </w:r>
      <w:r w:rsidR="00CE708A">
        <w:t>was</w:t>
      </w:r>
      <w:r w:rsidR="008F54F3">
        <w:t xml:space="preserve"> also associated with overcrowding, maternal use of antibiotics a</w:t>
      </w:r>
      <w:r w:rsidR="00C01DED">
        <w:t xml:space="preserve">nd maternal anxiety during </w:t>
      </w:r>
      <w:r w:rsidR="008F54F3">
        <w:t>pregnancy.</w:t>
      </w:r>
      <w:r w:rsidR="00CE708A">
        <w:t xml:space="preserve"> </w:t>
      </w:r>
      <w:r w:rsidR="008F54F3">
        <w:t xml:space="preserve">Prolonged early wheezing (PEW) </w:t>
      </w:r>
      <w:r w:rsidR="00CE708A">
        <w:t>was</w:t>
      </w:r>
      <w:r w:rsidR="008F54F3">
        <w:t xml:space="preserve"> associated with</w:t>
      </w:r>
      <w:r w:rsidR="00C01DED">
        <w:t xml:space="preserve"> overcrowding, maternal history of asthma or allergy, maternal smoking during pregnancy, gender, rented housing, single mother and anxiety during pregnancy.</w:t>
      </w:r>
      <w:r w:rsidR="006A7F06">
        <w:t xml:space="preserve"> </w:t>
      </w:r>
      <w:r w:rsidR="00C01DED">
        <w:t xml:space="preserve">Intermediate onset wheezing (IOW) </w:t>
      </w:r>
      <w:r w:rsidR="00CE708A">
        <w:t>was</w:t>
      </w:r>
      <w:r w:rsidR="00C01DED">
        <w:t xml:space="preserve"> associated with materna</w:t>
      </w:r>
      <w:r w:rsidR="00352C1F">
        <w:t xml:space="preserve">l history of asthma or allergy </w:t>
      </w:r>
      <w:r w:rsidR="00C01DED">
        <w:t xml:space="preserve">and gender. IOW </w:t>
      </w:r>
      <w:r w:rsidR="00CE708A">
        <w:t xml:space="preserve">was </w:t>
      </w:r>
      <w:r w:rsidR="00C01DED">
        <w:t>also associated with maternal an</w:t>
      </w:r>
      <w:r w:rsidR="00006538">
        <w:t>xiety</w:t>
      </w:r>
      <w:r w:rsidR="00C01DED">
        <w:t>.</w:t>
      </w:r>
      <w:r w:rsidR="006A7F06">
        <w:t xml:space="preserve"> </w:t>
      </w:r>
      <w:r w:rsidR="00C01DED">
        <w:t xml:space="preserve">Late onset wheezing (LOW) </w:t>
      </w:r>
      <w:r w:rsidR="00CE708A">
        <w:t xml:space="preserve">was </w:t>
      </w:r>
      <w:r w:rsidR="00C01DED">
        <w:t>associated with</w:t>
      </w:r>
      <w:r w:rsidR="00370E13">
        <w:t xml:space="preserve"> maternal history of asthma or allergy and gender, also with maternal anxiety during pregnancy.</w:t>
      </w:r>
      <w:r w:rsidR="006A7F06">
        <w:t xml:space="preserve"> </w:t>
      </w:r>
      <w:r w:rsidR="00370E13">
        <w:t xml:space="preserve">Persistent wheezing (PW) associated with maternal history of asthma or allergy, maternal pre-pregnancy BMI, maternal smoking during pregnancy and gender. PW </w:t>
      </w:r>
      <w:r w:rsidR="00CE708A">
        <w:t xml:space="preserve">was </w:t>
      </w:r>
      <w:r w:rsidR="00370E13">
        <w:t>also associated with overcrowding, maternal low education level, maternal use of antibiotics, previous pregnancies, rented housing, single mother and maternal anxi</w:t>
      </w:r>
      <w:r w:rsidR="006A7F06">
        <w:t>ety during pregnancy.</w:t>
      </w:r>
    </w:p>
    <w:p w:rsidR="007762D8" w:rsidRDefault="00F97CF9" w:rsidP="00480715">
      <w:pPr>
        <w:autoSpaceDE w:val="0"/>
        <w:autoSpaceDN w:val="0"/>
        <w:adjustRightInd w:val="0"/>
        <w:spacing w:before="240" w:line="360" w:lineRule="auto"/>
      </w:pPr>
      <w:r>
        <w:t xml:space="preserve">Table </w:t>
      </w:r>
      <w:r w:rsidR="00B019FD">
        <w:t>S</w:t>
      </w:r>
      <w:r w:rsidR="0053250C">
        <w:t>3</w:t>
      </w:r>
      <w:r>
        <w:t xml:space="preserve"> shows the associations between perinatal characteristics and wheez</w:t>
      </w:r>
      <w:r w:rsidR="00FD3EB5">
        <w:t xml:space="preserve">ing phenotypes </w:t>
      </w:r>
      <w:r w:rsidR="00D5772A">
        <w:t>without any adjusting for confounders.</w:t>
      </w:r>
      <w:r w:rsidR="00093AC2">
        <w:t xml:space="preserve"> </w:t>
      </w:r>
      <w:r w:rsidR="000D4E4A">
        <w:t xml:space="preserve">PEW </w:t>
      </w:r>
      <w:r w:rsidR="00CE708A">
        <w:t xml:space="preserve">was </w:t>
      </w:r>
      <w:r w:rsidR="000D4E4A">
        <w:t>associ</w:t>
      </w:r>
      <w:r w:rsidR="00006538">
        <w:t>ated with preterm deliver</w:t>
      </w:r>
      <w:r w:rsidR="00E81CF4">
        <w:t>y</w:t>
      </w:r>
      <w:r w:rsidR="000D4E4A">
        <w:t xml:space="preserve">. IOW </w:t>
      </w:r>
      <w:r w:rsidR="00CE708A">
        <w:t xml:space="preserve">was </w:t>
      </w:r>
      <w:r w:rsidR="000D4E4A">
        <w:t>associated</w:t>
      </w:r>
      <w:r w:rsidR="00006538">
        <w:t xml:space="preserve"> with low birth weight</w:t>
      </w:r>
      <w:r w:rsidR="000D4E4A">
        <w:t xml:space="preserve">. LOW </w:t>
      </w:r>
      <w:r w:rsidR="00CE708A">
        <w:t xml:space="preserve">was </w:t>
      </w:r>
      <w:r w:rsidR="000D4E4A">
        <w:t xml:space="preserve">not associated with any </w:t>
      </w:r>
      <w:r w:rsidR="00E674CC">
        <w:t xml:space="preserve">risk factors in this category. PW </w:t>
      </w:r>
      <w:r w:rsidR="00CE708A">
        <w:t xml:space="preserve">was </w:t>
      </w:r>
      <w:r w:rsidR="00E674CC">
        <w:t>associated with p</w:t>
      </w:r>
      <w:r w:rsidR="005B103C">
        <w:t>reterm delivery.</w:t>
      </w:r>
    </w:p>
    <w:p w:rsidR="007A2191" w:rsidRDefault="00F97CF9" w:rsidP="007A2191">
      <w:pPr>
        <w:autoSpaceDE w:val="0"/>
        <w:autoSpaceDN w:val="0"/>
        <w:adjustRightInd w:val="0"/>
        <w:spacing w:before="240" w:line="360" w:lineRule="auto"/>
      </w:pPr>
      <w:r>
        <w:t xml:space="preserve">Table </w:t>
      </w:r>
      <w:r w:rsidR="00B019FD">
        <w:t>S</w:t>
      </w:r>
      <w:r w:rsidR="0053250C">
        <w:t>4</w:t>
      </w:r>
      <w:r>
        <w:t xml:space="preserve"> shows the associations between postnatal characteristics and wheezing phenotypes </w:t>
      </w:r>
      <w:r w:rsidR="00D5772A">
        <w:t>without any adjusting for confounders.</w:t>
      </w:r>
      <w:r w:rsidR="00093AC2">
        <w:t xml:space="preserve"> </w:t>
      </w:r>
      <w:r w:rsidR="009A3D93">
        <w:t xml:space="preserve">TEW </w:t>
      </w:r>
      <w:r w:rsidR="00CE708A">
        <w:t xml:space="preserve">was </w:t>
      </w:r>
      <w:r w:rsidR="009A3D93">
        <w:t>associated with day</w:t>
      </w:r>
      <w:r w:rsidR="00900034">
        <w:t xml:space="preserve"> </w:t>
      </w:r>
      <w:r w:rsidR="009A3D93">
        <w:t xml:space="preserve">care during </w:t>
      </w:r>
      <w:r w:rsidR="00900034">
        <w:t xml:space="preserve">the first year, </w:t>
      </w:r>
      <w:r w:rsidR="00CE708A">
        <w:t>breastfeeding for at least 3 months, maternal smoking and maternal anxiety during pregnancy. PEW was associated with breastfeeding for at least 3 months, maternal smoking and mate</w:t>
      </w:r>
      <w:r w:rsidR="00006538">
        <w:t>rnal anxiety during pregnancy</w:t>
      </w:r>
      <w:r w:rsidR="00CE708A">
        <w:t>. IOW was associated was not associated with any risks factor in this category. LOW was associated with maternal anxiety during pregnancy. PW was associated with breastfeeding for at least 1 month, maternal smok</w:t>
      </w:r>
      <w:r w:rsidR="00006538">
        <w:t>ing and anxiety during pregnancy</w:t>
      </w:r>
      <w:r w:rsidR="00CE708A">
        <w:t>.</w:t>
      </w:r>
    </w:p>
    <w:p w:rsidR="00BE4DCE" w:rsidRDefault="00B019FD" w:rsidP="007A2191">
      <w:pPr>
        <w:autoSpaceDE w:val="0"/>
        <w:autoSpaceDN w:val="0"/>
        <w:adjustRightInd w:val="0"/>
        <w:spacing w:before="240" w:line="360" w:lineRule="auto"/>
      </w:pPr>
      <w:r>
        <w:t>Table S</w:t>
      </w:r>
      <w:r w:rsidR="00BE4DCE">
        <w:t>1</w:t>
      </w:r>
      <w:r w:rsidR="00BE4DCE" w:rsidRPr="0053250C">
        <w:t xml:space="preserve"> </w:t>
      </w:r>
      <w:r w:rsidR="00BE4DCE">
        <w:t>T</w:t>
      </w:r>
      <w:r w:rsidR="00BE4DCE" w:rsidRPr="0053250C">
        <w:t>iming of questionnaires and the proportion of returned questionnaires at each time</w:t>
      </w:r>
      <w:r w:rsidR="00BE4DCE">
        <w:t xml:space="preserve"> point</w:t>
      </w:r>
    </w:p>
    <w:tbl>
      <w:tblPr>
        <w:tblW w:w="8992" w:type="dxa"/>
        <w:tblInd w:w="95" w:type="dxa"/>
        <w:tblBorders>
          <w:top w:val="single" w:sz="4" w:space="0" w:color="auto"/>
          <w:bottom w:val="single" w:sz="4" w:space="0" w:color="auto"/>
        </w:tblBorders>
        <w:tblLook w:val="04A0"/>
      </w:tblPr>
      <w:tblGrid>
        <w:gridCol w:w="1083"/>
        <w:gridCol w:w="1603"/>
        <w:gridCol w:w="1307"/>
        <w:gridCol w:w="1500"/>
        <w:gridCol w:w="1711"/>
        <w:gridCol w:w="1788"/>
      </w:tblGrid>
      <w:tr w:rsidR="00BE4DCE" w:rsidRPr="00B852BD" w:rsidTr="00EE08A0">
        <w:trPr>
          <w:trHeight w:val="300"/>
        </w:trPr>
        <w:tc>
          <w:tcPr>
            <w:tcW w:w="1083" w:type="dxa"/>
            <w:tcBorders>
              <w:top w:val="single" w:sz="4" w:space="0" w:color="auto"/>
              <w:bottom w:val="single" w:sz="4" w:space="0" w:color="auto"/>
            </w:tcBorders>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Time (months)</w:t>
            </w:r>
          </w:p>
        </w:tc>
        <w:tc>
          <w:tcPr>
            <w:tcW w:w="1603" w:type="dxa"/>
            <w:tcBorders>
              <w:top w:val="single" w:sz="4" w:space="0" w:color="auto"/>
              <w:bottom w:val="single" w:sz="4" w:space="0" w:color="auto"/>
            </w:tcBorders>
            <w:shd w:val="clear" w:color="auto" w:fill="auto"/>
            <w:noWrap/>
            <w:vAlign w:val="center"/>
            <w:hideMark/>
          </w:tcPr>
          <w:p w:rsidR="00BE4DCE" w:rsidRDefault="00BE4DCE" w:rsidP="00EE08A0">
            <w:pPr>
              <w:rPr>
                <w:color w:val="000000"/>
                <w:lang w:eastAsia="en-GB"/>
              </w:rPr>
            </w:pPr>
            <w:r w:rsidRPr="00B852BD">
              <w:rPr>
                <w:color w:val="000000"/>
                <w:lang w:eastAsia="en-GB"/>
              </w:rPr>
              <w:t>Total questionnaires</w:t>
            </w:r>
          </w:p>
          <w:p w:rsidR="00BE4DCE" w:rsidRPr="00B852BD" w:rsidRDefault="00BE4DCE" w:rsidP="00EE08A0">
            <w:pPr>
              <w:rPr>
                <w:color w:val="000000"/>
                <w:lang w:eastAsia="en-GB"/>
              </w:rPr>
            </w:pPr>
            <w:r>
              <w:rPr>
                <w:color w:val="000000"/>
                <w:lang w:eastAsia="en-GB"/>
              </w:rPr>
              <w:t>sent</w:t>
            </w:r>
            <w:r w:rsidRPr="00B852BD">
              <w:rPr>
                <w:color w:val="000000"/>
                <w:lang w:eastAsia="en-GB"/>
              </w:rPr>
              <w:t xml:space="preserve"> (one per child)</w:t>
            </w:r>
          </w:p>
        </w:tc>
        <w:tc>
          <w:tcPr>
            <w:tcW w:w="1307" w:type="dxa"/>
            <w:tcBorders>
              <w:top w:val="single" w:sz="4" w:space="0" w:color="auto"/>
              <w:bottom w:val="single" w:sz="4" w:space="0" w:color="auto"/>
            </w:tcBorders>
            <w:shd w:val="clear" w:color="auto" w:fill="auto"/>
            <w:noWrap/>
            <w:vAlign w:val="center"/>
            <w:hideMark/>
          </w:tcPr>
          <w:p w:rsidR="00BE4DCE" w:rsidRPr="00B852BD" w:rsidRDefault="00BE4DCE" w:rsidP="00EE08A0">
            <w:pPr>
              <w:rPr>
                <w:color w:val="000000"/>
                <w:lang w:eastAsia="en-GB"/>
              </w:rPr>
            </w:pPr>
            <w:r>
              <w:rPr>
                <w:color w:val="000000"/>
                <w:lang w:eastAsia="en-GB"/>
              </w:rPr>
              <w:t>R</w:t>
            </w:r>
            <w:r w:rsidRPr="00B852BD">
              <w:rPr>
                <w:color w:val="000000"/>
                <w:lang w:eastAsia="en-GB"/>
              </w:rPr>
              <w:t>eturned</w:t>
            </w:r>
          </w:p>
        </w:tc>
        <w:tc>
          <w:tcPr>
            <w:tcW w:w="1500" w:type="dxa"/>
            <w:tcBorders>
              <w:top w:val="single" w:sz="4" w:space="0" w:color="auto"/>
              <w:bottom w:val="single" w:sz="4" w:space="0" w:color="auto"/>
            </w:tcBorders>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Not completed</w:t>
            </w:r>
          </w:p>
        </w:tc>
        <w:tc>
          <w:tcPr>
            <w:tcW w:w="1711" w:type="dxa"/>
            <w:tcBorders>
              <w:top w:val="single" w:sz="4" w:space="0" w:color="auto"/>
              <w:bottom w:val="single" w:sz="4" w:space="0" w:color="auto"/>
            </w:tcBorders>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Positive response</w:t>
            </w:r>
          </w:p>
        </w:tc>
        <w:tc>
          <w:tcPr>
            <w:tcW w:w="1788" w:type="dxa"/>
            <w:tcBorders>
              <w:top w:val="single" w:sz="4" w:space="0" w:color="auto"/>
              <w:bottom w:val="single" w:sz="4" w:space="0" w:color="auto"/>
            </w:tcBorders>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Negative response</w:t>
            </w:r>
          </w:p>
        </w:tc>
      </w:tr>
      <w:tr w:rsidR="00BE4DCE" w:rsidRPr="00B852BD" w:rsidTr="00EE08A0">
        <w:trPr>
          <w:trHeight w:val="300"/>
        </w:trPr>
        <w:tc>
          <w:tcPr>
            <w:tcW w:w="1083" w:type="dxa"/>
            <w:tcBorders>
              <w:top w:val="single" w:sz="4" w:space="0" w:color="auto"/>
            </w:tcBorders>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6</w:t>
            </w:r>
          </w:p>
        </w:tc>
        <w:tc>
          <w:tcPr>
            <w:tcW w:w="1603" w:type="dxa"/>
            <w:tcBorders>
              <w:top w:val="single" w:sz="4" w:space="0" w:color="auto"/>
            </w:tcBorders>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14,135</w:t>
            </w:r>
          </w:p>
        </w:tc>
        <w:tc>
          <w:tcPr>
            <w:tcW w:w="1307" w:type="dxa"/>
            <w:tcBorders>
              <w:top w:val="single" w:sz="4" w:space="0" w:color="auto"/>
            </w:tcBorders>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81%</w:t>
            </w:r>
          </w:p>
        </w:tc>
        <w:tc>
          <w:tcPr>
            <w:tcW w:w="1500" w:type="dxa"/>
            <w:tcBorders>
              <w:top w:val="single" w:sz="4" w:space="0" w:color="auto"/>
            </w:tcBorders>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0.6%</w:t>
            </w:r>
          </w:p>
        </w:tc>
        <w:tc>
          <w:tcPr>
            <w:tcW w:w="1711" w:type="dxa"/>
            <w:tcBorders>
              <w:top w:val="single" w:sz="4" w:space="0" w:color="auto"/>
            </w:tcBorders>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26.2%</w:t>
            </w:r>
          </w:p>
        </w:tc>
        <w:tc>
          <w:tcPr>
            <w:tcW w:w="1788" w:type="dxa"/>
            <w:tcBorders>
              <w:top w:val="single" w:sz="4" w:space="0" w:color="auto"/>
            </w:tcBorders>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73.2%</w:t>
            </w:r>
          </w:p>
        </w:tc>
      </w:tr>
      <w:tr w:rsidR="00BE4DCE" w:rsidRPr="00B852BD" w:rsidTr="00EE08A0">
        <w:trPr>
          <w:trHeight w:val="300"/>
        </w:trPr>
        <w:tc>
          <w:tcPr>
            <w:tcW w:w="1083"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18</w:t>
            </w:r>
          </w:p>
        </w:tc>
        <w:tc>
          <w:tcPr>
            <w:tcW w:w="1603"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14,138</w:t>
            </w:r>
          </w:p>
        </w:tc>
        <w:tc>
          <w:tcPr>
            <w:tcW w:w="1307"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78%</w:t>
            </w:r>
          </w:p>
        </w:tc>
        <w:tc>
          <w:tcPr>
            <w:tcW w:w="1500"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1.1%</w:t>
            </w:r>
          </w:p>
        </w:tc>
        <w:tc>
          <w:tcPr>
            <w:tcW w:w="1711"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27.2%</w:t>
            </w:r>
          </w:p>
        </w:tc>
        <w:tc>
          <w:tcPr>
            <w:tcW w:w="1788"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71.7%</w:t>
            </w:r>
          </w:p>
        </w:tc>
      </w:tr>
      <w:tr w:rsidR="00BE4DCE" w:rsidRPr="00B852BD" w:rsidTr="00EE08A0">
        <w:trPr>
          <w:trHeight w:val="300"/>
        </w:trPr>
        <w:tc>
          <w:tcPr>
            <w:tcW w:w="1083"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30</w:t>
            </w:r>
          </w:p>
        </w:tc>
        <w:tc>
          <w:tcPr>
            <w:tcW w:w="1603"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14,138</w:t>
            </w:r>
          </w:p>
        </w:tc>
        <w:tc>
          <w:tcPr>
            <w:tcW w:w="1307"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73%</w:t>
            </w:r>
          </w:p>
        </w:tc>
        <w:tc>
          <w:tcPr>
            <w:tcW w:w="1500"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3.5%</w:t>
            </w:r>
          </w:p>
        </w:tc>
        <w:tc>
          <w:tcPr>
            <w:tcW w:w="1711"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21.9%</w:t>
            </w:r>
          </w:p>
        </w:tc>
        <w:tc>
          <w:tcPr>
            <w:tcW w:w="1788"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74.7%</w:t>
            </w:r>
          </w:p>
        </w:tc>
      </w:tr>
      <w:tr w:rsidR="00BE4DCE" w:rsidRPr="00B852BD" w:rsidTr="00EE08A0">
        <w:trPr>
          <w:trHeight w:val="300"/>
        </w:trPr>
        <w:tc>
          <w:tcPr>
            <w:tcW w:w="1083"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42</w:t>
            </w:r>
          </w:p>
        </w:tc>
        <w:tc>
          <w:tcPr>
            <w:tcW w:w="1603"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14,138</w:t>
            </w:r>
          </w:p>
        </w:tc>
        <w:tc>
          <w:tcPr>
            <w:tcW w:w="1307"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71%</w:t>
            </w:r>
          </w:p>
        </w:tc>
        <w:tc>
          <w:tcPr>
            <w:tcW w:w="1500"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0.6%</w:t>
            </w:r>
          </w:p>
        </w:tc>
        <w:tc>
          <w:tcPr>
            <w:tcW w:w="1711"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17.5%</w:t>
            </w:r>
          </w:p>
        </w:tc>
        <w:tc>
          <w:tcPr>
            <w:tcW w:w="1788"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81.9%</w:t>
            </w:r>
          </w:p>
        </w:tc>
      </w:tr>
      <w:tr w:rsidR="00BE4DCE" w:rsidRPr="00B852BD" w:rsidTr="00EE08A0">
        <w:trPr>
          <w:trHeight w:val="300"/>
        </w:trPr>
        <w:tc>
          <w:tcPr>
            <w:tcW w:w="1083"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54</w:t>
            </w:r>
          </w:p>
        </w:tc>
        <w:tc>
          <w:tcPr>
            <w:tcW w:w="1603"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12,128</w:t>
            </w:r>
          </w:p>
        </w:tc>
        <w:tc>
          <w:tcPr>
            <w:tcW w:w="1307"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79%</w:t>
            </w:r>
          </w:p>
        </w:tc>
        <w:tc>
          <w:tcPr>
            <w:tcW w:w="1500"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1.3%</w:t>
            </w:r>
          </w:p>
        </w:tc>
        <w:tc>
          <w:tcPr>
            <w:tcW w:w="1711"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18.7%</w:t>
            </w:r>
          </w:p>
        </w:tc>
        <w:tc>
          <w:tcPr>
            <w:tcW w:w="1788"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80.0%</w:t>
            </w:r>
          </w:p>
        </w:tc>
      </w:tr>
      <w:tr w:rsidR="00BE4DCE" w:rsidRPr="00B852BD" w:rsidTr="00EE08A0">
        <w:trPr>
          <w:trHeight w:val="300"/>
        </w:trPr>
        <w:tc>
          <w:tcPr>
            <w:tcW w:w="1083"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69</w:t>
            </w:r>
          </w:p>
        </w:tc>
        <w:tc>
          <w:tcPr>
            <w:tcW w:w="1603"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11,268</w:t>
            </w:r>
          </w:p>
        </w:tc>
        <w:tc>
          <w:tcPr>
            <w:tcW w:w="1307"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77%</w:t>
            </w:r>
          </w:p>
        </w:tc>
        <w:tc>
          <w:tcPr>
            <w:tcW w:w="1500"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1.1%</w:t>
            </w:r>
          </w:p>
        </w:tc>
        <w:tc>
          <w:tcPr>
            <w:tcW w:w="1711"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15.3%</w:t>
            </w:r>
          </w:p>
        </w:tc>
        <w:tc>
          <w:tcPr>
            <w:tcW w:w="1788"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83.6%</w:t>
            </w:r>
          </w:p>
        </w:tc>
      </w:tr>
      <w:tr w:rsidR="00BE4DCE" w:rsidRPr="00B852BD" w:rsidTr="00EE08A0">
        <w:trPr>
          <w:trHeight w:val="300"/>
        </w:trPr>
        <w:tc>
          <w:tcPr>
            <w:tcW w:w="1083"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81</w:t>
            </w:r>
          </w:p>
        </w:tc>
        <w:tc>
          <w:tcPr>
            <w:tcW w:w="1603"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10,908</w:t>
            </w:r>
          </w:p>
        </w:tc>
        <w:tc>
          <w:tcPr>
            <w:tcW w:w="1307"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78%</w:t>
            </w:r>
          </w:p>
        </w:tc>
        <w:tc>
          <w:tcPr>
            <w:tcW w:w="1500"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1.3%</w:t>
            </w:r>
          </w:p>
        </w:tc>
        <w:tc>
          <w:tcPr>
            <w:tcW w:w="1711"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13.3%</w:t>
            </w:r>
          </w:p>
        </w:tc>
        <w:tc>
          <w:tcPr>
            <w:tcW w:w="1788" w:type="dxa"/>
            <w:shd w:val="clear" w:color="auto" w:fill="auto"/>
            <w:noWrap/>
            <w:vAlign w:val="center"/>
            <w:hideMark/>
          </w:tcPr>
          <w:p w:rsidR="00BE4DCE" w:rsidRPr="00B852BD" w:rsidRDefault="00BE4DCE" w:rsidP="00EE08A0">
            <w:pPr>
              <w:rPr>
                <w:color w:val="000000"/>
                <w:lang w:eastAsia="en-GB"/>
              </w:rPr>
            </w:pPr>
            <w:r w:rsidRPr="00B852BD">
              <w:rPr>
                <w:color w:val="000000"/>
                <w:lang w:eastAsia="en-GB"/>
              </w:rPr>
              <w:t>85.5%</w:t>
            </w:r>
          </w:p>
        </w:tc>
      </w:tr>
    </w:tbl>
    <w:p w:rsidR="00BE4DCE" w:rsidRDefault="00BE4DCE" w:rsidP="00DF3DAE">
      <w:pPr>
        <w:spacing w:line="360" w:lineRule="auto"/>
        <w:sectPr w:rsidR="00BE4DCE" w:rsidSect="00BF7203">
          <w:headerReference w:type="default" r:id="rId7"/>
          <w:footerReference w:type="default" r:id="rId8"/>
          <w:type w:val="continuous"/>
          <w:pgSz w:w="11906" w:h="16838"/>
          <w:pgMar w:top="1440" w:right="1440" w:bottom="1440" w:left="1440" w:header="709" w:footer="709" w:gutter="0"/>
          <w:pgNumType w:start="1"/>
          <w:cols w:space="708"/>
          <w:docGrid w:linePitch="360"/>
        </w:sectPr>
      </w:pPr>
    </w:p>
    <w:p w:rsidR="00FC2D88" w:rsidRDefault="00FC2D88" w:rsidP="007E6BF0">
      <w:pPr>
        <w:spacing w:after="240"/>
        <w:ind w:left="-142"/>
      </w:pPr>
      <w:r>
        <w:lastRenderedPageBreak/>
        <w:t xml:space="preserve">Table </w:t>
      </w:r>
      <w:r w:rsidR="00B019FD">
        <w:t>S</w:t>
      </w:r>
      <w:r w:rsidR="0053250C">
        <w:t>2</w:t>
      </w:r>
      <w:r>
        <w:t xml:space="preserve"> Crude association of demographic, maternal, pregnancy and child characteristics wit</w:t>
      </w:r>
      <w:r w:rsidR="0045646D">
        <w:t>h wheezing phenotypes in ALSPAC</w:t>
      </w:r>
    </w:p>
    <w:tbl>
      <w:tblPr>
        <w:tblW w:w="14567" w:type="dxa"/>
        <w:tblBorders>
          <w:top w:val="single" w:sz="4" w:space="0" w:color="auto"/>
          <w:bottom w:val="single" w:sz="4" w:space="0" w:color="auto"/>
        </w:tblBorders>
        <w:tblLayout w:type="fixed"/>
        <w:tblLook w:val="04A0"/>
      </w:tblPr>
      <w:tblGrid>
        <w:gridCol w:w="2802"/>
        <w:gridCol w:w="1417"/>
        <w:gridCol w:w="1701"/>
        <w:gridCol w:w="1701"/>
        <w:gridCol w:w="1843"/>
        <w:gridCol w:w="1843"/>
        <w:gridCol w:w="1701"/>
        <w:gridCol w:w="1559"/>
      </w:tblGrid>
      <w:tr w:rsidR="00831EA2" w:rsidRPr="00831EA2" w:rsidTr="000B44D8">
        <w:trPr>
          <w:trHeight w:hRule="exact" w:val="502"/>
        </w:trPr>
        <w:tc>
          <w:tcPr>
            <w:tcW w:w="4219" w:type="dxa"/>
            <w:gridSpan w:val="2"/>
            <w:tcBorders>
              <w:bottom w:val="nil"/>
            </w:tcBorders>
            <w:vAlign w:val="center"/>
          </w:tcPr>
          <w:p w:rsidR="00831EA2" w:rsidRPr="00831EA2" w:rsidRDefault="00831EA2" w:rsidP="00C221CF">
            <w:pPr>
              <w:spacing w:before="120"/>
              <w:rPr>
                <w:b/>
                <w:bCs/>
                <w:sz w:val="22"/>
                <w:szCs w:val="22"/>
              </w:rPr>
            </w:pPr>
            <w:r w:rsidRPr="00831EA2">
              <w:rPr>
                <w:b/>
                <w:bCs/>
                <w:sz w:val="22"/>
                <w:szCs w:val="22"/>
              </w:rPr>
              <w:t> </w:t>
            </w:r>
          </w:p>
          <w:p w:rsidR="00831EA2" w:rsidRPr="00831EA2" w:rsidRDefault="00831EA2" w:rsidP="00C221CF">
            <w:pPr>
              <w:spacing w:before="120"/>
              <w:rPr>
                <w:b/>
                <w:bCs/>
                <w:sz w:val="22"/>
                <w:szCs w:val="22"/>
              </w:rPr>
            </w:pPr>
            <w:r w:rsidRPr="00831EA2">
              <w:rPr>
                <w:b/>
                <w:bCs/>
                <w:sz w:val="22"/>
                <w:szCs w:val="22"/>
              </w:rPr>
              <w:t> </w:t>
            </w:r>
          </w:p>
        </w:tc>
        <w:tc>
          <w:tcPr>
            <w:tcW w:w="8789" w:type="dxa"/>
            <w:gridSpan w:val="5"/>
            <w:tcBorders>
              <w:bottom w:val="nil"/>
            </w:tcBorders>
          </w:tcPr>
          <w:p w:rsidR="00831EA2" w:rsidRPr="00831EA2" w:rsidRDefault="00831EA2" w:rsidP="000B44D8">
            <w:pPr>
              <w:spacing w:before="120"/>
              <w:jc w:val="center"/>
              <w:rPr>
                <w:color w:val="000000"/>
                <w:sz w:val="22"/>
                <w:szCs w:val="22"/>
              </w:rPr>
            </w:pPr>
            <w:r w:rsidRPr="00831EA2">
              <w:rPr>
                <w:sz w:val="22"/>
                <w:szCs w:val="22"/>
              </w:rPr>
              <w:t xml:space="preserve">Adjusted </w:t>
            </w:r>
            <w:r w:rsidRPr="00831EA2">
              <w:rPr>
                <w:color w:val="000000"/>
                <w:sz w:val="22"/>
                <w:szCs w:val="22"/>
              </w:rPr>
              <w:t xml:space="preserve">Relative Risk Ratio (95% CI) </w:t>
            </w:r>
            <w:r w:rsidR="000B44D8">
              <w:rPr>
                <w:color w:val="000000"/>
                <w:sz w:val="22"/>
                <w:szCs w:val="22"/>
              </w:rPr>
              <w:t>for</w:t>
            </w:r>
            <w:r w:rsidRPr="00831EA2">
              <w:rPr>
                <w:color w:val="000000"/>
                <w:sz w:val="22"/>
                <w:szCs w:val="22"/>
              </w:rPr>
              <w:t>*</w:t>
            </w:r>
          </w:p>
        </w:tc>
        <w:tc>
          <w:tcPr>
            <w:tcW w:w="1559" w:type="dxa"/>
            <w:tcBorders>
              <w:bottom w:val="nil"/>
            </w:tcBorders>
          </w:tcPr>
          <w:p w:rsidR="00831EA2" w:rsidRPr="00831EA2" w:rsidRDefault="00831EA2" w:rsidP="00C221CF">
            <w:pPr>
              <w:spacing w:before="120"/>
              <w:jc w:val="center"/>
              <w:rPr>
                <w:color w:val="000000"/>
                <w:sz w:val="22"/>
                <w:szCs w:val="22"/>
              </w:rPr>
            </w:pPr>
          </w:p>
        </w:tc>
      </w:tr>
      <w:tr w:rsidR="00831EA2" w:rsidRPr="00831EA2" w:rsidTr="005B3EA5">
        <w:trPr>
          <w:trHeight w:hRule="exact" w:val="849"/>
        </w:trPr>
        <w:tc>
          <w:tcPr>
            <w:tcW w:w="4219" w:type="dxa"/>
            <w:gridSpan w:val="2"/>
            <w:tcBorders>
              <w:top w:val="nil"/>
              <w:bottom w:val="single" w:sz="4" w:space="0" w:color="auto"/>
            </w:tcBorders>
            <w:vAlign w:val="center"/>
          </w:tcPr>
          <w:p w:rsidR="000B44D8" w:rsidRPr="00831EA2" w:rsidRDefault="000B44D8" w:rsidP="005B3EA5">
            <w:pPr>
              <w:spacing w:before="120"/>
              <w:rPr>
                <w:b/>
                <w:bCs/>
                <w:sz w:val="22"/>
                <w:szCs w:val="22"/>
              </w:rPr>
            </w:pPr>
            <w:r w:rsidRPr="00831EA2">
              <w:rPr>
                <w:b/>
                <w:bCs/>
                <w:sz w:val="22"/>
                <w:szCs w:val="22"/>
              </w:rPr>
              <w:t>Demographic, maternal, pregnancy &amp; child characteristics (N=8,310)</w:t>
            </w:r>
          </w:p>
          <w:p w:rsidR="00831EA2" w:rsidRPr="00831EA2" w:rsidRDefault="00831EA2" w:rsidP="005B3EA5">
            <w:pPr>
              <w:rPr>
                <w:color w:val="000000"/>
                <w:sz w:val="22"/>
                <w:szCs w:val="22"/>
              </w:rPr>
            </w:pPr>
          </w:p>
        </w:tc>
        <w:tc>
          <w:tcPr>
            <w:tcW w:w="1701" w:type="dxa"/>
            <w:tcBorders>
              <w:top w:val="nil"/>
              <w:bottom w:val="single" w:sz="4" w:space="0" w:color="auto"/>
            </w:tcBorders>
            <w:vAlign w:val="center"/>
          </w:tcPr>
          <w:p w:rsidR="00831EA2" w:rsidRPr="00831EA2" w:rsidRDefault="00831EA2" w:rsidP="005B3EA5">
            <w:pPr>
              <w:rPr>
                <w:color w:val="000000"/>
                <w:sz w:val="22"/>
                <w:szCs w:val="22"/>
              </w:rPr>
            </w:pPr>
            <w:r w:rsidRPr="00831EA2">
              <w:rPr>
                <w:color w:val="000000"/>
                <w:sz w:val="22"/>
                <w:szCs w:val="22"/>
              </w:rPr>
              <w:t>Transient early</w:t>
            </w:r>
          </w:p>
          <w:p w:rsidR="00831EA2" w:rsidRPr="00831EA2" w:rsidRDefault="00831EA2" w:rsidP="005B3EA5">
            <w:pPr>
              <w:rPr>
                <w:color w:val="000000"/>
                <w:sz w:val="22"/>
                <w:szCs w:val="22"/>
              </w:rPr>
            </w:pPr>
            <w:r w:rsidRPr="00831EA2">
              <w:rPr>
                <w:color w:val="000000"/>
                <w:sz w:val="22"/>
                <w:szCs w:val="22"/>
              </w:rPr>
              <w:t>(N=813)</w:t>
            </w:r>
          </w:p>
        </w:tc>
        <w:tc>
          <w:tcPr>
            <w:tcW w:w="1701" w:type="dxa"/>
            <w:tcBorders>
              <w:top w:val="nil"/>
              <w:bottom w:val="single" w:sz="4" w:space="0" w:color="auto"/>
            </w:tcBorders>
            <w:vAlign w:val="center"/>
          </w:tcPr>
          <w:p w:rsidR="00831EA2" w:rsidRPr="00831EA2" w:rsidRDefault="00831EA2" w:rsidP="005B3EA5">
            <w:pPr>
              <w:rPr>
                <w:color w:val="000000"/>
                <w:sz w:val="22"/>
                <w:szCs w:val="22"/>
              </w:rPr>
            </w:pPr>
            <w:r w:rsidRPr="00831EA2">
              <w:rPr>
                <w:color w:val="000000"/>
                <w:sz w:val="22"/>
                <w:szCs w:val="22"/>
              </w:rPr>
              <w:t>Prolonged early</w:t>
            </w:r>
          </w:p>
          <w:p w:rsidR="00831EA2" w:rsidRPr="00831EA2" w:rsidRDefault="00831EA2" w:rsidP="005B3EA5">
            <w:pPr>
              <w:rPr>
                <w:color w:val="000000"/>
                <w:sz w:val="22"/>
                <w:szCs w:val="22"/>
              </w:rPr>
            </w:pPr>
            <w:r w:rsidRPr="00831EA2">
              <w:rPr>
                <w:color w:val="000000"/>
                <w:sz w:val="22"/>
                <w:szCs w:val="22"/>
              </w:rPr>
              <w:t>(N=553)</w:t>
            </w:r>
          </w:p>
        </w:tc>
        <w:tc>
          <w:tcPr>
            <w:tcW w:w="1843" w:type="dxa"/>
            <w:tcBorders>
              <w:top w:val="nil"/>
              <w:bottom w:val="single" w:sz="4" w:space="0" w:color="auto"/>
            </w:tcBorders>
            <w:vAlign w:val="center"/>
          </w:tcPr>
          <w:p w:rsidR="00831EA2" w:rsidRPr="00831EA2" w:rsidRDefault="00831EA2" w:rsidP="005B3EA5">
            <w:pPr>
              <w:rPr>
                <w:color w:val="000000"/>
                <w:sz w:val="22"/>
                <w:szCs w:val="22"/>
              </w:rPr>
            </w:pPr>
            <w:r w:rsidRPr="00831EA2">
              <w:rPr>
                <w:color w:val="000000"/>
                <w:sz w:val="22"/>
                <w:szCs w:val="22"/>
              </w:rPr>
              <w:t>Intermediate onset (N=202)</w:t>
            </w:r>
          </w:p>
        </w:tc>
        <w:tc>
          <w:tcPr>
            <w:tcW w:w="1843" w:type="dxa"/>
            <w:tcBorders>
              <w:top w:val="nil"/>
              <w:bottom w:val="single" w:sz="4" w:space="0" w:color="auto"/>
            </w:tcBorders>
            <w:vAlign w:val="center"/>
          </w:tcPr>
          <w:p w:rsidR="00831EA2" w:rsidRPr="00831EA2" w:rsidRDefault="00831EA2" w:rsidP="005B3EA5">
            <w:pPr>
              <w:rPr>
                <w:color w:val="000000"/>
                <w:sz w:val="22"/>
                <w:szCs w:val="22"/>
              </w:rPr>
            </w:pPr>
            <w:r w:rsidRPr="00831EA2">
              <w:rPr>
                <w:color w:val="000000"/>
                <w:sz w:val="22"/>
                <w:szCs w:val="22"/>
              </w:rPr>
              <w:t>Late onset</w:t>
            </w:r>
          </w:p>
          <w:p w:rsidR="00831EA2" w:rsidRPr="00831EA2" w:rsidRDefault="00831EA2" w:rsidP="005B3EA5">
            <w:pPr>
              <w:rPr>
                <w:color w:val="000000"/>
                <w:sz w:val="22"/>
                <w:szCs w:val="22"/>
              </w:rPr>
            </w:pPr>
            <w:r w:rsidRPr="00831EA2">
              <w:rPr>
                <w:color w:val="000000"/>
                <w:sz w:val="22"/>
                <w:szCs w:val="22"/>
              </w:rPr>
              <w:t>(N=381)</w:t>
            </w:r>
          </w:p>
        </w:tc>
        <w:tc>
          <w:tcPr>
            <w:tcW w:w="1701" w:type="dxa"/>
            <w:tcBorders>
              <w:top w:val="nil"/>
              <w:bottom w:val="single" w:sz="4" w:space="0" w:color="auto"/>
            </w:tcBorders>
            <w:vAlign w:val="center"/>
          </w:tcPr>
          <w:p w:rsidR="00831EA2" w:rsidRPr="00831EA2" w:rsidRDefault="00831EA2" w:rsidP="005B3EA5">
            <w:pPr>
              <w:rPr>
                <w:color w:val="000000"/>
                <w:sz w:val="22"/>
                <w:szCs w:val="22"/>
              </w:rPr>
            </w:pPr>
            <w:r w:rsidRPr="00831EA2">
              <w:rPr>
                <w:color w:val="000000"/>
                <w:sz w:val="22"/>
                <w:szCs w:val="22"/>
              </w:rPr>
              <w:t>Persistent</w:t>
            </w:r>
          </w:p>
          <w:p w:rsidR="00831EA2" w:rsidRPr="00831EA2" w:rsidRDefault="00831EA2" w:rsidP="005B3EA5">
            <w:pPr>
              <w:rPr>
                <w:color w:val="000000"/>
                <w:sz w:val="22"/>
                <w:szCs w:val="22"/>
              </w:rPr>
            </w:pPr>
            <w:r w:rsidRPr="00831EA2">
              <w:rPr>
                <w:color w:val="000000"/>
                <w:sz w:val="22"/>
                <w:szCs w:val="22"/>
              </w:rPr>
              <w:t>(N=587)</w:t>
            </w:r>
          </w:p>
        </w:tc>
        <w:tc>
          <w:tcPr>
            <w:tcW w:w="1559" w:type="dxa"/>
            <w:tcBorders>
              <w:top w:val="nil"/>
              <w:bottom w:val="single" w:sz="4" w:space="0" w:color="auto"/>
            </w:tcBorders>
            <w:vAlign w:val="center"/>
          </w:tcPr>
          <w:p w:rsidR="00831EA2" w:rsidRPr="00831EA2" w:rsidRDefault="00831EA2" w:rsidP="005B3EA5">
            <w:pPr>
              <w:rPr>
                <w:color w:val="000000"/>
                <w:sz w:val="22"/>
                <w:szCs w:val="22"/>
              </w:rPr>
            </w:pPr>
            <w:r w:rsidRPr="00831EA2">
              <w:rPr>
                <w:color w:val="000000"/>
                <w:sz w:val="22"/>
                <w:szCs w:val="22"/>
              </w:rPr>
              <w:t>Heterogeneity P-value+</w:t>
            </w:r>
          </w:p>
        </w:tc>
      </w:tr>
      <w:tr w:rsidR="00640110" w:rsidRPr="00831EA2" w:rsidTr="005B3EA5">
        <w:trPr>
          <w:trHeight w:hRule="exact" w:val="340"/>
        </w:trPr>
        <w:tc>
          <w:tcPr>
            <w:tcW w:w="2802" w:type="dxa"/>
            <w:tcBorders>
              <w:top w:val="single" w:sz="4" w:space="0" w:color="auto"/>
            </w:tcBorders>
            <w:vAlign w:val="center"/>
          </w:tcPr>
          <w:p w:rsidR="00640110" w:rsidRPr="00E81CF4" w:rsidRDefault="00640110" w:rsidP="005B3EA5">
            <w:pPr>
              <w:rPr>
                <w:color w:val="000000"/>
                <w:sz w:val="22"/>
                <w:szCs w:val="22"/>
              </w:rPr>
            </w:pPr>
            <w:r w:rsidRPr="00E81CF4">
              <w:rPr>
                <w:color w:val="000000"/>
                <w:sz w:val="22"/>
                <w:szCs w:val="22"/>
              </w:rPr>
              <w:t>Overcrowding</w:t>
            </w:r>
          </w:p>
        </w:tc>
        <w:tc>
          <w:tcPr>
            <w:tcW w:w="1417" w:type="dxa"/>
            <w:tcBorders>
              <w:top w:val="single" w:sz="4" w:space="0" w:color="auto"/>
            </w:tcBorders>
            <w:vAlign w:val="center"/>
          </w:tcPr>
          <w:p w:rsidR="00640110" w:rsidRPr="00831EA2" w:rsidRDefault="00640110" w:rsidP="005B3EA5">
            <w:pPr>
              <w:rPr>
                <w:color w:val="000000"/>
                <w:sz w:val="22"/>
                <w:szCs w:val="22"/>
              </w:rPr>
            </w:pPr>
          </w:p>
        </w:tc>
        <w:tc>
          <w:tcPr>
            <w:tcW w:w="1701" w:type="dxa"/>
            <w:tcBorders>
              <w:top w:val="single" w:sz="4" w:space="0" w:color="auto"/>
            </w:tcBorders>
            <w:vAlign w:val="center"/>
          </w:tcPr>
          <w:p w:rsidR="00640110" w:rsidRPr="00E91503" w:rsidRDefault="00640110" w:rsidP="005B3EA5">
            <w:pPr>
              <w:rPr>
                <w:color w:val="000000"/>
                <w:sz w:val="22"/>
                <w:szCs w:val="22"/>
              </w:rPr>
            </w:pPr>
            <w:r w:rsidRPr="00E91503">
              <w:rPr>
                <w:color w:val="000000"/>
                <w:sz w:val="22"/>
                <w:szCs w:val="22"/>
              </w:rPr>
              <w:t>1.20 (1.02, 1.42)</w:t>
            </w:r>
          </w:p>
        </w:tc>
        <w:tc>
          <w:tcPr>
            <w:tcW w:w="1701" w:type="dxa"/>
            <w:tcBorders>
              <w:top w:val="single" w:sz="4" w:space="0" w:color="auto"/>
            </w:tcBorders>
            <w:vAlign w:val="center"/>
          </w:tcPr>
          <w:p w:rsidR="00640110" w:rsidRPr="00E91503" w:rsidRDefault="00640110" w:rsidP="005B3EA5">
            <w:pPr>
              <w:rPr>
                <w:color w:val="000000"/>
                <w:sz w:val="22"/>
                <w:szCs w:val="22"/>
              </w:rPr>
            </w:pPr>
            <w:r w:rsidRPr="00E91503">
              <w:rPr>
                <w:color w:val="000000"/>
                <w:sz w:val="22"/>
                <w:szCs w:val="22"/>
              </w:rPr>
              <w:t>1.30 (1.08, 1.55)</w:t>
            </w:r>
          </w:p>
        </w:tc>
        <w:tc>
          <w:tcPr>
            <w:tcW w:w="1843" w:type="dxa"/>
            <w:tcBorders>
              <w:top w:val="single" w:sz="4" w:space="0" w:color="auto"/>
            </w:tcBorders>
            <w:vAlign w:val="center"/>
          </w:tcPr>
          <w:p w:rsidR="00640110" w:rsidRPr="00E91503" w:rsidRDefault="00640110" w:rsidP="005B3EA5">
            <w:pPr>
              <w:rPr>
                <w:color w:val="000000"/>
                <w:sz w:val="22"/>
                <w:szCs w:val="22"/>
              </w:rPr>
            </w:pPr>
            <w:r w:rsidRPr="00E91503">
              <w:rPr>
                <w:color w:val="000000"/>
                <w:sz w:val="22"/>
                <w:szCs w:val="22"/>
              </w:rPr>
              <w:t>0.83 (0.57, 1.22)</w:t>
            </w:r>
          </w:p>
        </w:tc>
        <w:tc>
          <w:tcPr>
            <w:tcW w:w="1843" w:type="dxa"/>
            <w:tcBorders>
              <w:top w:val="single" w:sz="4" w:space="0" w:color="auto"/>
            </w:tcBorders>
            <w:vAlign w:val="center"/>
          </w:tcPr>
          <w:p w:rsidR="00640110" w:rsidRPr="00E91503" w:rsidRDefault="00640110" w:rsidP="005B3EA5">
            <w:pPr>
              <w:rPr>
                <w:color w:val="000000"/>
                <w:sz w:val="22"/>
                <w:szCs w:val="22"/>
              </w:rPr>
            </w:pPr>
            <w:r w:rsidRPr="00E91503">
              <w:rPr>
                <w:color w:val="000000"/>
                <w:sz w:val="22"/>
                <w:szCs w:val="22"/>
              </w:rPr>
              <w:t>1.00 (0.79, 1.26)</w:t>
            </w:r>
          </w:p>
        </w:tc>
        <w:tc>
          <w:tcPr>
            <w:tcW w:w="1701" w:type="dxa"/>
            <w:tcBorders>
              <w:top w:val="single" w:sz="4" w:space="0" w:color="auto"/>
            </w:tcBorders>
            <w:vAlign w:val="center"/>
          </w:tcPr>
          <w:p w:rsidR="00640110" w:rsidRPr="00E91503" w:rsidRDefault="00640110" w:rsidP="005B3EA5">
            <w:pPr>
              <w:rPr>
                <w:color w:val="000000"/>
                <w:sz w:val="22"/>
                <w:szCs w:val="22"/>
              </w:rPr>
            </w:pPr>
            <w:r w:rsidRPr="00E91503">
              <w:rPr>
                <w:color w:val="000000"/>
                <w:sz w:val="22"/>
                <w:szCs w:val="22"/>
              </w:rPr>
              <w:t>1.68 (1.39, 2.04)</w:t>
            </w:r>
          </w:p>
        </w:tc>
        <w:tc>
          <w:tcPr>
            <w:tcW w:w="1559" w:type="dxa"/>
            <w:tcBorders>
              <w:top w:val="single" w:sz="4" w:space="0" w:color="auto"/>
            </w:tcBorders>
            <w:vAlign w:val="center"/>
          </w:tcPr>
          <w:p w:rsidR="00640110" w:rsidRPr="00480715" w:rsidRDefault="00640110" w:rsidP="005B3EA5">
            <w:pPr>
              <w:rPr>
                <w:color w:val="000000"/>
                <w:sz w:val="22"/>
                <w:szCs w:val="22"/>
              </w:rPr>
            </w:pPr>
            <w:r w:rsidRPr="00480715">
              <w:rPr>
                <w:color w:val="000000"/>
                <w:sz w:val="22"/>
                <w:szCs w:val="22"/>
              </w:rPr>
              <w:t>0.001</w:t>
            </w:r>
          </w:p>
        </w:tc>
      </w:tr>
      <w:tr w:rsidR="00640110" w:rsidRPr="00831EA2" w:rsidTr="005B3EA5">
        <w:trPr>
          <w:trHeight w:hRule="exact" w:val="340"/>
        </w:trPr>
        <w:tc>
          <w:tcPr>
            <w:tcW w:w="2802" w:type="dxa"/>
            <w:vAlign w:val="center"/>
          </w:tcPr>
          <w:p w:rsidR="00640110" w:rsidRPr="00E81CF4" w:rsidRDefault="00640110" w:rsidP="005B3EA5">
            <w:pPr>
              <w:rPr>
                <w:color w:val="000000"/>
                <w:sz w:val="22"/>
                <w:szCs w:val="22"/>
              </w:rPr>
            </w:pPr>
            <w:r w:rsidRPr="00E81CF4">
              <w:rPr>
                <w:color w:val="000000"/>
                <w:sz w:val="22"/>
                <w:szCs w:val="22"/>
              </w:rPr>
              <w:t>Gas cooking</w:t>
            </w:r>
          </w:p>
        </w:tc>
        <w:tc>
          <w:tcPr>
            <w:tcW w:w="1417" w:type="dxa"/>
            <w:vAlign w:val="center"/>
          </w:tcPr>
          <w:p w:rsidR="00640110" w:rsidRPr="00831EA2" w:rsidRDefault="00640110" w:rsidP="005B3EA5">
            <w:pPr>
              <w:rPr>
                <w:color w:val="000000"/>
                <w:sz w:val="22"/>
                <w:szCs w:val="22"/>
              </w:rPr>
            </w:pPr>
          </w:p>
        </w:tc>
        <w:tc>
          <w:tcPr>
            <w:tcW w:w="1701" w:type="dxa"/>
            <w:vAlign w:val="center"/>
          </w:tcPr>
          <w:p w:rsidR="00640110" w:rsidRPr="00E91503" w:rsidRDefault="00640110" w:rsidP="005B3EA5">
            <w:pPr>
              <w:rPr>
                <w:color w:val="000000"/>
                <w:sz w:val="22"/>
                <w:szCs w:val="22"/>
              </w:rPr>
            </w:pPr>
            <w:r w:rsidRPr="00E91503">
              <w:rPr>
                <w:color w:val="000000"/>
                <w:sz w:val="22"/>
                <w:szCs w:val="22"/>
              </w:rPr>
              <w:t>1.01 (0.89, 1.16)</w:t>
            </w:r>
          </w:p>
        </w:tc>
        <w:tc>
          <w:tcPr>
            <w:tcW w:w="1701" w:type="dxa"/>
            <w:vAlign w:val="center"/>
          </w:tcPr>
          <w:p w:rsidR="00640110" w:rsidRPr="00E91503" w:rsidRDefault="00640110" w:rsidP="005B3EA5">
            <w:pPr>
              <w:rPr>
                <w:color w:val="000000"/>
                <w:sz w:val="22"/>
                <w:szCs w:val="22"/>
              </w:rPr>
            </w:pPr>
            <w:r w:rsidRPr="00E91503">
              <w:rPr>
                <w:color w:val="000000"/>
                <w:sz w:val="22"/>
                <w:szCs w:val="22"/>
              </w:rPr>
              <w:t>1.04 (0.89, 1.21)</w:t>
            </w:r>
          </w:p>
        </w:tc>
        <w:tc>
          <w:tcPr>
            <w:tcW w:w="1843" w:type="dxa"/>
            <w:vAlign w:val="center"/>
          </w:tcPr>
          <w:p w:rsidR="00640110" w:rsidRPr="00E91503" w:rsidRDefault="00640110" w:rsidP="005B3EA5">
            <w:pPr>
              <w:rPr>
                <w:color w:val="000000"/>
                <w:sz w:val="22"/>
                <w:szCs w:val="22"/>
              </w:rPr>
            </w:pPr>
            <w:r w:rsidRPr="00E91503">
              <w:rPr>
                <w:color w:val="000000"/>
                <w:sz w:val="22"/>
                <w:szCs w:val="22"/>
              </w:rPr>
              <w:t>0.86 (0.64, 1.14)</w:t>
            </w:r>
          </w:p>
        </w:tc>
        <w:tc>
          <w:tcPr>
            <w:tcW w:w="1843" w:type="dxa"/>
            <w:vAlign w:val="center"/>
          </w:tcPr>
          <w:p w:rsidR="00640110" w:rsidRPr="00E91503" w:rsidRDefault="00640110" w:rsidP="005B3EA5">
            <w:pPr>
              <w:rPr>
                <w:color w:val="000000"/>
                <w:sz w:val="22"/>
                <w:szCs w:val="22"/>
              </w:rPr>
            </w:pPr>
            <w:r w:rsidRPr="00E91503">
              <w:rPr>
                <w:color w:val="000000"/>
                <w:sz w:val="22"/>
                <w:szCs w:val="22"/>
              </w:rPr>
              <w:t>1.01 (0.84, 1.21)</w:t>
            </w:r>
          </w:p>
        </w:tc>
        <w:tc>
          <w:tcPr>
            <w:tcW w:w="1701" w:type="dxa"/>
            <w:vAlign w:val="center"/>
          </w:tcPr>
          <w:p w:rsidR="00640110" w:rsidRPr="00E91503" w:rsidRDefault="00640110" w:rsidP="005B3EA5">
            <w:pPr>
              <w:rPr>
                <w:color w:val="000000"/>
                <w:sz w:val="22"/>
                <w:szCs w:val="22"/>
              </w:rPr>
            </w:pPr>
            <w:r w:rsidRPr="00E91503">
              <w:rPr>
                <w:color w:val="000000"/>
                <w:sz w:val="22"/>
                <w:szCs w:val="22"/>
              </w:rPr>
              <w:t>1.04 (0.87, 1.23)</w:t>
            </w:r>
          </w:p>
        </w:tc>
        <w:tc>
          <w:tcPr>
            <w:tcW w:w="1559" w:type="dxa"/>
            <w:vAlign w:val="center"/>
          </w:tcPr>
          <w:p w:rsidR="00640110" w:rsidRPr="00480715" w:rsidRDefault="00640110" w:rsidP="005B3EA5">
            <w:pPr>
              <w:rPr>
                <w:color w:val="000000"/>
                <w:sz w:val="22"/>
                <w:szCs w:val="22"/>
              </w:rPr>
            </w:pPr>
            <w:r w:rsidRPr="00480715">
              <w:rPr>
                <w:color w:val="000000"/>
                <w:sz w:val="22"/>
                <w:szCs w:val="22"/>
              </w:rPr>
              <w:t>0.80</w:t>
            </w:r>
          </w:p>
        </w:tc>
      </w:tr>
      <w:tr w:rsidR="00640110" w:rsidRPr="00831EA2" w:rsidTr="005B3EA5">
        <w:trPr>
          <w:trHeight w:hRule="exact" w:val="340"/>
        </w:trPr>
        <w:tc>
          <w:tcPr>
            <w:tcW w:w="4219" w:type="dxa"/>
            <w:gridSpan w:val="2"/>
            <w:vAlign w:val="center"/>
          </w:tcPr>
          <w:p w:rsidR="00640110" w:rsidRPr="00E81CF4" w:rsidRDefault="00640110" w:rsidP="005B3EA5">
            <w:pPr>
              <w:rPr>
                <w:color w:val="000000"/>
                <w:sz w:val="22"/>
                <w:szCs w:val="22"/>
              </w:rPr>
            </w:pPr>
            <w:r w:rsidRPr="00E81CF4">
              <w:rPr>
                <w:color w:val="000000"/>
                <w:sz w:val="22"/>
                <w:szCs w:val="22"/>
              </w:rPr>
              <w:t>Maternal lower education level</w:t>
            </w:r>
            <w:r w:rsidRPr="00E81CF4">
              <w:rPr>
                <w:color w:val="000000"/>
                <w:sz w:val="22"/>
                <w:szCs w:val="22"/>
                <w:vertAlign w:val="superscript"/>
              </w:rPr>
              <w:t>±</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0.98 (0.86, 1.12)</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1.06 (0.91, 1.24)</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0.89 (0.67, 1.18)</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1.06 (0.88, 1.27)</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1.22 (1.02, 1.47)</w:t>
            </w:r>
          </w:p>
        </w:tc>
        <w:tc>
          <w:tcPr>
            <w:tcW w:w="1559" w:type="dxa"/>
            <w:vAlign w:val="center"/>
          </w:tcPr>
          <w:p w:rsidR="00640110" w:rsidRPr="00480715" w:rsidRDefault="00640110" w:rsidP="005B3EA5">
            <w:pPr>
              <w:rPr>
                <w:color w:val="000000"/>
                <w:sz w:val="22"/>
                <w:szCs w:val="22"/>
              </w:rPr>
            </w:pPr>
            <w:r w:rsidRPr="00480715">
              <w:rPr>
                <w:color w:val="000000"/>
                <w:sz w:val="22"/>
                <w:szCs w:val="22"/>
              </w:rPr>
              <w:t>0.23</w:t>
            </w:r>
          </w:p>
        </w:tc>
      </w:tr>
      <w:tr w:rsidR="00640110" w:rsidRPr="00831EA2" w:rsidTr="005B3EA5">
        <w:trPr>
          <w:trHeight w:hRule="exact" w:val="340"/>
        </w:trPr>
        <w:tc>
          <w:tcPr>
            <w:tcW w:w="4219" w:type="dxa"/>
            <w:gridSpan w:val="2"/>
            <w:shd w:val="clear" w:color="auto" w:fill="auto"/>
            <w:vAlign w:val="center"/>
          </w:tcPr>
          <w:p w:rsidR="00640110" w:rsidRPr="00E81CF4" w:rsidRDefault="00640110" w:rsidP="005B3EA5">
            <w:pPr>
              <w:rPr>
                <w:color w:val="000000"/>
                <w:sz w:val="22"/>
                <w:szCs w:val="22"/>
              </w:rPr>
            </w:pPr>
            <w:r w:rsidRPr="00E81CF4">
              <w:rPr>
                <w:color w:val="000000"/>
                <w:sz w:val="22"/>
                <w:szCs w:val="22"/>
              </w:rPr>
              <w:t>Maternal history of asthma or allergy</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1.25 (1.09, 1.43)</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1.49 (1.28, 1.73)</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1.64 (1.23, 2.18)</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1.34 (1.12, 1.60)</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1.95 (1.63, 2.32)</w:t>
            </w:r>
          </w:p>
        </w:tc>
        <w:tc>
          <w:tcPr>
            <w:tcW w:w="1559" w:type="dxa"/>
            <w:shd w:val="clear" w:color="auto" w:fill="auto"/>
            <w:vAlign w:val="center"/>
          </w:tcPr>
          <w:p w:rsidR="00640110" w:rsidRPr="00480715" w:rsidRDefault="00640110" w:rsidP="005B3EA5">
            <w:pPr>
              <w:rPr>
                <w:color w:val="000000"/>
                <w:sz w:val="22"/>
                <w:szCs w:val="22"/>
              </w:rPr>
            </w:pPr>
            <w:r w:rsidRPr="00480715">
              <w:rPr>
                <w:color w:val="000000"/>
                <w:sz w:val="22"/>
                <w:szCs w:val="22"/>
              </w:rPr>
              <w:t>0.001</w:t>
            </w:r>
          </w:p>
        </w:tc>
      </w:tr>
      <w:tr w:rsidR="00640110" w:rsidRPr="00831EA2" w:rsidTr="005B3EA5">
        <w:trPr>
          <w:trHeight w:hRule="exact" w:val="340"/>
        </w:trPr>
        <w:tc>
          <w:tcPr>
            <w:tcW w:w="4219" w:type="dxa"/>
            <w:gridSpan w:val="2"/>
            <w:shd w:val="clear" w:color="auto" w:fill="auto"/>
            <w:vAlign w:val="center"/>
          </w:tcPr>
          <w:p w:rsidR="00640110" w:rsidRPr="00E81CF4" w:rsidRDefault="00640110" w:rsidP="005B3EA5">
            <w:pPr>
              <w:rPr>
                <w:color w:val="000000"/>
                <w:sz w:val="22"/>
                <w:szCs w:val="22"/>
              </w:rPr>
            </w:pPr>
            <w:r w:rsidRPr="00E81CF4">
              <w:rPr>
                <w:color w:val="000000"/>
                <w:sz w:val="22"/>
                <w:szCs w:val="22"/>
              </w:rPr>
              <w:t>Maternal pre-pregnant BMI (per-5Kg/m2)</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1.03 (0.94, 1.13)</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1.06 (0.96, 1.17)</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1.01 (0.83, 1.23)</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1.05 (0.93, 1.19)</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1.14 (1.02, 1.28)</w:t>
            </w:r>
          </w:p>
        </w:tc>
        <w:tc>
          <w:tcPr>
            <w:tcW w:w="1559" w:type="dxa"/>
            <w:shd w:val="clear" w:color="auto" w:fill="auto"/>
            <w:vAlign w:val="center"/>
          </w:tcPr>
          <w:p w:rsidR="00640110" w:rsidRPr="00480715" w:rsidRDefault="00640110" w:rsidP="005B3EA5">
            <w:pPr>
              <w:rPr>
                <w:color w:val="000000"/>
                <w:sz w:val="22"/>
                <w:szCs w:val="22"/>
              </w:rPr>
            </w:pPr>
            <w:r w:rsidRPr="00480715">
              <w:rPr>
                <w:color w:val="000000"/>
                <w:sz w:val="22"/>
                <w:szCs w:val="22"/>
              </w:rPr>
              <w:t>0.64</w:t>
            </w:r>
          </w:p>
        </w:tc>
      </w:tr>
      <w:tr w:rsidR="00640110" w:rsidRPr="00831EA2" w:rsidTr="005B3EA5">
        <w:trPr>
          <w:trHeight w:hRule="exact" w:val="340"/>
        </w:trPr>
        <w:tc>
          <w:tcPr>
            <w:tcW w:w="4219" w:type="dxa"/>
            <w:gridSpan w:val="2"/>
            <w:shd w:val="clear" w:color="auto" w:fill="auto"/>
            <w:vAlign w:val="center"/>
          </w:tcPr>
          <w:p w:rsidR="00640110" w:rsidRPr="00E81CF4" w:rsidRDefault="00640110" w:rsidP="005B3EA5">
            <w:pPr>
              <w:rPr>
                <w:color w:val="000000"/>
                <w:sz w:val="22"/>
                <w:szCs w:val="22"/>
              </w:rPr>
            </w:pPr>
            <w:r w:rsidRPr="00E81CF4">
              <w:rPr>
                <w:color w:val="000000"/>
                <w:sz w:val="22"/>
                <w:szCs w:val="22"/>
              </w:rPr>
              <w:t>Maternal smoking during pregnancy</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1.32 (1.13, 1.54)</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1.51 (1.27, 1.80)</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1.23 (0.88, 1.72)</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1.18 (0.95, 1.46)</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1.77 (1.46, 2.13)</w:t>
            </w:r>
          </w:p>
        </w:tc>
        <w:tc>
          <w:tcPr>
            <w:tcW w:w="1559" w:type="dxa"/>
            <w:shd w:val="clear" w:color="auto" w:fill="auto"/>
            <w:vAlign w:val="center"/>
          </w:tcPr>
          <w:p w:rsidR="00640110" w:rsidRPr="00480715" w:rsidRDefault="00640110" w:rsidP="005B3EA5">
            <w:pPr>
              <w:rPr>
                <w:color w:val="000000"/>
                <w:sz w:val="22"/>
                <w:szCs w:val="22"/>
              </w:rPr>
            </w:pPr>
            <w:r w:rsidRPr="00480715">
              <w:rPr>
                <w:color w:val="000000"/>
                <w:sz w:val="22"/>
                <w:szCs w:val="22"/>
              </w:rPr>
              <w:t>0.02</w:t>
            </w:r>
          </w:p>
        </w:tc>
      </w:tr>
      <w:tr w:rsidR="00640110" w:rsidRPr="00831EA2" w:rsidTr="005B3EA5">
        <w:trPr>
          <w:trHeight w:hRule="exact" w:val="340"/>
        </w:trPr>
        <w:tc>
          <w:tcPr>
            <w:tcW w:w="4219" w:type="dxa"/>
            <w:gridSpan w:val="2"/>
            <w:shd w:val="clear" w:color="auto" w:fill="auto"/>
            <w:vAlign w:val="center"/>
          </w:tcPr>
          <w:p w:rsidR="00640110" w:rsidRPr="00E81CF4" w:rsidRDefault="00640110" w:rsidP="005B3EA5">
            <w:pPr>
              <w:rPr>
                <w:color w:val="000000"/>
                <w:sz w:val="22"/>
                <w:szCs w:val="22"/>
              </w:rPr>
            </w:pPr>
            <w:r w:rsidRPr="00E81CF4">
              <w:rPr>
                <w:color w:val="000000"/>
                <w:sz w:val="22"/>
                <w:szCs w:val="22"/>
              </w:rPr>
              <w:t>Maternal use of antibiotics during pregnancy</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1.31 (1.00, 1.71)</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1.13 (0.82, 1.57)</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1.18 (0.65, 2.12)</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1.27 (0.88, 1.83)</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1.34 (0.95, 1.88)</w:t>
            </w:r>
          </w:p>
        </w:tc>
        <w:tc>
          <w:tcPr>
            <w:tcW w:w="1559" w:type="dxa"/>
            <w:shd w:val="clear" w:color="auto" w:fill="auto"/>
            <w:vAlign w:val="center"/>
          </w:tcPr>
          <w:p w:rsidR="00640110" w:rsidRPr="00480715" w:rsidRDefault="00640110" w:rsidP="005B3EA5">
            <w:pPr>
              <w:rPr>
                <w:color w:val="000000"/>
                <w:sz w:val="22"/>
                <w:szCs w:val="22"/>
              </w:rPr>
            </w:pPr>
            <w:r w:rsidRPr="00480715">
              <w:rPr>
                <w:color w:val="000000"/>
                <w:sz w:val="22"/>
                <w:szCs w:val="22"/>
              </w:rPr>
              <w:t>0.94</w:t>
            </w:r>
          </w:p>
        </w:tc>
      </w:tr>
      <w:tr w:rsidR="00640110" w:rsidRPr="00831EA2" w:rsidTr="005B3EA5">
        <w:trPr>
          <w:trHeight w:hRule="exact" w:val="340"/>
        </w:trPr>
        <w:tc>
          <w:tcPr>
            <w:tcW w:w="2802" w:type="dxa"/>
            <w:shd w:val="clear" w:color="auto" w:fill="auto"/>
            <w:vAlign w:val="center"/>
          </w:tcPr>
          <w:p w:rsidR="00640110" w:rsidRPr="00E81CF4" w:rsidRDefault="00640110" w:rsidP="005B3EA5">
            <w:pPr>
              <w:rPr>
                <w:color w:val="000000"/>
                <w:sz w:val="22"/>
                <w:szCs w:val="22"/>
              </w:rPr>
            </w:pPr>
            <w:r w:rsidRPr="00E81CF4">
              <w:rPr>
                <w:color w:val="000000"/>
                <w:sz w:val="22"/>
                <w:szCs w:val="22"/>
              </w:rPr>
              <w:t>Gender (male)</w:t>
            </w:r>
          </w:p>
        </w:tc>
        <w:tc>
          <w:tcPr>
            <w:tcW w:w="1417" w:type="dxa"/>
            <w:shd w:val="clear" w:color="auto" w:fill="auto"/>
            <w:vAlign w:val="center"/>
          </w:tcPr>
          <w:p w:rsidR="00640110" w:rsidRPr="00831EA2" w:rsidRDefault="00640110" w:rsidP="005B3EA5">
            <w:pPr>
              <w:rPr>
                <w:color w:val="000000"/>
                <w:sz w:val="22"/>
                <w:szCs w:val="22"/>
              </w:rPr>
            </w:pP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1.44 (1.26, 1.65)</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1.43 (1.22, 1.66)</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1.40 (1.05, 1.86)</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1.30 (1.08, 1.55)</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1.71 (1.44, 2.04)</w:t>
            </w:r>
          </w:p>
        </w:tc>
        <w:tc>
          <w:tcPr>
            <w:tcW w:w="1559" w:type="dxa"/>
            <w:shd w:val="clear" w:color="auto" w:fill="auto"/>
            <w:vAlign w:val="center"/>
          </w:tcPr>
          <w:p w:rsidR="00640110" w:rsidRPr="00480715" w:rsidRDefault="00640110" w:rsidP="005B3EA5">
            <w:pPr>
              <w:rPr>
                <w:color w:val="000000"/>
                <w:sz w:val="22"/>
                <w:szCs w:val="22"/>
              </w:rPr>
            </w:pPr>
            <w:r w:rsidRPr="00480715">
              <w:rPr>
                <w:color w:val="000000"/>
                <w:sz w:val="22"/>
                <w:szCs w:val="22"/>
              </w:rPr>
              <w:t>0.24</w:t>
            </w:r>
          </w:p>
        </w:tc>
      </w:tr>
      <w:tr w:rsidR="00640110" w:rsidRPr="00831EA2" w:rsidTr="005B3EA5">
        <w:trPr>
          <w:trHeight w:hRule="exact" w:val="489"/>
        </w:trPr>
        <w:tc>
          <w:tcPr>
            <w:tcW w:w="2802" w:type="dxa"/>
            <w:shd w:val="clear" w:color="auto" w:fill="auto"/>
            <w:vAlign w:val="center"/>
          </w:tcPr>
          <w:p w:rsidR="00640110" w:rsidRPr="00E81CF4" w:rsidRDefault="00640110" w:rsidP="005B3EA5">
            <w:pPr>
              <w:rPr>
                <w:color w:val="000000"/>
                <w:sz w:val="22"/>
                <w:szCs w:val="22"/>
              </w:rPr>
            </w:pPr>
            <w:r w:rsidRPr="00E81CF4">
              <w:rPr>
                <w:color w:val="000000"/>
                <w:sz w:val="22"/>
                <w:szCs w:val="22"/>
              </w:rPr>
              <w:t xml:space="preserve">Number of </w:t>
            </w:r>
            <w:r w:rsidRPr="00E81CF4">
              <w:rPr>
                <w:sz w:val="22"/>
                <w:szCs w:val="22"/>
              </w:rPr>
              <w:t>previous pregnancies</w:t>
            </w:r>
            <w:r w:rsidRPr="00E81CF4">
              <w:rPr>
                <w:color w:val="000000"/>
                <w:sz w:val="22"/>
                <w:szCs w:val="22"/>
              </w:rPr>
              <w:t xml:space="preserve"> (reference: 0)</w:t>
            </w:r>
          </w:p>
        </w:tc>
        <w:tc>
          <w:tcPr>
            <w:tcW w:w="1417" w:type="dxa"/>
            <w:shd w:val="clear" w:color="auto" w:fill="auto"/>
            <w:vAlign w:val="center"/>
          </w:tcPr>
          <w:p w:rsidR="00640110" w:rsidRPr="00831EA2" w:rsidRDefault="00640110" w:rsidP="005B3EA5">
            <w:pPr>
              <w:rPr>
                <w:i/>
                <w:color w:val="000000"/>
                <w:sz w:val="22"/>
                <w:szCs w:val="22"/>
              </w:rPr>
            </w:pPr>
            <w:r w:rsidRPr="00831EA2">
              <w:rPr>
                <w:i/>
                <w:color w:val="000000"/>
                <w:sz w:val="22"/>
                <w:szCs w:val="22"/>
              </w:rPr>
              <w:t>1</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1.24 (1.07, 1.44)</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1.14 (0.96, 1.35)</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0.89 (0.65, 1.23)</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0.86 (0.70, 1.05)</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1.57 (1.29, 1.92)</w:t>
            </w:r>
          </w:p>
        </w:tc>
        <w:tc>
          <w:tcPr>
            <w:tcW w:w="1559" w:type="dxa"/>
            <w:shd w:val="clear" w:color="auto" w:fill="auto"/>
            <w:vAlign w:val="center"/>
          </w:tcPr>
          <w:p w:rsidR="00640110" w:rsidRPr="00480715" w:rsidRDefault="00640110" w:rsidP="005B3EA5">
            <w:pPr>
              <w:rPr>
                <w:color w:val="000000"/>
                <w:sz w:val="22"/>
                <w:szCs w:val="22"/>
                <w:vertAlign w:val="superscript"/>
              </w:rPr>
            </w:pPr>
          </w:p>
        </w:tc>
      </w:tr>
      <w:tr w:rsidR="00640110" w:rsidRPr="00831EA2" w:rsidTr="005B3EA5">
        <w:trPr>
          <w:trHeight w:hRule="exact" w:val="340"/>
        </w:trPr>
        <w:tc>
          <w:tcPr>
            <w:tcW w:w="2802" w:type="dxa"/>
            <w:shd w:val="clear" w:color="auto" w:fill="auto"/>
            <w:vAlign w:val="center"/>
          </w:tcPr>
          <w:p w:rsidR="00640110" w:rsidRPr="00E81CF4" w:rsidRDefault="00640110" w:rsidP="005B3EA5">
            <w:pPr>
              <w:rPr>
                <w:color w:val="000000"/>
                <w:sz w:val="22"/>
                <w:szCs w:val="22"/>
              </w:rPr>
            </w:pPr>
          </w:p>
        </w:tc>
        <w:tc>
          <w:tcPr>
            <w:tcW w:w="1417" w:type="dxa"/>
            <w:shd w:val="clear" w:color="auto" w:fill="auto"/>
            <w:vAlign w:val="center"/>
          </w:tcPr>
          <w:p w:rsidR="00640110" w:rsidRPr="00831EA2" w:rsidRDefault="00640110" w:rsidP="005B3EA5">
            <w:pPr>
              <w:rPr>
                <w:i/>
                <w:color w:val="000000"/>
                <w:sz w:val="22"/>
                <w:szCs w:val="22"/>
              </w:rPr>
            </w:pPr>
            <w:r w:rsidRPr="00831EA2">
              <w:rPr>
                <w:i/>
                <w:color w:val="000000"/>
                <w:sz w:val="22"/>
                <w:szCs w:val="22"/>
              </w:rPr>
              <w:t>≥2</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1.42 (1.19, 1.70)</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1.21 (0.98, 1.48)</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0.88 (0.59, 1.31)</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0.90 (0.70, 1.16)</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1.92 (1.53, 2.42)</w:t>
            </w:r>
          </w:p>
        </w:tc>
        <w:tc>
          <w:tcPr>
            <w:tcW w:w="1559" w:type="dxa"/>
            <w:shd w:val="clear" w:color="auto" w:fill="auto"/>
            <w:vAlign w:val="center"/>
          </w:tcPr>
          <w:p w:rsidR="00640110" w:rsidRPr="00480715" w:rsidRDefault="000B44D8" w:rsidP="005B3EA5">
            <w:pPr>
              <w:rPr>
                <w:color w:val="000000"/>
                <w:sz w:val="22"/>
                <w:szCs w:val="22"/>
              </w:rPr>
            </w:pPr>
            <w:r w:rsidRPr="00480715">
              <w:rPr>
                <w:color w:val="000000"/>
                <w:sz w:val="22"/>
                <w:szCs w:val="22"/>
              </w:rPr>
              <w:t>1.31×10</w:t>
            </w:r>
            <w:r w:rsidRPr="00480715">
              <w:rPr>
                <w:color w:val="000000"/>
                <w:sz w:val="22"/>
                <w:szCs w:val="22"/>
                <w:vertAlign w:val="superscript"/>
              </w:rPr>
              <w:t>-6</w:t>
            </w:r>
          </w:p>
        </w:tc>
      </w:tr>
      <w:tr w:rsidR="00640110" w:rsidRPr="00831EA2" w:rsidTr="005B3EA5">
        <w:trPr>
          <w:trHeight w:hRule="exact" w:val="340"/>
        </w:trPr>
        <w:tc>
          <w:tcPr>
            <w:tcW w:w="2802" w:type="dxa"/>
            <w:shd w:val="clear" w:color="auto" w:fill="auto"/>
            <w:vAlign w:val="center"/>
          </w:tcPr>
          <w:p w:rsidR="00640110" w:rsidRPr="00E81CF4" w:rsidRDefault="00640110" w:rsidP="005B3EA5">
            <w:pPr>
              <w:rPr>
                <w:color w:val="000000"/>
                <w:sz w:val="22"/>
                <w:szCs w:val="22"/>
              </w:rPr>
            </w:pPr>
            <w:r w:rsidRPr="00E81CF4">
              <w:rPr>
                <w:color w:val="000000"/>
                <w:sz w:val="22"/>
                <w:szCs w:val="22"/>
              </w:rPr>
              <w:t xml:space="preserve">Rented housing </w:t>
            </w:r>
          </w:p>
        </w:tc>
        <w:tc>
          <w:tcPr>
            <w:tcW w:w="1417" w:type="dxa"/>
            <w:shd w:val="clear" w:color="auto" w:fill="auto"/>
            <w:vAlign w:val="center"/>
          </w:tcPr>
          <w:p w:rsidR="00640110" w:rsidRPr="00831EA2" w:rsidRDefault="00640110" w:rsidP="005B3EA5">
            <w:pPr>
              <w:rPr>
                <w:color w:val="000000"/>
                <w:sz w:val="22"/>
                <w:szCs w:val="22"/>
              </w:rPr>
            </w:pP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1.18 (0.98, 1.42)</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1.52 (1.25, 1.85)</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1.22 (0.83, 1.79)</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1.23 (0.97, 1.57)</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2.13 (1.74, 2.60)</w:t>
            </w:r>
          </w:p>
        </w:tc>
        <w:tc>
          <w:tcPr>
            <w:tcW w:w="1559" w:type="dxa"/>
            <w:shd w:val="clear" w:color="auto" w:fill="auto"/>
            <w:vAlign w:val="center"/>
          </w:tcPr>
          <w:p w:rsidR="00640110" w:rsidRPr="00480715" w:rsidRDefault="00640110" w:rsidP="005B3EA5">
            <w:pPr>
              <w:rPr>
                <w:color w:val="000000"/>
                <w:sz w:val="22"/>
                <w:szCs w:val="22"/>
              </w:rPr>
            </w:pPr>
            <w:r w:rsidRPr="00480715">
              <w:rPr>
                <w:color w:val="000000"/>
                <w:sz w:val="22"/>
                <w:szCs w:val="22"/>
              </w:rPr>
              <w:t>4.55×10</w:t>
            </w:r>
            <w:r w:rsidRPr="00480715">
              <w:rPr>
                <w:color w:val="000000"/>
                <w:sz w:val="22"/>
                <w:szCs w:val="22"/>
                <w:vertAlign w:val="superscript"/>
              </w:rPr>
              <w:t>-5</w:t>
            </w:r>
          </w:p>
        </w:tc>
      </w:tr>
      <w:tr w:rsidR="00640110" w:rsidRPr="00831EA2" w:rsidTr="005B3EA5">
        <w:trPr>
          <w:trHeight w:hRule="exact" w:val="340"/>
        </w:trPr>
        <w:tc>
          <w:tcPr>
            <w:tcW w:w="2802" w:type="dxa"/>
            <w:shd w:val="clear" w:color="auto" w:fill="auto"/>
            <w:vAlign w:val="center"/>
          </w:tcPr>
          <w:p w:rsidR="00640110" w:rsidRPr="00E81CF4" w:rsidRDefault="00640110" w:rsidP="005B3EA5">
            <w:pPr>
              <w:rPr>
                <w:color w:val="000000"/>
                <w:sz w:val="22"/>
                <w:szCs w:val="22"/>
              </w:rPr>
            </w:pPr>
            <w:r w:rsidRPr="00E81CF4">
              <w:rPr>
                <w:color w:val="000000"/>
                <w:sz w:val="22"/>
                <w:szCs w:val="22"/>
              </w:rPr>
              <w:t>Single mother</w:t>
            </w:r>
          </w:p>
        </w:tc>
        <w:tc>
          <w:tcPr>
            <w:tcW w:w="1417" w:type="dxa"/>
            <w:shd w:val="clear" w:color="auto" w:fill="auto"/>
            <w:vAlign w:val="center"/>
          </w:tcPr>
          <w:p w:rsidR="00640110" w:rsidRPr="00831EA2" w:rsidRDefault="00640110" w:rsidP="005B3EA5">
            <w:pPr>
              <w:rPr>
                <w:color w:val="000000"/>
                <w:sz w:val="22"/>
                <w:szCs w:val="22"/>
              </w:rPr>
            </w:pP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1.03 (0.87, 1.23)</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1.30 (1.08, 1.56)</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0.98 (0.68, 1.43)</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1.06 (0.84, 1.34)</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1.26 (1.02, 1.56)</w:t>
            </w:r>
          </w:p>
        </w:tc>
        <w:tc>
          <w:tcPr>
            <w:tcW w:w="1559" w:type="dxa"/>
            <w:shd w:val="clear" w:color="auto" w:fill="auto"/>
            <w:vAlign w:val="center"/>
          </w:tcPr>
          <w:p w:rsidR="00640110" w:rsidRPr="00480715" w:rsidRDefault="00640110" w:rsidP="005B3EA5">
            <w:pPr>
              <w:rPr>
                <w:color w:val="000000"/>
                <w:sz w:val="22"/>
                <w:szCs w:val="22"/>
              </w:rPr>
            </w:pPr>
            <w:r w:rsidRPr="00480715">
              <w:rPr>
                <w:color w:val="000000"/>
                <w:sz w:val="22"/>
                <w:szCs w:val="22"/>
              </w:rPr>
              <w:t>0.21</w:t>
            </w:r>
          </w:p>
        </w:tc>
      </w:tr>
      <w:tr w:rsidR="00640110" w:rsidRPr="00831EA2" w:rsidTr="005B3EA5">
        <w:trPr>
          <w:trHeight w:hRule="exact" w:val="809"/>
        </w:trPr>
        <w:tc>
          <w:tcPr>
            <w:tcW w:w="2802" w:type="dxa"/>
            <w:shd w:val="clear" w:color="auto" w:fill="auto"/>
            <w:vAlign w:val="center"/>
          </w:tcPr>
          <w:p w:rsidR="00640110" w:rsidRPr="00E81CF4" w:rsidRDefault="00640110" w:rsidP="005B3EA5">
            <w:pPr>
              <w:rPr>
                <w:color w:val="000000"/>
                <w:sz w:val="22"/>
                <w:szCs w:val="22"/>
              </w:rPr>
            </w:pPr>
            <w:r w:rsidRPr="00E81CF4">
              <w:rPr>
                <w:color w:val="000000"/>
                <w:sz w:val="22"/>
                <w:szCs w:val="22"/>
              </w:rPr>
              <w:t>Maternal anxiety at 32 weeks pregnancy (reference: 1st quartile)</w:t>
            </w:r>
          </w:p>
        </w:tc>
        <w:tc>
          <w:tcPr>
            <w:tcW w:w="1417" w:type="dxa"/>
            <w:shd w:val="clear" w:color="auto" w:fill="auto"/>
            <w:vAlign w:val="center"/>
          </w:tcPr>
          <w:p w:rsidR="00640110" w:rsidRPr="00831EA2" w:rsidRDefault="00640110" w:rsidP="005B3EA5">
            <w:pPr>
              <w:rPr>
                <w:i/>
                <w:color w:val="000000"/>
                <w:sz w:val="22"/>
                <w:szCs w:val="22"/>
              </w:rPr>
            </w:pPr>
            <w:r w:rsidRPr="00831EA2">
              <w:rPr>
                <w:i/>
                <w:color w:val="000000"/>
                <w:sz w:val="22"/>
                <w:szCs w:val="22"/>
              </w:rPr>
              <w:t>2</w:t>
            </w:r>
            <w:r w:rsidRPr="0045646D">
              <w:rPr>
                <w:i/>
                <w:color w:val="000000"/>
                <w:sz w:val="22"/>
                <w:szCs w:val="22"/>
                <w:vertAlign w:val="superscript"/>
              </w:rPr>
              <w:t>nd</w:t>
            </w:r>
            <w:r w:rsidRPr="00831EA2">
              <w:rPr>
                <w:i/>
                <w:color w:val="000000"/>
                <w:sz w:val="22"/>
                <w:szCs w:val="22"/>
              </w:rPr>
              <w:t xml:space="preserve"> quartile</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1.22 (1.01, 1.48)</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1.20 (0.96, 1.49)</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1.29 (0.87, 1.91)</w:t>
            </w:r>
          </w:p>
        </w:tc>
        <w:tc>
          <w:tcPr>
            <w:tcW w:w="1843"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1.24 (0.96, 1.61)</w:t>
            </w:r>
          </w:p>
        </w:tc>
        <w:tc>
          <w:tcPr>
            <w:tcW w:w="1701" w:type="dxa"/>
            <w:shd w:val="clear" w:color="auto" w:fill="auto"/>
            <w:vAlign w:val="center"/>
          </w:tcPr>
          <w:p w:rsidR="00640110" w:rsidRPr="00E91503" w:rsidRDefault="00640110" w:rsidP="005B3EA5">
            <w:pPr>
              <w:rPr>
                <w:color w:val="000000"/>
                <w:sz w:val="22"/>
                <w:szCs w:val="22"/>
              </w:rPr>
            </w:pPr>
            <w:r w:rsidRPr="00E91503">
              <w:rPr>
                <w:color w:val="000000"/>
                <w:sz w:val="22"/>
                <w:szCs w:val="22"/>
              </w:rPr>
              <w:t>1.57 (1.20, 2.05)</w:t>
            </w:r>
          </w:p>
        </w:tc>
        <w:tc>
          <w:tcPr>
            <w:tcW w:w="1559" w:type="dxa"/>
            <w:shd w:val="clear" w:color="auto" w:fill="auto"/>
            <w:vAlign w:val="center"/>
          </w:tcPr>
          <w:p w:rsidR="00640110" w:rsidRPr="00480715" w:rsidRDefault="00640110" w:rsidP="005B3EA5">
            <w:pPr>
              <w:rPr>
                <w:color w:val="000000"/>
                <w:sz w:val="22"/>
                <w:szCs w:val="22"/>
              </w:rPr>
            </w:pPr>
          </w:p>
        </w:tc>
      </w:tr>
      <w:tr w:rsidR="00E91503" w:rsidRPr="00831EA2" w:rsidTr="005B3EA5">
        <w:trPr>
          <w:trHeight w:hRule="exact" w:val="340"/>
        </w:trPr>
        <w:tc>
          <w:tcPr>
            <w:tcW w:w="2802" w:type="dxa"/>
            <w:shd w:val="clear" w:color="auto" w:fill="auto"/>
            <w:vAlign w:val="center"/>
          </w:tcPr>
          <w:p w:rsidR="00E91503" w:rsidRPr="00831EA2" w:rsidRDefault="00E91503" w:rsidP="005B3EA5">
            <w:pPr>
              <w:rPr>
                <w:color w:val="000000"/>
                <w:sz w:val="22"/>
                <w:szCs w:val="22"/>
              </w:rPr>
            </w:pPr>
          </w:p>
        </w:tc>
        <w:tc>
          <w:tcPr>
            <w:tcW w:w="1417" w:type="dxa"/>
            <w:shd w:val="clear" w:color="auto" w:fill="auto"/>
            <w:vAlign w:val="center"/>
          </w:tcPr>
          <w:p w:rsidR="00E91503" w:rsidRPr="00831EA2" w:rsidRDefault="00E91503" w:rsidP="005B3EA5">
            <w:pPr>
              <w:rPr>
                <w:i/>
                <w:color w:val="000000"/>
                <w:sz w:val="22"/>
                <w:szCs w:val="22"/>
              </w:rPr>
            </w:pPr>
            <w:r w:rsidRPr="00831EA2">
              <w:rPr>
                <w:i/>
                <w:color w:val="000000"/>
                <w:sz w:val="22"/>
                <w:szCs w:val="22"/>
              </w:rPr>
              <w:t>3</w:t>
            </w:r>
            <w:r w:rsidRPr="0045646D">
              <w:rPr>
                <w:i/>
                <w:color w:val="000000"/>
                <w:sz w:val="22"/>
                <w:szCs w:val="22"/>
                <w:vertAlign w:val="superscript"/>
              </w:rPr>
              <w:t>rd</w:t>
            </w:r>
            <w:r w:rsidRPr="00831EA2">
              <w:rPr>
                <w:i/>
                <w:color w:val="000000"/>
                <w:sz w:val="22"/>
                <w:szCs w:val="22"/>
              </w:rPr>
              <w:t xml:space="preserve"> quartile</w:t>
            </w:r>
          </w:p>
        </w:tc>
        <w:tc>
          <w:tcPr>
            <w:tcW w:w="1701" w:type="dxa"/>
            <w:shd w:val="clear" w:color="auto" w:fill="auto"/>
            <w:vAlign w:val="center"/>
          </w:tcPr>
          <w:p w:rsidR="00E91503" w:rsidRPr="00E91503" w:rsidRDefault="00E91503" w:rsidP="005B3EA5">
            <w:pPr>
              <w:rPr>
                <w:color w:val="000000"/>
                <w:sz w:val="22"/>
                <w:szCs w:val="22"/>
              </w:rPr>
            </w:pPr>
            <w:r w:rsidRPr="00E91503">
              <w:rPr>
                <w:color w:val="000000"/>
                <w:sz w:val="22"/>
                <w:szCs w:val="22"/>
              </w:rPr>
              <w:t>1.32 (1.10, 1.59)</w:t>
            </w:r>
          </w:p>
        </w:tc>
        <w:tc>
          <w:tcPr>
            <w:tcW w:w="1701" w:type="dxa"/>
            <w:shd w:val="clear" w:color="auto" w:fill="auto"/>
            <w:vAlign w:val="center"/>
          </w:tcPr>
          <w:p w:rsidR="00E91503" w:rsidRPr="00E91503" w:rsidRDefault="00E91503" w:rsidP="005B3EA5">
            <w:pPr>
              <w:rPr>
                <w:color w:val="000000"/>
                <w:sz w:val="22"/>
                <w:szCs w:val="22"/>
              </w:rPr>
            </w:pPr>
            <w:r w:rsidRPr="00E91503">
              <w:rPr>
                <w:color w:val="000000"/>
                <w:sz w:val="22"/>
                <w:szCs w:val="22"/>
              </w:rPr>
              <w:t>1.40 (1.13, 1.73)</w:t>
            </w:r>
          </w:p>
        </w:tc>
        <w:tc>
          <w:tcPr>
            <w:tcW w:w="1843" w:type="dxa"/>
            <w:shd w:val="clear" w:color="auto" w:fill="auto"/>
            <w:vAlign w:val="center"/>
          </w:tcPr>
          <w:p w:rsidR="00E91503" w:rsidRPr="00E91503" w:rsidRDefault="00E91503" w:rsidP="005B3EA5">
            <w:pPr>
              <w:rPr>
                <w:color w:val="000000"/>
                <w:sz w:val="22"/>
                <w:szCs w:val="22"/>
              </w:rPr>
            </w:pPr>
            <w:r w:rsidRPr="00E91503">
              <w:rPr>
                <w:color w:val="000000"/>
                <w:sz w:val="22"/>
                <w:szCs w:val="22"/>
              </w:rPr>
              <w:t>1.28 (0.87, 1.89)</w:t>
            </w:r>
          </w:p>
        </w:tc>
        <w:tc>
          <w:tcPr>
            <w:tcW w:w="1843" w:type="dxa"/>
            <w:shd w:val="clear" w:color="auto" w:fill="auto"/>
            <w:vAlign w:val="center"/>
          </w:tcPr>
          <w:p w:rsidR="00E91503" w:rsidRPr="00E91503" w:rsidRDefault="00E91503" w:rsidP="005B3EA5">
            <w:pPr>
              <w:rPr>
                <w:color w:val="000000"/>
                <w:sz w:val="22"/>
                <w:szCs w:val="22"/>
              </w:rPr>
            </w:pPr>
            <w:r w:rsidRPr="00E91503">
              <w:rPr>
                <w:color w:val="000000"/>
                <w:sz w:val="22"/>
                <w:szCs w:val="22"/>
              </w:rPr>
              <w:t>1.43 (1.12, 1.83)</w:t>
            </w:r>
          </w:p>
        </w:tc>
        <w:tc>
          <w:tcPr>
            <w:tcW w:w="1701" w:type="dxa"/>
            <w:shd w:val="clear" w:color="auto" w:fill="auto"/>
            <w:vAlign w:val="center"/>
          </w:tcPr>
          <w:p w:rsidR="00E91503" w:rsidRPr="00E91503" w:rsidRDefault="00E91503" w:rsidP="005B3EA5">
            <w:pPr>
              <w:rPr>
                <w:color w:val="000000"/>
                <w:sz w:val="22"/>
                <w:szCs w:val="22"/>
              </w:rPr>
            </w:pPr>
            <w:r w:rsidRPr="00E91503">
              <w:rPr>
                <w:color w:val="000000"/>
                <w:sz w:val="22"/>
                <w:szCs w:val="22"/>
              </w:rPr>
              <w:t>2.02 (1.57, 2.61)</w:t>
            </w:r>
          </w:p>
        </w:tc>
        <w:tc>
          <w:tcPr>
            <w:tcW w:w="1559" w:type="dxa"/>
            <w:shd w:val="clear" w:color="auto" w:fill="auto"/>
            <w:vAlign w:val="center"/>
          </w:tcPr>
          <w:p w:rsidR="00E91503" w:rsidRPr="00831EA2" w:rsidRDefault="00E91503" w:rsidP="005B3EA5">
            <w:pPr>
              <w:rPr>
                <w:color w:val="000000"/>
                <w:sz w:val="22"/>
                <w:szCs w:val="22"/>
              </w:rPr>
            </w:pPr>
          </w:p>
        </w:tc>
      </w:tr>
      <w:tr w:rsidR="00E91503" w:rsidRPr="00831EA2" w:rsidTr="005B3EA5">
        <w:trPr>
          <w:trHeight w:hRule="exact" w:val="340"/>
        </w:trPr>
        <w:tc>
          <w:tcPr>
            <w:tcW w:w="2802" w:type="dxa"/>
            <w:shd w:val="clear" w:color="auto" w:fill="auto"/>
            <w:vAlign w:val="center"/>
          </w:tcPr>
          <w:p w:rsidR="00E91503" w:rsidRPr="00831EA2" w:rsidRDefault="00E91503" w:rsidP="005B3EA5">
            <w:pPr>
              <w:rPr>
                <w:color w:val="000000"/>
                <w:sz w:val="22"/>
                <w:szCs w:val="22"/>
              </w:rPr>
            </w:pPr>
          </w:p>
        </w:tc>
        <w:tc>
          <w:tcPr>
            <w:tcW w:w="1417" w:type="dxa"/>
            <w:shd w:val="clear" w:color="auto" w:fill="auto"/>
            <w:vAlign w:val="center"/>
          </w:tcPr>
          <w:p w:rsidR="00E91503" w:rsidRPr="00831EA2" w:rsidRDefault="00E91503" w:rsidP="005B3EA5">
            <w:pPr>
              <w:rPr>
                <w:i/>
                <w:color w:val="000000"/>
                <w:sz w:val="22"/>
                <w:szCs w:val="22"/>
              </w:rPr>
            </w:pPr>
            <w:r w:rsidRPr="00831EA2">
              <w:rPr>
                <w:i/>
                <w:color w:val="000000"/>
                <w:sz w:val="22"/>
                <w:szCs w:val="22"/>
              </w:rPr>
              <w:t>4</w:t>
            </w:r>
            <w:r w:rsidRPr="0045646D">
              <w:rPr>
                <w:i/>
                <w:color w:val="000000"/>
                <w:sz w:val="22"/>
                <w:szCs w:val="22"/>
                <w:vertAlign w:val="superscript"/>
              </w:rPr>
              <w:t>th</w:t>
            </w:r>
            <w:r w:rsidRPr="00831EA2">
              <w:rPr>
                <w:i/>
                <w:color w:val="000000"/>
                <w:sz w:val="22"/>
                <w:szCs w:val="22"/>
              </w:rPr>
              <w:t xml:space="preserve"> quartile</w:t>
            </w:r>
          </w:p>
        </w:tc>
        <w:tc>
          <w:tcPr>
            <w:tcW w:w="1701" w:type="dxa"/>
            <w:shd w:val="clear" w:color="auto" w:fill="auto"/>
            <w:vAlign w:val="center"/>
          </w:tcPr>
          <w:p w:rsidR="00E91503" w:rsidRPr="00E91503" w:rsidRDefault="00E91503" w:rsidP="005B3EA5">
            <w:pPr>
              <w:rPr>
                <w:color w:val="000000"/>
                <w:sz w:val="22"/>
                <w:szCs w:val="22"/>
              </w:rPr>
            </w:pPr>
            <w:r w:rsidRPr="00E91503">
              <w:rPr>
                <w:color w:val="000000"/>
                <w:sz w:val="22"/>
                <w:szCs w:val="22"/>
              </w:rPr>
              <w:t>1.68 (1.39, 2.04)</w:t>
            </w:r>
          </w:p>
        </w:tc>
        <w:tc>
          <w:tcPr>
            <w:tcW w:w="1701" w:type="dxa"/>
            <w:shd w:val="clear" w:color="auto" w:fill="auto"/>
            <w:vAlign w:val="center"/>
          </w:tcPr>
          <w:p w:rsidR="00E91503" w:rsidRPr="00E91503" w:rsidRDefault="00E91503" w:rsidP="005B3EA5">
            <w:pPr>
              <w:rPr>
                <w:color w:val="000000"/>
                <w:sz w:val="22"/>
                <w:szCs w:val="22"/>
              </w:rPr>
            </w:pPr>
            <w:r w:rsidRPr="00E91503">
              <w:rPr>
                <w:color w:val="000000"/>
                <w:sz w:val="22"/>
                <w:szCs w:val="22"/>
              </w:rPr>
              <w:t>2.04 (1.65, 2.53)</w:t>
            </w:r>
          </w:p>
        </w:tc>
        <w:tc>
          <w:tcPr>
            <w:tcW w:w="1843" w:type="dxa"/>
            <w:shd w:val="clear" w:color="auto" w:fill="auto"/>
            <w:vAlign w:val="center"/>
          </w:tcPr>
          <w:p w:rsidR="00E91503" w:rsidRPr="00E91503" w:rsidRDefault="00E91503" w:rsidP="005B3EA5">
            <w:pPr>
              <w:rPr>
                <w:color w:val="000000"/>
                <w:sz w:val="22"/>
                <w:szCs w:val="22"/>
              </w:rPr>
            </w:pPr>
            <w:r w:rsidRPr="00E91503">
              <w:rPr>
                <w:color w:val="000000"/>
                <w:sz w:val="22"/>
                <w:szCs w:val="22"/>
              </w:rPr>
              <w:t>1.52 (1.01, 2.30)</w:t>
            </w:r>
          </w:p>
        </w:tc>
        <w:tc>
          <w:tcPr>
            <w:tcW w:w="1843" w:type="dxa"/>
            <w:shd w:val="clear" w:color="auto" w:fill="auto"/>
            <w:vAlign w:val="center"/>
          </w:tcPr>
          <w:p w:rsidR="00E91503" w:rsidRPr="00E91503" w:rsidRDefault="00E91503" w:rsidP="005B3EA5">
            <w:pPr>
              <w:rPr>
                <w:color w:val="000000"/>
                <w:sz w:val="22"/>
                <w:szCs w:val="22"/>
              </w:rPr>
            </w:pPr>
            <w:r w:rsidRPr="00E91503">
              <w:rPr>
                <w:color w:val="000000"/>
                <w:sz w:val="22"/>
                <w:szCs w:val="22"/>
              </w:rPr>
              <w:t>1.58 (1.21, 2.06)</w:t>
            </w:r>
          </w:p>
        </w:tc>
        <w:tc>
          <w:tcPr>
            <w:tcW w:w="1701" w:type="dxa"/>
            <w:shd w:val="clear" w:color="auto" w:fill="auto"/>
            <w:vAlign w:val="center"/>
          </w:tcPr>
          <w:p w:rsidR="00E91503" w:rsidRPr="00E91503" w:rsidRDefault="00E91503" w:rsidP="005B3EA5">
            <w:pPr>
              <w:rPr>
                <w:color w:val="000000"/>
                <w:sz w:val="22"/>
                <w:szCs w:val="22"/>
              </w:rPr>
            </w:pPr>
            <w:r w:rsidRPr="00E91503">
              <w:rPr>
                <w:color w:val="000000"/>
                <w:sz w:val="22"/>
                <w:szCs w:val="22"/>
              </w:rPr>
              <w:t>3.06 (2.37, 3.94)</w:t>
            </w:r>
          </w:p>
        </w:tc>
        <w:tc>
          <w:tcPr>
            <w:tcW w:w="1559" w:type="dxa"/>
            <w:shd w:val="clear" w:color="auto" w:fill="auto"/>
            <w:vAlign w:val="center"/>
          </w:tcPr>
          <w:p w:rsidR="00E91503" w:rsidRPr="00831EA2" w:rsidRDefault="000B44D8" w:rsidP="005B3EA5">
            <w:pPr>
              <w:rPr>
                <w:color w:val="000000"/>
                <w:sz w:val="22"/>
                <w:szCs w:val="22"/>
              </w:rPr>
            </w:pPr>
            <w:r w:rsidRPr="00480715">
              <w:rPr>
                <w:color w:val="000000"/>
                <w:sz w:val="22"/>
                <w:szCs w:val="22"/>
              </w:rPr>
              <w:t>0.0002</w:t>
            </w:r>
          </w:p>
        </w:tc>
      </w:tr>
    </w:tbl>
    <w:p w:rsidR="000B44D8" w:rsidRPr="00B970E2" w:rsidRDefault="000B44D8" w:rsidP="000B44D8">
      <w:pPr>
        <w:spacing w:before="120" w:after="120"/>
        <w:rPr>
          <w:sz w:val="22"/>
          <w:szCs w:val="22"/>
        </w:rPr>
      </w:pPr>
      <w:r>
        <w:rPr>
          <w:sz w:val="22"/>
          <w:szCs w:val="22"/>
        </w:rPr>
        <w:t xml:space="preserve">* </w:t>
      </w:r>
      <w:r w:rsidRPr="00831EA2">
        <w:rPr>
          <w:color w:val="000000"/>
          <w:sz w:val="22"/>
          <w:szCs w:val="22"/>
        </w:rPr>
        <w:t>compared with never/infrequent wheezing</w:t>
      </w:r>
      <w:r w:rsidRPr="00B970E2">
        <w:rPr>
          <w:sz w:val="22"/>
          <w:szCs w:val="22"/>
        </w:rPr>
        <w:t xml:space="preserve"> </w:t>
      </w:r>
      <w:r>
        <w:rPr>
          <w:sz w:val="22"/>
          <w:szCs w:val="22"/>
        </w:rPr>
        <w:t>(N=5774) and u</w:t>
      </w:r>
      <w:r w:rsidRPr="00B970E2">
        <w:rPr>
          <w:sz w:val="22"/>
          <w:szCs w:val="22"/>
        </w:rPr>
        <w:t xml:space="preserve">sing each child’s phenotype probability as </w:t>
      </w:r>
      <w:r>
        <w:rPr>
          <w:sz w:val="22"/>
          <w:szCs w:val="22"/>
        </w:rPr>
        <w:t>weights.</w:t>
      </w:r>
    </w:p>
    <w:p w:rsidR="00F27948" w:rsidRPr="00B970E2" w:rsidRDefault="00F27948" w:rsidP="00FC2D88">
      <w:pPr>
        <w:spacing w:before="120" w:after="120"/>
        <w:rPr>
          <w:sz w:val="22"/>
          <w:szCs w:val="22"/>
        </w:rPr>
      </w:pPr>
      <w:r w:rsidRPr="00B970E2">
        <w:rPr>
          <w:color w:val="000000"/>
          <w:sz w:val="22"/>
          <w:szCs w:val="22"/>
        </w:rPr>
        <w:t xml:space="preserve">± </w:t>
      </w:r>
      <w:r w:rsidRPr="00B970E2">
        <w:rPr>
          <w:sz w:val="22"/>
          <w:szCs w:val="22"/>
        </w:rPr>
        <w:t>Educated to school leaving certificate at 16 years (GC</w:t>
      </w:r>
      <w:r w:rsidR="00E81CF4">
        <w:rPr>
          <w:sz w:val="22"/>
          <w:szCs w:val="22"/>
        </w:rPr>
        <w:t>E level</w:t>
      </w:r>
      <w:r w:rsidRPr="00B970E2">
        <w:rPr>
          <w:sz w:val="22"/>
          <w:szCs w:val="22"/>
        </w:rPr>
        <w:t>) or lower</w:t>
      </w:r>
    </w:p>
    <w:p w:rsidR="00A93D0B" w:rsidRPr="00B970E2" w:rsidRDefault="006B70BB" w:rsidP="009558E1">
      <w:pPr>
        <w:spacing w:before="120"/>
        <w:rPr>
          <w:sz w:val="22"/>
          <w:szCs w:val="22"/>
        </w:rPr>
      </w:pPr>
      <w:r>
        <w:rPr>
          <w:color w:val="000000"/>
          <w:sz w:val="22"/>
          <w:szCs w:val="22"/>
        </w:rPr>
        <w:t>+ Chi-squared test across phenotypes</w:t>
      </w:r>
    </w:p>
    <w:p w:rsidR="00FC2D88" w:rsidRDefault="00FC2D88" w:rsidP="007E6BF0">
      <w:pPr>
        <w:spacing w:before="120" w:after="240"/>
      </w:pPr>
      <w:r>
        <w:rPr>
          <w:sz w:val="20"/>
          <w:szCs w:val="20"/>
        </w:rPr>
        <w:br w:type="page"/>
      </w:r>
      <w:r>
        <w:lastRenderedPageBreak/>
        <w:t xml:space="preserve">Table </w:t>
      </w:r>
      <w:r w:rsidR="00B019FD">
        <w:t>S</w:t>
      </w:r>
      <w:r w:rsidR="0053250C">
        <w:t>3</w:t>
      </w:r>
      <w:r w:rsidRPr="003B35FB">
        <w:t xml:space="preserve"> </w:t>
      </w:r>
      <w:r>
        <w:t>Crude</w:t>
      </w:r>
      <w:r w:rsidRPr="003B35FB">
        <w:t xml:space="preserve"> </w:t>
      </w:r>
      <w:r>
        <w:t>a</w:t>
      </w:r>
      <w:r w:rsidRPr="003B35FB">
        <w:t>ssociation of perinatal characteristics with wheezing phenotypes in ALSPAC</w:t>
      </w:r>
    </w:p>
    <w:tbl>
      <w:tblPr>
        <w:tblW w:w="14803" w:type="dxa"/>
        <w:tblBorders>
          <w:top w:val="single" w:sz="4" w:space="0" w:color="auto"/>
          <w:bottom w:val="single" w:sz="4" w:space="0" w:color="auto"/>
        </w:tblBorders>
        <w:tblLayout w:type="fixed"/>
        <w:tblLook w:val="04A0"/>
      </w:tblPr>
      <w:tblGrid>
        <w:gridCol w:w="3936"/>
        <w:gridCol w:w="1842"/>
        <w:gridCol w:w="1843"/>
        <w:gridCol w:w="1843"/>
        <w:gridCol w:w="1843"/>
        <w:gridCol w:w="1842"/>
        <w:gridCol w:w="1654"/>
      </w:tblGrid>
      <w:tr w:rsidR="00831EA2" w:rsidRPr="00FB34E0" w:rsidTr="005B3EA5">
        <w:trPr>
          <w:trHeight w:hRule="exact" w:val="531"/>
        </w:trPr>
        <w:tc>
          <w:tcPr>
            <w:tcW w:w="3936" w:type="dxa"/>
            <w:tcBorders>
              <w:bottom w:val="nil"/>
            </w:tcBorders>
            <w:vAlign w:val="center"/>
          </w:tcPr>
          <w:p w:rsidR="00831EA2" w:rsidRPr="00FB34E0" w:rsidRDefault="00831EA2" w:rsidP="00CF7F79">
            <w:pPr>
              <w:spacing w:before="120"/>
              <w:rPr>
                <w:color w:val="000000"/>
                <w:sz w:val="22"/>
                <w:szCs w:val="22"/>
              </w:rPr>
            </w:pPr>
            <w:r w:rsidRPr="00FB34E0">
              <w:rPr>
                <w:color w:val="000000"/>
                <w:sz w:val="22"/>
                <w:szCs w:val="22"/>
              </w:rPr>
              <w:t> </w:t>
            </w:r>
          </w:p>
        </w:tc>
        <w:tc>
          <w:tcPr>
            <w:tcW w:w="9213" w:type="dxa"/>
            <w:gridSpan w:val="5"/>
            <w:tcBorders>
              <w:bottom w:val="nil"/>
            </w:tcBorders>
            <w:vAlign w:val="center"/>
          </w:tcPr>
          <w:p w:rsidR="00831EA2" w:rsidRPr="00FB34E0" w:rsidRDefault="00831EA2" w:rsidP="005B3EA5">
            <w:pPr>
              <w:spacing w:before="120"/>
              <w:jc w:val="center"/>
              <w:rPr>
                <w:color w:val="000000"/>
                <w:sz w:val="22"/>
                <w:szCs w:val="22"/>
              </w:rPr>
            </w:pPr>
            <w:r w:rsidRPr="00FB34E0">
              <w:rPr>
                <w:sz w:val="22"/>
                <w:szCs w:val="22"/>
              </w:rPr>
              <w:t>Adjusted</w:t>
            </w:r>
            <w:r w:rsidRPr="00FB34E0">
              <w:rPr>
                <w:color w:val="000000"/>
                <w:sz w:val="22"/>
                <w:szCs w:val="22"/>
              </w:rPr>
              <w:t xml:space="preserve"> Relative Risk Ratio (95% CI) </w:t>
            </w:r>
            <w:r w:rsidR="005B3EA5">
              <w:rPr>
                <w:color w:val="000000"/>
                <w:sz w:val="22"/>
                <w:szCs w:val="22"/>
              </w:rPr>
              <w:t>for</w:t>
            </w:r>
            <w:r w:rsidR="00E81CF4">
              <w:rPr>
                <w:color w:val="000000"/>
                <w:sz w:val="22"/>
                <w:szCs w:val="22"/>
              </w:rPr>
              <w:t>*</w:t>
            </w:r>
          </w:p>
        </w:tc>
        <w:tc>
          <w:tcPr>
            <w:tcW w:w="1654" w:type="dxa"/>
            <w:tcBorders>
              <w:bottom w:val="nil"/>
            </w:tcBorders>
            <w:vAlign w:val="center"/>
          </w:tcPr>
          <w:p w:rsidR="00831EA2" w:rsidRPr="00FB34E0" w:rsidRDefault="00831EA2" w:rsidP="00CF7F79">
            <w:pPr>
              <w:spacing w:before="120"/>
              <w:jc w:val="center"/>
              <w:rPr>
                <w:color w:val="000000"/>
                <w:sz w:val="22"/>
                <w:szCs w:val="22"/>
              </w:rPr>
            </w:pPr>
          </w:p>
        </w:tc>
      </w:tr>
      <w:tr w:rsidR="00831EA2" w:rsidRPr="00FB34E0" w:rsidTr="005B3EA5">
        <w:trPr>
          <w:trHeight w:hRule="exact" w:val="1272"/>
        </w:trPr>
        <w:tc>
          <w:tcPr>
            <w:tcW w:w="3936" w:type="dxa"/>
            <w:tcBorders>
              <w:top w:val="nil"/>
              <w:bottom w:val="single" w:sz="4" w:space="0" w:color="auto"/>
            </w:tcBorders>
            <w:vAlign w:val="center"/>
          </w:tcPr>
          <w:p w:rsidR="005B3EA5" w:rsidRPr="00FB34E0" w:rsidRDefault="005B3EA5" w:rsidP="005B3EA5">
            <w:pPr>
              <w:spacing w:before="120"/>
              <w:rPr>
                <w:b/>
                <w:sz w:val="22"/>
                <w:szCs w:val="22"/>
              </w:rPr>
            </w:pPr>
            <w:r w:rsidRPr="00FB34E0">
              <w:rPr>
                <w:b/>
                <w:sz w:val="22"/>
                <w:szCs w:val="22"/>
              </w:rPr>
              <w:t>Perinatal characteristics adjusted by other demographic, maternal, pregnancy, child and perinatal characteristics</w:t>
            </w:r>
            <w:r>
              <w:rPr>
                <w:b/>
                <w:sz w:val="22"/>
                <w:szCs w:val="22"/>
              </w:rPr>
              <w:t xml:space="preserve"> (N=8,107)</w:t>
            </w:r>
          </w:p>
          <w:p w:rsidR="00831EA2" w:rsidRPr="00FB34E0" w:rsidRDefault="00831EA2" w:rsidP="005B3EA5">
            <w:pPr>
              <w:rPr>
                <w:color w:val="000000"/>
                <w:sz w:val="22"/>
                <w:szCs w:val="22"/>
              </w:rPr>
            </w:pPr>
          </w:p>
        </w:tc>
        <w:tc>
          <w:tcPr>
            <w:tcW w:w="1842" w:type="dxa"/>
            <w:tcBorders>
              <w:top w:val="nil"/>
              <w:bottom w:val="single" w:sz="4" w:space="0" w:color="auto"/>
            </w:tcBorders>
            <w:vAlign w:val="center"/>
          </w:tcPr>
          <w:p w:rsidR="00831EA2" w:rsidRDefault="00831EA2" w:rsidP="005B3EA5">
            <w:pPr>
              <w:rPr>
                <w:color w:val="000000"/>
                <w:sz w:val="22"/>
                <w:szCs w:val="22"/>
              </w:rPr>
            </w:pPr>
            <w:r w:rsidRPr="00FB34E0">
              <w:rPr>
                <w:color w:val="000000"/>
                <w:sz w:val="22"/>
                <w:szCs w:val="22"/>
              </w:rPr>
              <w:t>Transient early</w:t>
            </w:r>
          </w:p>
          <w:p w:rsidR="00831EA2" w:rsidRPr="00FB34E0" w:rsidRDefault="00831EA2" w:rsidP="005B3EA5">
            <w:pPr>
              <w:rPr>
                <w:color w:val="000000"/>
                <w:sz w:val="22"/>
                <w:szCs w:val="22"/>
              </w:rPr>
            </w:pPr>
            <w:r>
              <w:rPr>
                <w:color w:val="000000"/>
                <w:sz w:val="22"/>
                <w:szCs w:val="22"/>
              </w:rPr>
              <w:t>(N=788)</w:t>
            </w:r>
          </w:p>
        </w:tc>
        <w:tc>
          <w:tcPr>
            <w:tcW w:w="1843" w:type="dxa"/>
            <w:tcBorders>
              <w:top w:val="nil"/>
              <w:bottom w:val="single" w:sz="4" w:space="0" w:color="auto"/>
            </w:tcBorders>
            <w:vAlign w:val="center"/>
          </w:tcPr>
          <w:p w:rsidR="00831EA2" w:rsidRDefault="00831EA2" w:rsidP="005B3EA5">
            <w:pPr>
              <w:rPr>
                <w:color w:val="000000"/>
                <w:sz w:val="22"/>
                <w:szCs w:val="22"/>
              </w:rPr>
            </w:pPr>
            <w:r w:rsidRPr="00FB34E0">
              <w:rPr>
                <w:color w:val="000000"/>
                <w:sz w:val="22"/>
                <w:szCs w:val="22"/>
              </w:rPr>
              <w:t>Prolonged early</w:t>
            </w:r>
          </w:p>
          <w:p w:rsidR="00831EA2" w:rsidRPr="00FB34E0" w:rsidRDefault="00831EA2" w:rsidP="005B3EA5">
            <w:pPr>
              <w:rPr>
                <w:color w:val="000000"/>
                <w:sz w:val="22"/>
                <w:szCs w:val="22"/>
              </w:rPr>
            </w:pPr>
            <w:r>
              <w:rPr>
                <w:color w:val="000000"/>
                <w:sz w:val="22"/>
                <w:szCs w:val="22"/>
              </w:rPr>
              <w:t>(N=533)</w:t>
            </w:r>
          </w:p>
        </w:tc>
        <w:tc>
          <w:tcPr>
            <w:tcW w:w="1843" w:type="dxa"/>
            <w:tcBorders>
              <w:top w:val="nil"/>
              <w:bottom w:val="single" w:sz="4" w:space="0" w:color="auto"/>
            </w:tcBorders>
            <w:vAlign w:val="center"/>
          </w:tcPr>
          <w:p w:rsidR="00831EA2" w:rsidRPr="00FB34E0" w:rsidRDefault="00831EA2" w:rsidP="005B3EA5">
            <w:pPr>
              <w:rPr>
                <w:color w:val="000000"/>
                <w:sz w:val="22"/>
                <w:szCs w:val="22"/>
              </w:rPr>
            </w:pPr>
            <w:r w:rsidRPr="00FB34E0">
              <w:rPr>
                <w:color w:val="000000"/>
                <w:sz w:val="22"/>
                <w:szCs w:val="22"/>
              </w:rPr>
              <w:t xml:space="preserve">Intermediate onset </w:t>
            </w:r>
            <w:r>
              <w:rPr>
                <w:color w:val="000000"/>
                <w:sz w:val="22"/>
                <w:szCs w:val="22"/>
              </w:rPr>
              <w:t>(N=198)</w:t>
            </w:r>
          </w:p>
        </w:tc>
        <w:tc>
          <w:tcPr>
            <w:tcW w:w="1843" w:type="dxa"/>
            <w:tcBorders>
              <w:top w:val="nil"/>
              <w:bottom w:val="single" w:sz="4" w:space="0" w:color="auto"/>
            </w:tcBorders>
            <w:vAlign w:val="center"/>
          </w:tcPr>
          <w:p w:rsidR="00831EA2" w:rsidRDefault="00831EA2" w:rsidP="005B3EA5">
            <w:pPr>
              <w:rPr>
                <w:color w:val="000000"/>
                <w:sz w:val="22"/>
                <w:szCs w:val="22"/>
              </w:rPr>
            </w:pPr>
            <w:r w:rsidRPr="00FB34E0">
              <w:rPr>
                <w:color w:val="000000"/>
                <w:sz w:val="22"/>
                <w:szCs w:val="22"/>
              </w:rPr>
              <w:t>Late onset</w:t>
            </w:r>
          </w:p>
          <w:p w:rsidR="00831EA2" w:rsidRPr="00FB34E0" w:rsidRDefault="00831EA2" w:rsidP="005B3EA5">
            <w:pPr>
              <w:rPr>
                <w:color w:val="000000"/>
                <w:sz w:val="22"/>
                <w:szCs w:val="22"/>
              </w:rPr>
            </w:pPr>
            <w:r>
              <w:rPr>
                <w:color w:val="000000"/>
                <w:sz w:val="22"/>
                <w:szCs w:val="22"/>
              </w:rPr>
              <w:t>(N=375)</w:t>
            </w:r>
          </w:p>
        </w:tc>
        <w:tc>
          <w:tcPr>
            <w:tcW w:w="1842" w:type="dxa"/>
            <w:tcBorders>
              <w:top w:val="nil"/>
              <w:bottom w:val="single" w:sz="4" w:space="0" w:color="auto"/>
            </w:tcBorders>
            <w:vAlign w:val="center"/>
          </w:tcPr>
          <w:p w:rsidR="00831EA2" w:rsidRDefault="00831EA2" w:rsidP="005B3EA5">
            <w:pPr>
              <w:rPr>
                <w:color w:val="000000"/>
                <w:sz w:val="22"/>
                <w:szCs w:val="22"/>
              </w:rPr>
            </w:pPr>
            <w:r w:rsidRPr="00FB34E0">
              <w:rPr>
                <w:color w:val="000000"/>
                <w:sz w:val="22"/>
                <w:szCs w:val="22"/>
              </w:rPr>
              <w:t>Persistent</w:t>
            </w:r>
          </w:p>
          <w:p w:rsidR="00831EA2" w:rsidRPr="00FB34E0" w:rsidRDefault="00831EA2" w:rsidP="005B3EA5">
            <w:pPr>
              <w:rPr>
                <w:color w:val="000000"/>
                <w:sz w:val="22"/>
                <w:szCs w:val="22"/>
              </w:rPr>
            </w:pPr>
            <w:r>
              <w:rPr>
                <w:color w:val="000000"/>
                <w:sz w:val="22"/>
                <w:szCs w:val="22"/>
              </w:rPr>
              <w:t>(N=571)</w:t>
            </w:r>
          </w:p>
        </w:tc>
        <w:tc>
          <w:tcPr>
            <w:tcW w:w="1654" w:type="dxa"/>
            <w:tcBorders>
              <w:top w:val="nil"/>
              <w:bottom w:val="single" w:sz="4" w:space="0" w:color="auto"/>
            </w:tcBorders>
            <w:vAlign w:val="center"/>
          </w:tcPr>
          <w:p w:rsidR="00831EA2" w:rsidRPr="00FB34E0" w:rsidRDefault="00831EA2" w:rsidP="005B3EA5">
            <w:pPr>
              <w:rPr>
                <w:color w:val="000000"/>
                <w:sz w:val="22"/>
                <w:szCs w:val="22"/>
              </w:rPr>
            </w:pPr>
            <w:r>
              <w:rPr>
                <w:color w:val="000000"/>
                <w:sz w:val="22"/>
                <w:szCs w:val="22"/>
              </w:rPr>
              <w:t>Heterogeneity P-value+</w:t>
            </w:r>
          </w:p>
        </w:tc>
      </w:tr>
      <w:tr w:rsidR="000355E4" w:rsidRPr="00E81CF4" w:rsidTr="005B3EA5">
        <w:trPr>
          <w:trHeight w:hRule="exact" w:val="340"/>
        </w:trPr>
        <w:tc>
          <w:tcPr>
            <w:tcW w:w="3936" w:type="dxa"/>
            <w:tcBorders>
              <w:top w:val="single" w:sz="4" w:space="0" w:color="auto"/>
            </w:tcBorders>
            <w:vAlign w:val="center"/>
          </w:tcPr>
          <w:p w:rsidR="000355E4" w:rsidRPr="00E81CF4" w:rsidRDefault="000355E4" w:rsidP="005B3EA5">
            <w:pPr>
              <w:rPr>
                <w:color w:val="000000"/>
                <w:sz w:val="22"/>
                <w:szCs w:val="22"/>
              </w:rPr>
            </w:pPr>
            <w:r w:rsidRPr="00E81CF4">
              <w:rPr>
                <w:color w:val="000000"/>
                <w:sz w:val="22"/>
                <w:szCs w:val="22"/>
              </w:rPr>
              <w:t>Maternal age at delivery (per-5-years)</w:t>
            </w:r>
          </w:p>
        </w:tc>
        <w:tc>
          <w:tcPr>
            <w:tcW w:w="1842" w:type="dxa"/>
            <w:tcBorders>
              <w:top w:val="single" w:sz="4" w:space="0" w:color="auto"/>
            </w:tcBorders>
            <w:vAlign w:val="center"/>
          </w:tcPr>
          <w:p w:rsidR="000355E4" w:rsidRPr="00E81CF4" w:rsidRDefault="000355E4" w:rsidP="005B3EA5">
            <w:pPr>
              <w:rPr>
                <w:sz w:val="22"/>
                <w:szCs w:val="22"/>
              </w:rPr>
            </w:pPr>
            <w:r w:rsidRPr="00E81CF4">
              <w:rPr>
                <w:sz w:val="22"/>
                <w:szCs w:val="22"/>
              </w:rPr>
              <w:t>0.96 (0.89, 1.03)</w:t>
            </w:r>
          </w:p>
        </w:tc>
        <w:tc>
          <w:tcPr>
            <w:tcW w:w="1843" w:type="dxa"/>
            <w:tcBorders>
              <w:top w:val="single" w:sz="4" w:space="0" w:color="auto"/>
            </w:tcBorders>
            <w:vAlign w:val="center"/>
          </w:tcPr>
          <w:p w:rsidR="000355E4" w:rsidRPr="00E81CF4" w:rsidRDefault="000355E4" w:rsidP="005B3EA5">
            <w:pPr>
              <w:rPr>
                <w:sz w:val="22"/>
                <w:szCs w:val="22"/>
              </w:rPr>
            </w:pPr>
            <w:r w:rsidRPr="00E81CF4">
              <w:rPr>
                <w:sz w:val="22"/>
                <w:szCs w:val="22"/>
              </w:rPr>
              <w:t>0.87 (0.80, 0.95)</w:t>
            </w:r>
          </w:p>
        </w:tc>
        <w:tc>
          <w:tcPr>
            <w:tcW w:w="1843" w:type="dxa"/>
            <w:tcBorders>
              <w:top w:val="single" w:sz="4" w:space="0" w:color="auto"/>
            </w:tcBorders>
            <w:vAlign w:val="center"/>
          </w:tcPr>
          <w:p w:rsidR="000355E4" w:rsidRPr="00E81CF4" w:rsidRDefault="000355E4" w:rsidP="005B3EA5">
            <w:pPr>
              <w:rPr>
                <w:sz w:val="22"/>
                <w:szCs w:val="22"/>
              </w:rPr>
            </w:pPr>
            <w:r w:rsidRPr="00E81CF4">
              <w:rPr>
                <w:sz w:val="22"/>
                <w:szCs w:val="22"/>
              </w:rPr>
              <w:t>0.91 (0.78, 1.07)</w:t>
            </w:r>
          </w:p>
        </w:tc>
        <w:tc>
          <w:tcPr>
            <w:tcW w:w="1843" w:type="dxa"/>
            <w:tcBorders>
              <w:top w:val="single" w:sz="4" w:space="0" w:color="auto"/>
            </w:tcBorders>
            <w:vAlign w:val="center"/>
          </w:tcPr>
          <w:p w:rsidR="000355E4" w:rsidRPr="00E81CF4" w:rsidRDefault="000355E4" w:rsidP="005B3EA5">
            <w:pPr>
              <w:rPr>
                <w:sz w:val="22"/>
                <w:szCs w:val="22"/>
              </w:rPr>
            </w:pPr>
            <w:r w:rsidRPr="00E81CF4">
              <w:rPr>
                <w:sz w:val="22"/>
                <w:szCs w:val="22"/>
              </w:rPr>
              <w:t>0.95 (0.86, 1.05)</w:t>
            </w:r>
          </w:p>
        </w:tc>
        <w:tc>
          <w:tcPr>
            <w:tcW w:w="1842" w:type="dxa"/>
            <w:tcBorders>
              <w:top w:val="single" w:sz="4" w:space="0" w:color="auto"/>
            </w:tcBorders>
            <w:vAlign w:val="center"/>
          </w:tcPr>
          <w:p w:rsidR="000355E4" w:rsidRPr="00E81CF4" w:rsidRDefault="000355E4" w:rsidP="005B3EA5">
            <w:pPr>
              <w:rPr>
                <w:sz w:val="22"/>
                <w:szCs w:val="22"/>
              </w:rPr>
            </w:pPr>
            <w:r w:rsidRPr="00E81CF4">
              <w:rPr>
                <w:sz w:val="22"/>
                <w:szCs w:val="22"/>
              </w:rPr>
              <w:t>0.89 (0.81, 0.98)</w:t>
            </w:r>
          </w:p>
        </w:tc>
        <w:tc>
          <w:tcPr>
            <w:tcW w:w="1654" w:type="dxa"/>
            <w:tcBorders>
              <w:top w:val="single" w:sz="4" w:space="0" w:color="auto"/>
            </w:tcBorders>
            <w:vAlign w:val="center"/>
          </w:tcPr>
          <w:p w:rsidR="000355E4" w:rsidRPr="00E81CF4" w:rsidRDefault="000355E4" w:rsidP="005B3EA5">
            <w:pPr>
              <w:rPr>
                <w:color w:val="000000"/>
                <w:sz w:val="22"/>
                <w:szCs w:val="22"/>
              </w:rPr>
            </w:pPr>
            <w:r w:rsidRPr="00E81CF4">
              <w:rPr>
                <w:color w:val="000000"/>
                <w:sz w:val="22"/>
                <w:szCs w:val="22"/>
              </w:rPr>
              <w:t>0.38</w:t>
            </w:r>
          </w:p>
        </w:tc>
      </w:tr>
      <w:tr w:rsidR="000355E4" w:rsidRPr="00E81CF4" w:rsidTr="005B3EA5">
        <w:trPr>
          <w:trHeight w:hRule="exact" w:val="340"/>
        </w:trPr>
        <w:tc>
          <w:tcPr>
            <w:tcW w:w="3936" w:type="dxa"/>
            <w:vAlign w:val="center"/>
          </w:tcPr>
          <w:p w:rsidR="000355E4" w:rsidRPr="00E81CF4" w:rsidRDefault="000355E4" w:rsidP="005B3EA5">
            <w:pPr>
              <w:rPr>
                <w:color w:val="000000"/>
                <w:sz w:val="22"/>
                <w:szCs w:val="22"/>
              </w:rPr>
            </w:pPr>
            <w:r w:rsidRPr="00E81CF4">
              <w:rPr>
                <w:color w:val="000000"/>
                <w:sz w:val="22"/>
                <w:szCs w:val="22"/>
              </w:rPr>
              <w:t>Birth weight (per-1Kg)</w:t>
            </w:r>
          </w:p>
        </w:tc>
        <w:tc>
          <w:tcPr>
            <w:tcW w:w="1842" w:type="dxa"/>
            <w:vAlign w:val="center"/>
          </w:tcPr>
          <w:p w:rsidR="000355E4" w:rsidRPr="00E81CF4" w:rsidRDefault="000355E4" w:rsidP="005B3EA5">
            <w:pPr>
              <w:rPr>
                <w:sz w:val="22"/>
                <w:szCs w:val="22"/>
              </w:rPr>
            </w:pPr>
            <w:r w:rsidRPr="00E81CF4">
              <w:rPr>
                <w:sz w:val="22"/>
                <w:szCs w:val="22"/>
              </w:rPr>
              <w:t>1.06 (0.93, 1.21)</w:t>
            </w:r>
          </w:p>
        </w:tc>
        <w:tc>
          <w:tcPr>
            <w:tcW w:w="1843" w:type="dxa"/>
            <w:vAlign w:val="center"/>
          </w:tcPr>
          <w:p w:rsidR="000355E4" w:rsidRPr="00E81CF4" w:rsidRDefault="000355E4" w:rsidP="005B3EA5">
            <w:pPr>
              <w:rPr>
                <w:sz w:val="22"/>
                <w:szCs w:val="22"/>
              </w:rPr>
            </w:pPr>
            <w:r w:rsidRPr="00E81CF4">
              <w:rPr>
                <w:sz w:val="22"/>
                <w:szCs w:val="22"/>
              </w:rPr>
              <w:t>0.96 (0.83, 1.12)</w:t>
            </w:r>
          </w:p>
        </w:tc>
        <w:tc>
          <w:tcPr>
            <w:tcW w:w="1843" w:type="dxa"/>
            <w:vAlign w:val="center"/>
          </w:tcPr>
          <w:p w:rsidR="000355E4" w:rsidRPr="00E81CF4" w:rsidRDefault="000355E4" w:rsidP="005B3EA5">
            <w:pPr>
              <w:rPr>
                <w:sz w:val="22"/>
                <w:szCs w:val="22"/>
              </w:rPr>
            </w:pPr>
            <w:r w:rsidRPr="00E81CF4">
              <w:rPr>
                <w:sz w:val="22"/>
                <w:szCs w:val="22"/>
              </w:rPr>
              <w:t>1.06 (0.80, 1.40)</w:t>
            </w:r>
          </w:p>
        </w:tc>
        <w:tc>
          <w:tcPr>
            <w:tcW w:w="1843" w:type="dxa"/>
            <w:vAlign w:val="center"/>
          </w:tcPr>
          <w:p w:rsidR="000355E4" w:rsidRPr="00E81CF4" w:rsidRDefault="000355E4" w:rsidP="005B3EA5">
            <w:pPr>
              <w:rPr>
                <w:sz w:val="22"/>
                <w:szCs w:val="22"/>
              </w:rPr>
            </w:pPr>
            <w:r w:rsidRPr="00E81CF4">
              <w:rPr>
                <w:sz w:val="22"/>
                <w:szCs w:val="22"/>
              </w:rPr>
              <w:t>0.99 (0.83, 1.18)</w:t>
            </w:r>
          </w:p>
        </w:tc>
        <w:tc>
          <w:tcPr>
            <w:tcW w:w="1842" w:type="dxa"/>
            <w:vAlign w:val="center"/>
          </w:tcPr>
          <w:p w:rsidR="000355E4" w:rsidRPr="00E81CF4" w:rsidRDefault="000355E4" w:rsidP="005B3EA5">
            <w:pPr>
              <w:rPr>
                <w:sz w:val="22"/>
                <w:szCs w:val="22"/>
              </w:rPr>
            </w:pPr>
            <w:r w:rsidRPr="00E81CF4">
              <w:rPr>
                <w:sz w:val="22"/>
                <w:szCs w:val="22"/>
              </w:rPr>
              <w:t>0.93 (0.78, 1.10)</w:t>
            </w:r>
          </w:p>
        </w:tc>
        <w:tc>
          <w:tcPr>
            <w:tcW w:w="1654" w:type="dxa"/>
            <w:vAlign w:val="center"/>
          </w:tcPr>
          <w:p w:rsidR="000355E4" w:rsidRPr="00E81CF4" w:rsidRDefault="000355E4" w:rsidP="005B3EA5">
            <w:pPr>
              <w:rPr>
                <w:color w:val="000000"/>
                <w:sz w:val="22"/>
                <w:szCs w:val="22"/>
              </w:rPr>
            </w:pPr>
            <w:r w:rsidRPr="00E81CF4">
              <w:rPr>
                <w:color w:val="000000"/>
                <w:sz w:val="22"/>
                <w:szCs w:val="22"/>
              </w:rPr>
              <w:t>0.70</w:t>
            </w:r>
          </w:p>
        </w:tc>
      </w:tr>
      <w:tr w:rsidR="000355E4" w:rsidRPr="00E81CF4" w:rsidTr="005B3EA5">
        <w:trPr>
          <w:trHeight w:hRule="exact" w:val="340"/>
        </w:trPr>
        <w:tc>
          <w:tcPr>
            <w:tcW w:w="3936" w:type="dxa"/>
            <w:vAlign w:val="center"/>
          </w:tcPr>
          <w:p w:rsidR="000355E4" w:rsidRPr="00E81CF4" w:rsidRDefault="000355E4" w:rsidP="005B3EA5">
            <w:pPr>
              <w:rPr>
                <w:color w:val="000000"/>
                <w:sz w:val="22"/>
                <w:szCs w:val="22"/>
              </w:rPr>
            </w:pPr>
            <w:r w:rsidRPr="00E81CF4">
              <w:rPr>
                <w:color w:val="000000"/>
                <w:sz w:val="22"/>
                <w:szCs w:val="22"/>
              </w:rPr>
              <w:t xml:space="preserve">Low birth weight (&lt;2.5Kg) </w:t>
            </w:r>
          </w:p>
        </w:tc>
        <w:tc>
          <w:tcPr>
            <w:tcW w:w="1842" w:type="dxa"/>
            <w:vAlign w:val="center"/>
          </w:tcPr>
          <w:p w:rsidR="000355E4" w:rsidRPr="00E81CF4" w:rsidRDefault="000355E4" w:rsidP="005B3EA5">
            <w:pPr>
              <w:rPr>
                <w:sz w:val="22"/>
                <w:szCs w:val="22"/>
              </w:rPr>
            </w:pPr>
            <w:r w:rsidRPr="00E81CF4">
              <w:rPr>
                <w:sz w:val="22"/>
                <w:szCs w:val="22"/>
              </w:rPr>
              <w:t>1.04 (0.72, 1.49)</w:t>
            </w:r>
          </w:p>
        </w:tc>
        <w:tc>
          <w:tcPr>
            <w:tcW w:w="1843" w:type="dxa"/>
            <w:vAlign w:val="center"/>
          </w:tcPr>
          <w:p w:rsidR="000355E4" w:rsidRPr="00E81CF4" w:rsidRDefault="000355E4" w:rsidP="005B3EA5">
            <w:pPr>
              <w:rPr>
                <w:sz w:val="22"/>
                <w:szCs w:val="22"/>
              </w:rPr>
            </w:pPr>
            <w:r w:rsidRPr="00E81CF4">
              <w:rPr>
                <w:sz w:val="22"/>
                <w:szCs w:val="22"/>
              </w:rPr>
              <w:t>1.17 (0.79, 1.74)</w:t>
            </w:r>
          </w:p>
        </w:tc>
        <w:tc>
          <w:tcPr>
            <w:tcW w:w="1843" w:type="dxa"/>
            <w:vAlign w:val="center"/>
          </w:tcPr>
          <w:p w:rsidR="000355E4" w:rsidRPr="00E81CF4" w:rsidRDefault="000355E4" w:rsidP="005B3EA5">
            <w:pPr>
              <w:rPr>
                <w:sz w:val="22"/>
                <w:szCs w:val="22"/>
              </w:rPr>
            </w:pPr>
            <w:r w:rsidRPr="00E81CF4">
              <w:rPr>
                <w:sz w:val="22"/>
                <w:szCs w:val="22"/>
              </w:rPr>
              <w:t>1.85 (1.02, 3.36)</w:t>
            </w:r>
          </w:p>
        </w:tc>
        <w:tc>
          <w:tcPr>
            <w:tcW w:w="1843" w:type="dxa"/>
            <w:vAlign w:val="center"/>
          </w:tcPr>
          <w:p w:rsidR="000355E4" w:rsidRPr="00E81CF4" w:rsidRDefault="000355E4" w:rsidP="005B3EA5">
            <w:pPr>
              <w:rPr>
                <w:sz w:val="22"/>
                <w:szCs w:val="22"/>
              </w:rPr>
            </w:pPr>
            <w:r w:rsidRPr="00E81CF4">
              <w:rPr>
                <w:sz w:val="22"/>
                <w:szCs w:val="22"/>
              </w:rPr>
              <w:t>1.26 (0.80, 1.97)</w:t>
            </w:r>
          </w:p>
        </w:tc>
        <w:tc>
          <w:tcPr>
            <w:tcW w:w="1842" w:type="dxa"/>
            <w:vAlign w:val="center"/>
          </w:tcPr>
          <w:p w:rsidR="000355E4" w:rsidRPr="00E81CF4" w:rsidRDefault="000355E4" w:rsidP="005B3EA5">
            <w:pPr>
              <w:rPr>
                <w:sz w:val="22"/>
                <w:szCs w:val="22"/>
              </w:rPr>
            </w:pPr>
            <w:r w:rsidRPr="00E81CF4">
              <w:rPr>
                <w:sz w:val="22"/>
                <w:szCs w:val="22"/>
              </w:rPr>
              <w:t>1.33 (0.87, 2.02)</w:t>
            </w:r>
          </w:p>
        </w:tc>
        <w:tc>
          <w:tcPr>
            <w:tcW w:w="1654" w:type="dxa"/>
            <w:vAlign w:val="center"/>
          </w:tcPr>
          <w:p w:rsidR="000355E4" w:rsidRPr="00E81CF4" w:rsidRDefault="000355E4" w:rsidP="005B3EA5">
            <w:pPr>
              <w:rPr>
                <w:color w:val="000000"/>
                <w:sz w:val="22"/>
                <w:szCs w:val="22"/>
              </w:rPr>
            </w:pPr>
            <w:r w:rsidRPr="00E81CF4">
              <w:rPr>
                <w:color w:val="000000"/>
                <w:sz w:val="22"/>
                <w:szCs w:val="22"/>
              </w:rPr>
              <w:t>0.54</w:t>
            </w:r>
          </w:p>
        </w:tc>
      </w:tr>
      <w:tr w:rsidR="000355E4" w:rsidRPr="00E81CF4" w:rsidTr="005B3EA5">
        <w:trPr>
          <w:trHeight w:hRule="exact" w:val="340"/>
        </w:trPr>
        <w:tc>
          <w:tcPr>
            <w:tcW w:w="3936" w:type="dxa"/>
            <w:vAlign w:val="center"/>
          </w:tcPr>
          <w:p w:rsidR="000355E4" w:rsidRPr="00E81CF4" w:rsidRDefault="000355E4" w:rsidP="005B3EA5">
            <w:pPr>
              <w:rPr>
                <w:color w:val="000000"/>
                <w:sz w:val="22"/>
                <w:szCs w:val="22"/>
              </w:rPr>
            </w:pPr>
            <w:r w:rsidRPr="00E81CF4">
              <w:rPr>
                <w:color w:val="000000"/>
                <w:sz w:val="22"/>
                <w:szCs w:val="22"/>
              </w:rPr>
              <w:t>Pregnancy duration (per-1week)</w:t>
            </w:r>
          </w:p>
        </w:tc>
        <w:tc>
          <w:tcPr>
            <w:tcW w:w="1842" w:type="dxa"/>
            <w:vAlign w:val="center"/>
          </w:tcPr>
          <w:p w:rsidR="000355E4" w:rsidRPr="00E81CF4" w:rsidRDefault="000355E4" w:rsidP="005B3EA5">
            <w:pPr>
              <w:rPr>
                <w:sz w:val="22"/>
                <w:szCs w:val="22"/>
              </w:rPr>
            </w:pPr>
            <w:r w:rsidRPr="00E81CF4">
              <w:rPr>
                <w:sz w:val="22"/>
                <w:szCs w:val="22"/>
              </w:rPr>
              <w:t>0.98 (0.94, 1.02)</w:t>
            </w:r>
          </w:p>
        </w:tc>
        <w:tc>
          <w:tcPr>
            <w:tcW w:w="1843" w:type="dxa"/>
            <w:vAlign w:val="center"/>
          </w:tcPr>
          <w:p w:rsidR="000355E4" w:rsidRPr="00E81CF4" w:rsidRDefault="000355E4" w:rsidP="005B3EA5">
            <w:pPr>
              <w:rPr>
                <w:sz w:val="22"/>
                <w:szCs w:val="22"/>
              </w:rPr>
            </w:pPr>
            <w:r w:rsidRPr="00E81CF4">
              <w:rPr>
                <w:sz w:val="22"/>
                <w:szCs w:val="22"/>
              </w:rPr>
              <w:t>0.96 (0.92, 1.01)</w:t>
            </w:r>
          </w:p>
        </w:tc>
        <w:tc>
          <w:tcPr>
            <w:tcW w:w="1843" w:type="dxa"/>
            <w:vAlign w:val="center"/>
          </w:tcPr>
          <w:p w:rsidR="000355E4" w:rsidRPr="00E81CF4" w:rsidRDefault="000355E4" w:rsidP="005B3EA5">
            <w:pPr>
              <w:rPr>
                <w:sz w:val="22"/>
                <w:szCs w:val="22"/>
              </w:rPr>
            </w:pPr>
            <w:r w:rsidRPr="00E81CF4">
              <w:rPr>
                <w:sz w:val="22"/>
                <w:szCs w:val="22"/>
              </w:rPr>
              <w:t>1.03 (0.94, 1.13)</w:t>
            </w:r>
          </w:p>
        </w:tc>
        <w:tc>
          <w:tcPr>
            <w:tcW w:w="1843" w:type="dxa"/>
            <w:vAlign w:val="center"/>
          </w:tcPr>
          <w:p w:rsidR="000355E4" w:rsidRPr="00E81CF4" w:rsidRDefault="000355E4" w:rsidP="005B3EA5">
            <w:pPr>
              <w:rPr>
                <w:sz w:val="22"/>
                <w:szCs w:val="22"/>
              </w:rPr>
            </w:pPr>
            <w:r w:rsidRPr="00E81CF4">
              <w:rPr>
                <w:sz w:val="22"/>
                <w:szCs w:val="22"/>
              </w:rPr>
              <w:t>1.01 (0.96, 1.07)</w:t>
            </w:r>
          </w:p>
        </w:tc>
        <w:tc>
          <w:tcPr>
            <w:tcW w:w="1842" w:type="dxa"/>
            <w:vAlign w:val="center"/>
          </w:tcPr>
          <w:p w:rsidR="000355E4" w:rsidRPr="00E81CF4" w:rsidRDefault="000355E4" w:rsidP="005B3EA5">
            <w:pPr>
              <w:rPr>
                <w:sz w:val="22"/>
                <w:szCs w:val="22"/>
              </w:rPr>
            </w:pPr>
            <w:r w:rsidRPr="00E81CF4">
              <w:rPr>
                <w:sz w:val="22"/>
                <w:szCs w:val="22"/>
              </w:rPr>
              <w:t>0.92 (0.88, 0.97)</w:t>
            </w:r>
          </w:p>
        </w:tc>
        <w:tc>
          <w:tcPr>
            <w:tcW w:w="1654" w:type="dxa"/>
            <w:vAlign w:val="center"/>
          </w:tcPr>
          <w:p w:rsidR="000355E4" w:rsidRPr="00480715" w:rsidRDefault="000355E4" w:rsidP="005B3EA5">
            <w:pPr>
              <w:rPr>
                <w:color w:val="000000"/>
                <w:sz w:val="22"/>
                <w:szCs w:val="22"/>
              </w:rPr>
            </w:pPr>
            <w:r w:rsidRPr="00480715">
              <w:rPr>
                <w:color w:val="000000"/>
                <w:sz w:val="22"/>
                <w:szCs w:val="22"/>
              </w:rPr>
              <w:t>0.06</w:t>
            </w:r>
          </w:p>
        </w:tc>
      </w:tr>
      <w:tr w:rsidR="000355E4" w:rsidRPr="00E81CF4" w:rsidTr="005B3EA5">
        <w:trPr>
          <w:trHeight w:hRule="exact" w:val="340"/>
        </w:trPr>
        <w:tc>
          <w:tcPr>
            <w:tcW w:w="3936" w:type="dxa"/>
            <w:vAlign w:val="center"/>
          </w:tcPr>
          <w:p w:rsidR="000355E4" w:rsidRPr="00E81CF4" w:rsidRDefault="000355E4" w:rsidP="005B3EA5">
            <w:pPr>
              <w:rPr>
                <w:color w:val="000000"/>
                <w:sz w:val="22"/>
                <w:szCs w:val="22"/>
              </w:rPr>
            </w:pPr>
            <w:r w:rsidRPr="00E81CF4">
              <w:rPr>
                <w:color w:val="000000"/>
                <w:sz w:val="22"/>
                <w:szCs w:val="22"/>
              </w:rPr>
              <w:t>Preterm delivery (&lt;37 weeks)</w:t>
            </w:r>
          </w:p>
        </w:tc>
        <w:tc>
          <w:tcPr>
            <w:tcW w:w="1842" w:type="dxa"/>
            <w:vAlign w:val="center"/>
          </w:tcPr>
          <w:p w:rsidR="000355E4" w:rsidRPr="00E81CF4" w:rsidRDefault="000355E4" w:rsidP="005B3EA5">
            <w:pPr>
              <w:rPr>
                <w:sz w:val="22"/>
                <w:szCs w:val="22"/>
              </w:rPr>
            </w:pPr>
            <w:r w:rsidRPr="00E81CF4">
              <w:rPr>
                <w:sz w:val="22"/>
                <w:szCs w:val="22"/>
              </w:rPr>
              <w:t>1.24 (0.91, 1.69)</w:t>
            </w:r>
          </w:p>
        </w:tc>
        <w:tc>
          <w:tcPr>
            <w:tcW w:w="1843" w:type="dxa"/>
            <w:vAlign w:val="center"/>
          </w:tcPr>
          <w:p w:rsidR="000355E4" w:rsidRPr="00E81CF4" w:rsidRDefault="000355E4" w:rsidP="005B3EA5">
            <w:pPr>
              <w:rPr>
                <w:sz w:val="22"/>
                <w:szCs w:val="22"/>
              </w:rPr>
            </w:pPr>
            <w:r w:rsidRPr="00E81CF4">
              <w:rPr>
                <w:sz w:val="22"/>
                <w:szCs w:val="22"/>
              </w:rPr>
              <w:t>1.52 (1.10, 2.10)</w:t>
            </w:r>
          </w:p>
        </w:tc>
        <w:tc>
          <w:tcPr>
            <w:tcW w:w="1843" w:type="dxa"/>
            <w:vAlign w:val="center"/>
          </w:tcPr>
          <w:p w:rsidR="000355E4" w:rsidRPr="00E81CF4" w:rsidRDefault="000355E4" w:rsidP="005B3EA5">
            <w:pPr>
              <w:rPr>
                <w:sz w:val="22"/>
                <w:szCs w:val="22"/>
              </w:rPr>
            </w:pPr>
            <w:r w:rsidRPr="00E81CF4">
              <w:rPr>
                <w:sz w:val="22"/>
                <w:szCs w:val="22"/>
              </w:rPr>
              <w:t>1.18 (0.61, 2.27)</w:t>
            </w:r>
          </w:p>
        </w:tc>
        <w:tc>
          <w:tcPr>
            <w:tcW w:w="1843" w:type="dxa"/>
            <w:vAlign w:val="center"/>
          </w:tcPr>
          <w:p w:rsidR="000355E4" w:rsidRPr="00E81CF4" w:rsidRDefault="000355E4" w:rsidP="005B3EA5">
            <w:pPr>
              <w:rPr>
                <w:sz w:val="22"/>
                <w:szCs w:val="22"/>
              </w:rPr>
            </w:pPr>
            <w:r w:rsidRPr="00E81CF4">
              <w:rPr>
                <w:sz w:val="22"/>
                <w:szCs w:val="22"/>
              </w:rPr>
              <w:t>0.92 (0.58, 1.46)</w:t>
            </w:r>
          </w:p>
        </w:tc>
        <w:tc>
          <w:tcPr>
            <w:tcW w:w="1842" w:type="dxa"/>
            <w:vAlign w:val="center"/>
          </w:tcPr>
          <w:p w:rsidR="000355E4" w:rsidRPr="00E81CF4" w:rsidRDefault="000355E4" w:rsidP="005B3EA5">
            <w:pPr>
              <w:rPr>
                <w:sz w:val="22"/>
                <w:szCs w:val="22"/>
              </w:rPr>
            </w:pPr>
            <w:r w:rsidRPr="00E81CF4">
              <w:rPr>
                <w:sz w:val="22"/>
                <w:szCs w:val="22"/>
              </w:rPr>
              <w:t>1.58 (1.11, 2.27)</w:t>
            </w:r>
          </w:p>
        </w:tc>
        <w:tc>
          <w:tcPr>
            <w:tcW w:w="1654" w:type="dxa"/>
            <w:vAlign w:val="center"/>
          </w:tcPr>
          <w:p w:rsidR="000355E4" w:rsidRPr="00E81CF4" w:rsidRDefault="000355E4" w:rsidP="005B3EA5">
            <w:pPr>
              <w:rPr>
                <w:color w:val="000000"/>
                <w:sz w:val="22"/>
                <w:szCs w:val="22"/>
              </w:rPr>
            </w:pPr>
            <w:r w:rsidRPr="00E81CF4">
              <w:rPr>
                <w:color w:val="000000"/>
                <w:sz w:val="22"/>
                <w:szCs w:val="22"/>
              </w:rPr>
              <w:t>0.29</w:t>
            </w:r>
          </w:p>
        </w:tc>
      </w:tr>
      <w:tr w:rsidR="000355E4" w:rsidRPr="00E81CF4" w:rsidTr="005B3EA5">
        <w:trPr>
          <w:trHeight w:hRule="exact" w:val="340"/>
        </w:trPr>
        <w:tc>
          <w:tcPr>
            <w:tcW w:w="3936" w:type="dxa"/>
            <w:vAlign w:val="center"/>
          </w:tcPr>
          <w:p w:rsidR="000355E4" w:rsidRPr="00E81CF4" w:rsidRDefault="000355E4" w:rsidP="005B3EA5">
            <w:pPr>
              <w:rPr>
                <w:sz w:val="22"/>
                <w:szCs w:val="22"/>
              </w:rPr>
            </w:pPr>
            <w:r w:rsidRPr="00E81CF4">
              <w:rPr>
                <w:sz w:val="22"/>
                <w:szCs w:val="22"/>
              </w:rPr>
              <w:t>Caesarean section</w:t>
            </w:r>
          </w:p>
        </w:tc>
        <w:tc>
          <w:tcPr>
            <w:tcW w:w="1842" w:type="dxa"/>
            <w:vAlign w:val="center"/>
          </w:tcPr>
          <w:p w:rsidR="000355E4" w:rsidRPr="00E81CF4" w:rsidRDefault="000355E4" w:rsidP="005B3EA5">
            <w:pPr>
              <w:rPr>
                <w:sz w:val="22"/>
                <w:szCs w:val="22"/>
              </w:rPr>
            </w:pPr>
            <w:r w:rsidRPr="00E81CF4">
              <w:rPr>
                <w:sz w:val="22"/>
                <w:szCs w:val="22"/>
              </w:rPr>
              <w:t>1.00 (0.80, 1.26)</w:t>
            </w:r>
          </w:p>
        </w:tc>
        <w:tc>
          <w:tcPr>
            <w:tcW w:w="1843" w:type="dxa"/>
            <w:vAlign w:val="center"/>
          </w:tcPr>
          <w:p w:rsidR="000355E4" w:rsidRPr="00E81CF4" w:rsidRDefault="000355E4" w:rsidP="005B3EA5">
            <w:pPr>
              <w:rPr>
                <w:sz w:val="22"/>
                <w:szCs w:val="22"/>
              </w:rPr>
            </w:pPr>
            <w:r w:rsidRPr="00E81CF4">
              <w:rPr>
                <w:sz w:val="22"/>
                <w:szCs w:val="22"/>
              </w:rPr>
              <w:t>0.99 (0.76, 1.28)</w:t>
            </w:r>
          </w:p>
        </w:tc>
        <w:tc>
          <w:tcPr>
            <w:tcW w:w="1843" w:type="dxa"/>
            <w:vAlign w:val="center"/>
          </w:tcPr>
          <w:p w:rsidR="000355E4" w:rsidRPr="00E81CF4" w:rsidRDefault="000355E4" w:rsidP="005B3EA5">
            <w:pPr>
              <w:rPr>
                <w:sz w:val="22"/>
                <w:szCs w:val="22"/>
              </w:rPr>
            </w:pPr>
            <w:r w:rsidRPr="00E81CF4">
              <w:rPr>
                <w:sz w:val="22"/>
                <w:szCs w:val="22"/>
              </w:rPr>
              <w:t>0.93 (0.57, 1.51)</w:t>
            </w:r>
          </w:p>
        </w:tc>
        <w:tc>
          <w:tcPr>
            <w:tcW w:w="1843" w:type="dxa"/>
            <w:vAlign w:val="center"/>
          </w:tcPr>
          <w:p w:rsidR="000355E4" w:rsidRPr="00E81CF4" w:rsidRDefault="000355E4" w:rsidP="005B3EA5">
            <w:pPr>
              <w:rPr>
                <w:sz w:val="22"/>
                <w:szCs w:val="22"/>
              </w:rPr>
            </w:pPr>
            <w:r w:rsidRPr="00E81CF4">
              <w:rPr>
                <w:sz w:val="22"/>
                <w:szCs w:val="22"/>
              </w:rPr>
              <w:t>1.20 (0.91, 1.60)</w:t>
            </w:r>
          </w:p>
        </w:tc>
        <w:tc>
          <w:tcPr>
            <w:tcW w:w="1842" w:type="dxa"/>
            <w:vAlign w:val="center"/>
          </w:tcPr>
          <w:p w:rsidR="000355E4" w:rsidRPr="00E81CF4" w:rsidRDefault="000355E4" w:rsidP="005B3EA5">
            <w:pPr>
              <w:rPr>
                <w:sz w:val="22"/>
                <w:szCs w:val="22"/>
              </w:rPr>
            </w:pPr>
            <w:r w:rsidRPr="00E81CF4">
              <w:rPr>
                <w:sz w:val="22"/>
                <w:szCs w:val="22"/>
              </w:rPr>
              <w:t>1.04 (0.78, 1.38)</w:t>
            </w:r>
          </w:p>
        </w:tc>
        <w:tc>
          <w:tcPr>
            <w:tcW w:w="1654" w:type="dxa"/>
            <w:vAlign w:val="center"/>
          </w:tcPr>
          <w:p w:rsidR="000355E4" w:rsidRPr="00E81CF4" w:rsidRDefault="000355E4" w:rsidP="005B3EA5">
            <w:pPr>
              <w:rPr>
                <w:color w:val="000000"/>
                <w:sz w:val="22"/>
                <w:szCs w:val="22"/>
              </w:rPr>
            </w:pPr>
            <w:r w:rsidRPr="00E81CF4">
              <w:rPr>
                <w:color w:val="000000"/>
                <w:sz w:val="22"/>
                <w:szCs w:val="22"/>
              </w:rPr>
              <w:t>0.80</w:t>
            </w:r>
          </w:p>
        </w:tc>
      </w:tr>
    </w:tbl>
    <w:p w:rsidR="00863704" w:rsidRDefault="00FC2D88" w:rsidP="00FC2D88">
      <w:pPr>
        <w:spacing w:before="120"/>
        <w:rPr>
          <w:sz w:val="22"/>
          <w:szCs w:val="22"/>
        </w:rPr>
      </w:pPr>
      <w:r w:rsidRPr="00FD3EB5">
        <w:rPr>
          <w:sz w:val="22"/>
          <w:szCs w:val="22"/>
        </w:rPr>
        <w:t xml:space="preserve">* </w:t>
      </w:r>
      <w:r w:rsidR="005B3EA5" w:rsidRPr="00FB34E0">
        <w:rPr>
          <w:color w:val="000000"/>
          <w:sz w:val="22"/>
          <w:szCs w:val="22"/>
        </w:rPr>
        <w:t>compared with never/infrequent wheezing</w:t>
      </w:r>
      <w:r w:rsidR="005B3EA5">
        <w:rPr>
          <w:color w:val="000000"/>
          <w:sz w:val="22"/>
          <w:szCs w:val="22"/>
        </w:rPr>
        <w:t xml:space="preserve"> (</w:t>
      </w:r>
      <w:r w:rsidR="005B3EA5">
        <w:rPr>
          <w:sz w:val="22"/>
          <w:szCs w:val="22"/>
        </w:rPr>
        <w:t>N=5642)</w:t>
      </w:r>
      <w:r w:rsidR="005B3EA5" w:rsidRPr="00FD3EB5">
        <w:rPr>
          <w:sz w:val="22"/>
          <w:szCs w:val="22"/>
        </w:rPr>
        <w:t xml:space="preserve"> </w:t>
      </w:r>
      <w:r w:rsidR="005B3EA5">
        <w:rPr>
          <w:sz w:val="22"/>
          <w:szCs w:val="22"/>
        </w:rPr>
        <w:t>and u</w:t>
      </w:r>
      <w:r w:rsidRPr="00FD3EB5">
        <w:rPr>
          <w:sz w:val="22"/>
          <w:szCs w:val="22"/>
        </w:rPr>
        <w:t xml:space="preserve">sing each child’s phenotype probability as </w:t>
      </w:r>
      <w:r w:rsidR="005B3EA5">
        <w:rPr>
          <w:sz w:val="22"/>
          <w:szCs w:val="22"/>
        </w:rPr>
        <w:t>weights.</w:t>
      </w:r>
    </w:p>
    <w:p w:rsidR="006B70BB" w:rsidRDefault="006B70BB" w:rsidP="006B70BB">
      <w:pPr>
        <w:spacing w:before="120"/>
        <w:rPr>
          <w:sz w:val="20"/>
          <w:szCs w:val="20"/>
        </w:rPr>
      </w:pPr>
      <w:r>
        <w:rPr>
          <w:color w:val="000000"/>
          <w:sz w:val="22"/>
          <w:szCs w:val="22"/>
        </w:rPr>
        <w:t>+ Chi-squared test across phenotypes</w:t>
      </w:r>
    </w:p>
    <w:p w:rsidR="00FC2D88" w:rsidRDefault="00FC2D88" w:rsidP="007152E9">
      <w:pPr>
        <w:spacing w:before="120" w:after="240"/>
      </w:pPr>
      <w:r w:rsidRPr="00FD3EB5">
        <w:rPr>
          <w:sz w:val="22"/>
          <w:szCs w:val="22"/>
        </w:rPr>
        <w:br w:type="page"/>
      </w:r>
      <w:r w:rsidRPr="00FD3EB5">
        <w:lastRenderedPageBreak/>
        <w:t xml:space="preserve">Table </w:t>
      </w:r>
      <w:r w:rsidR="00B019FD">
        <w:t>S</w:t>
      </w:r>
      <w:r w:rsidR="0053250C">
        <w:t>4</w:t>
      </w:r>
      <w:r w:rsidRPr="00FD3EB5">
        <w:t xml:space="preserve"> </w:t>
      </w:r>
      <w:r w:rsidR="00FD3EB5" w:rsidRPr="00FD3EB5">
        <w:t>Crude</w:t>
      </w:r>
      <w:r>
        <w:rPr>
          <w:color w:val="000000"/>
          <w:sz w:val="22"/>
          <w:szCs w:val="22"/>
        </w:rPr>
        <w:t xml:space="preserve"> </w:t>
      </w:r>
      <w:r>
        <w:t>association of postnatal characteristics with wheezin</w:t>
      </w:r>
      <w:r w:rsidR="007152E9">
        <w:t>g phenotypes in ALSPAC</w:t>
      </w:r>
    </w:p>
    <w:tbl>
      <w:tblPr>
        <w:tblW w:w="14741" w:type="dxa"/>
        <w:tblBorders>
          <w:top w:val="single" w:sz="4" w:space="0" w:color="auto"/>
          <w:bottom w:val="single" w:sz="4" w:space="0" w:color="auto"/>
        </w:tblBorders>
        <w:tblLook w:val="04A0"/>
      </w:tblPr>
      <w:tblGrid>
        <w:gridCol w:w="2740"/>
        <w:gridCol w:w="62"/>
        <w:gridCol w:w="1417"/>
        <w:gridCol w:w="1768"/>
        <w:gridCol w:w="1793"/>
        <w:gridCol w:w="1824"/>
        <w:gridCol w:w="1812"/>
        <w:gridCol w:w="1854"/>
        <w:gridCol w:w="1471"/>
      </w:tblGrid>
      <w:tr w:rsidR="005326F9" w:rsidRPr="005B3EA5" w:rsidTr="001E4134">
        <w:tc>
          <w:tcPr>
            <w:tcW w:w="4219" w:type="dxa"/>
            <w:gridSpan w:val="3"/>
            <w:tcBorders>
              <w:bottom w:val="nil"/>
            </w:tcBorders>
            <w:vAlign w:val="center"/>
          </w:tcPr>
          <w:p w:rsidR="005326F9" w:rsidRPr="005B3EA5" w:rsidRDefault="005326F9" w:rsidP="00CF7F79">
            <w:pPr>
              <w:rPr>
                <w:sz w:val="22"/>
                <w:szCs w:val="22"/>
              </w:rPr>
            </w:pPr>
          </w:p>
          <w:p w:rsidR="005326F9" w:rsidRPr="005B3EA5" w:rsidRDefault="005326F9" w:rsidP="00CF7F79">
            <w:pPr>
              <w:rPr>
                <w:sz w:val="22"/>
                <w:szCs w:val="22"/>
              </w:rPr>
            </w:pPr>
            <w:r w:rsidRPr="005B3EA5">
              <w:rPr>
                <w:sz w:val="22"/>
                <w:szCs w:val="22"/>
              </w:rPr>
              <w:t> </w:t>
            </w:r>
          </w:p>
        </w:tc>
        <w:tc>
          <w:tcPr>
            <w:tcW w:w="9051" w:type="dxa"/>
            <w:gridSpan w:val="5"/>
            <w:tcBorders>
              <w:bottom w:val="nil"/>
            </w:tcBorders>
            <w:vAlign w:val="center"/>
          </w:tcPr>
          <w:p w:rsidR="005326F9" w:rsidRPr="005B3EA5" w:rsidRDefault="005326F9" w:rsidP="005B3EA5">
            <w:pPr>
              <w:jc w:val="center"/>
              <w:rPr>
                <w:sz w:val="22"/>
                <w:szCs w:val="22"/>
              </w:rPr>
            </w:pPr>
            <w:r w:rsidRPr="005B3EA5">
              <w:rPr>
                <w:sz w:val="22"/>
                <w:szCs w:val="22"/>
              </w:rPr>
              <w:t xml:space="preserve">Adjusted Relative Risk Ratio (95% CI) </w:t>
            </w:r>
            <w:r w:rsidR="005B3EA5" w:rsidRPr="005B3EA5">
              <w:rPr>
                <w:sz w:val="22"/>
                <w:szCs w:val="22"/>
              </w:rPr>
              <w:t>for</w:t>
            </w:r>
            <w:r w:rsidR="00E81CF4" w:rsidRPr="005B3EA5">
              <w:rPr>
                <w:sz w:val="22"/>
                <w:szCs w:val="22"/>
              </w:rPr>
              <w:t>*</w:t>
            </w:r>
          </w:p>
        </w:tc>
        <w:tc>
          <w:tcPr>
            <w:tcW w:w="1471" w:type="dxa"/>
            <w:tcBorders>
              <w:bottom w:val="nil"/>
            </w:tcBorders>
            <w:vAlign w:val="center"/>
          </w:tcPr>
          <w:p w:rsidR="005326F9" w:rsidRPr="005B3EA5" w:rsidRDefault="005326F9" w:rsidP="00CF7F79">
            <w:pPr>
              <w:jc w:val="center"/>
              <w:rPr>
                <w:sz w:val="22"/>
                <w:szCs w:val="22"/>
              </w:rPr>
            </w:pPr>
          </w:p>
        </w:tc>
      </w:tr>
      <w:tr w:rsidR="005326F9" w:rsidRPr="005B3EA5" w:rsidTr="001E4134">
        <w:trPr>
          <w:trHeight w:hRule="exact" w:val="1134"/>
        </w:trPr>
        <w:tc>
          <w:tcPr>
            <w:tcW w:w="4219" w:type="dxa"/>
            <w:gridSpan w:val="3"/>
            <w:tcBorders>
              <w:top w:val="nil"/>
              <w:bottom w:val="single" w:sz="4" w:space="0" w:color="auto"/>
            </w:tcBorders>
            <w:vAlign w:val="center"/>
          </w:tcPr>
          <w:p w:rsidR="005B3EA5" w:rsidRPr="005B3EA5" w:rsidRDefault="005B3EA5" w:rsidP="005B3EA5">
            <w:pPr>
              <w:rPr>
                <w:sz w:val="22"/>
                <w:szCs w:val="22"/>
              </w:rPr>
            </w:pPr>
            <w:r w:rsidRPr="005B3EA5">
              <w:rPr>
                <w:b/>
                <w:sz w:val="22"/>
                <w:szCs w:val="22"/>
              </w:rPr>
              <w:t>Postnatal characteristics adjusted by other demographic, maternal, pregnancy, child, perinatal &amp; postnatal characteristics (N=7,012)</w:t>
            </w:r>
          </w:p>
          <w:p w:rsidR="005326F9" w:rsidRPr="005B3EA5" w:rsidRDefault="005326F9" w:rsidP="005B3EA5">
            <w:pPr>
              <w:rPr>
                <w:sz w:val="22"/>
                <w:szCs w:val="22"/>
              </w:rPr>
            </w:pPr>
          </w:p>
        </w:tc>
        <w:tc>
          <w:tcPr>
            <w:tcW w:w="1768" w:type="dxa"/>
            <w:tcBorders>
              <w:top w:val="nil"/>
              <w:bottom w:val="single" w:sz="4" w:space="0" w:color="auto"/>
            </w:tcBorders>
            <w:vAlign w:val="center"/>
          </w:tcPr>
          <w:p w:rsidR="005326F9" w:rsidRPr="005B3EA5" w:rsidRDefault="005326F9" w:rsidP="005B3EA5">
            <w:pPr>
              <w:rPr>
                <w:sz w:val="22"/>
                <w:szCs w:val="22"/>
              </w:rPr>
            </w:pPr>
            <w:r w:rsidRPr="005B3EA5">
              <w:rPr>
                <w:sz w:val="22"/>
                <w:szCs w:val="22"/>
              </w:rPr>
              <w:t>Transient early</w:t>
            </w:r>
          </w:p>
          <w:p w:rsidR="005326F9" w:rsidRPr="005B3EA5" w:rsidRDefault="005326F9" w:rsidP="005B3EA5">
            <w:pPr>
              <w:rPr>
                <w:sz w:val="22"/>
                <w:szCs w:val="22"/>
              </w:rPr>
            </w:pPr>
            <w:r w:rsidRPr="005B3EA5">
              <w:rPr>
                <w:sz w:val="22"/>
                <w:szCs w:val="22"/>
              </w:rPr>
              <w:t>(N=655)</w:t>
            </w:r>
          </w:p>
        </w:tc>
        <w:tc>
          <w:tcPr>
            <w:tcW w:w="1793" w:type="dxa"/>
            <w:tcBorders>
              <w:top w:val="nil"/>
              <w:bottom w:val="single" w:sz="4" w:space="0" w:color="auto"/>
            </w:tcBorders>
            <w:vAlign w:val="center"/>
          </w:tcPr>
          <w:p w:rsidR="005326F9" w:rsidRPr="005B3EA5" w:rsidRDefault="005326F9" w:rsidP="005B3EA5">
            <w:pPr>
              <w:rPr>
                <w:sz w:val="22"/>
                <w:szCs w:val="22"/>
              </w:rPr>
            </w:pPr>
            <w:r w:rsidRPr="005B3EA5">
              <w:rPr>
                <w:sz w:val="22"/>
                <w:szCs w:val="22"/>
              </w:rPr>
              <w:t>Prolonged early</w:t>
            </w:r>
          </w:p>
          <w:p w:rsidR="005326F9" w:rsidRPr="005B3EA5" w:rsidRDefault="005326F9" w:rsidP="005B3EA5">
            <w:pPr>
              <w:rPr>
                <w:sz w:val="22"/>
                <w:szCs w:val="22"/>
              </w:rPr>
            </w:pPr>
            <w:r w:rsidRPr="005B3EA5">
              <w:rPr>
                <w:sz w:val="22"/>
                <w:szCs w:val="22"/>
              </w:rPr>
              <w:t>(N=469)</w:t>
            </w:r>
          </w:p>
        </w:tc>
        <w:tc>
          <w:tcPr>
            <w:tcW w:w="1824" w:type="dxa"/>
            <w:tcBorders>
              <w:top w:val="nil"/>
              <w:bottom w:val="single" w:sz="4" w:space="0" w:color="auto"/>
            </w:tcBorders>
            <w:vAlign w:val="center"/>
          </w:tcPr>
          <w:p w:rsidR="005326F9" w:rsidRPr="005B3EA5" w:rsidRDefault="005326F9" w:rsidP="005B3EA5">
            <w:pPr>
              <w:rPr>
                <w:sz w:val="22"/>
                <w:szCs w:val="22"/>
              </w:rPr>
            </w:pPr>
            <w:r w:rsidRPr="005B3EA5">
              <w:rPr>
                <w:sz w:val="22"/>
                <w:szCs w:val="22"/>
              </w:rPr>
              <w:t>Intermediate onset (N=177)</w:t>
            </w:r>
          </w:p>
        </w:tc>
        <w:tc>
          <w:tcPr>
            <w:tcW w:w="1812" w:type="dxa"/>
            <w:tcBorders>
              <w:top w:val="nil"/>
              <w:bottom w:val="single" w:sz="4" w:space="0" w:color="auto"/>
            </w:tcBorders>
            <w:vAlign w:val="center"/>
          </w:tcPr>
          <w:p w:rsidR="005326F9" w:rsidRPr="005B3EA5" w:rsidRDefault="005326F9" w:rsidP="005B3EA5">
            <w:pPr>
              <w:rPr>
                <w:sz w:val="22"/>
                <w:szCs w:val="22"/>
              </w:rPr>
            </w:pPr>
            <w:r w:rsidRPr="005B3EA5">
              <w:rPr>
                <w:sz w:val="22"/>
                <w:szCs w:val="22"/>
              </w:rPr>
              <w:t>Late onset</w:t>
            </w:r>
          </w:p>
          <w:p w:rsidR="005326F9" w:rsidRPr="005B3EA5" w:rsidRDefault="005326F9" w:rsidP="005B3EA5">
            <w:pPr>
              <w:rPr>
                <w:sz w:val="22"/>
                <w:szCs w:val="22"/>
              </w:rPr>
            </w:pPr>
            <w:r w:rsidRPr="005B3EA5">
              <w:rPr>
                <w:sz w:val="22"/>
                <w:szCs w:val="22"/>
              </w:rPr>
              <w:t>(N=326)</w:t>
            </w:r>
          </w:p>
        </w:tc>
        <w:tc>
          <w:tcPr>
            <w:tcW w:w="1854" w:type="dxa"/>
            <w:tcBorders>
              <w:top w:val="nil"/>
              <w:bottom w:val="single" w:sz="4" w:space="0" w:color="auto"/>
            </w:tcBorders>
            <w:vAlign w:val="center"/>
          </w:tcPr>
          <w:p w:rsidR="005326F9" w:rsidRPr="005B3EA5" w:rsidRDefault="005326F9" w:rsidP="005B3EA5">
            <w:pPr>
              <w:rPr>
                <w:sz w:val="22"/>
                <w:szCs w:val="22"/>
              </w:rPr>
            </w:pPr>
            <w:r w:rsidRPr="005B3EA5">
              <w:rPr>
                <w:sz w:val="22"/>
                <w:szCs w:val="22"/>
              </w:rPr>
              <w:t>Persistent</w:t>
            </w:r>
          </w:p>
          <w:p w:rsidR="005326F9" w:rsidRPr="005B3EA5" w:rsidRDefault="005326F9" w:rsidP="005B3EA5">
            <w:pPr>
              <w:rPr>
                <w:sz w:val="22"/>
                <w:szCs w:val="22"/>
              </w:rPr>
            </w:pPr>
            <w:r w:rsidRPr="005B3EA5">
              <w:rPr>
                <w:sz w:val="22"/>
                <w:szCs w:val="22"/>
              </w:rPr>
              <w:t>(N=470)</w:t>
            </w:r>
          </w:p>
        </w:tc>
        <w:tc>
          <w:tcPr>
            <w:tcW w:w="1471" w:type="dxa"/>
            <w:tcBorders>
              <w:top w:val="nil"/>
              <w:bottom w:val="single" w:sz="4" w:space="0" w:color="auto"/>
            </w:tcBorders>
            <w:vAlign w:val="center"/>
          </w:tcPr>
          <w:p w:rsidR="005326F9" w:rsidRPr="005B3EA5" w:rsidRDefault="005326F9" w:rsidP="005B3EA5">
            <w:pPr>
              <w:rPr>
                <w:sz w:val="22"/>
                <w:szCs w:val="22"/>
              </w:rPr>
            </w:pPr>
            <w:r w:rsidRPr="005B3EA5">
              <w:rPr>
                <w:color w:val="000000"/>
                <w:sz w:val="22"/>
                <w:szCs w:val="22"/>
              </w:rPr>
              <w:t>Heterogeneity P-value+</w:t>
            </w:r>
          </w:p>
        </w:tc>
      </w:tr>
      <w:tr w:rsidR="00A20529" w:rsidRPr="005B3EA5" w:rsidTr="001E4134">
        <w:trPr>
          <w:trHeight w:hRule="exact" w:val="749"/>
        </w:trPr>
        <w:tc>
          <w:tcPr>
            <w:tcW w:w="2802" w:type="dxa"/>
            <w:gridSpan w:val="2"/>
            <w:tcBorders>
              <w:top w:val="single" w:sz="4" w:space="0" w:color="auto"/>
            </w:tcBorders>
            <w:vAlign w:val="center"/>
          </w:tcPr>
          <w:p w:rsidR="00A20529" w:rsidRPr="005B3EA5" w:rsidRDefault="00A20529" w:rsidP="005B3EA5">
            <w:pPr>
              <w:rPr>
                <w:sz w:val="22"/>
                <w:szCs w:val="22"/>
              </w:rPr>
            </w:pPr>
            <w:r w:rsidRPr="005B3EA5">
              <w:rPr>
                <w:sz w:val="22"/>
                <w:szCs w:val="22"/>
              </w:rPr>
              <w:t>Duration of breast feeding</w:t>
            </w:r>
            <w:r w:rsidR="003E799C" w:rsidRPr="005B3EA5">
              <w:rPr>
                <w:sz w:val="22"/>
                <w:szCs w:val="22"/>
              </w:rPr>
              <w:t>_1</w:t>
            </w:r>
            <w:r w:rsidRPr="005B3EA5">
              <w:rPr>
                <w:sz w:val="22"/>
                <w:szCs w:val="22"/>
              </w:rPr>
              <w:t xml:space="preserve"> </w:t>
            </w:r>
            <w:r w:rsidRPr="005B3EA5">
              <w:rPr>
                <w:color w:val="000000"/>
                <w:sz w:val="22"/>
                <w:szCs w:val="22"/>
              </w:rPr>
              <w:t>(reference: none or &lt;3 months)</w:t>
            </w:r>
          </w:p>
        </w:tc>
        <w:tc>
          <w:tcPr>
            <w:tcW w:w="1417" w:type="dxa"/>
            <w:tcBorders>
              <w:top w:val="single" w:sz="4" w:space="0" w:color="auto"/>
            </w:tcBorders>
            <w:vAlign w:val="center"/>
          </w:tcPr>
          <w:p w:rsidR="00A20529" w:rsidRPr="005B3EA5" w:rsidRDefault="00A20529" w:rsidP="005B3EA5">
            <w:pPr>
              <w:spacing w:line="360" w:lineRule="auto"/>
              <w:rPr>
                <w:i/>
                <w:iCs/>
                <w:sz w:val="22"/>
                <w:szCs w:val="22"/>
              </w:rPr>
            </w:pPr>
            <w:r w:rsidRPr="005B3EA5">
              <w:rPr>
                <w:i/>
                <w:iCs/>
                <w:sz w:val="22"/>
                <w:szCs w:val="22"/>
              </w:rPr>
              <w:t>3+ months</w:t>
            </w:r>
          </w:p>
        </w:tc>
        <w:tc>
          <w:tcPr>
            <w:tcW w:w="1768" w:type="dxa"/>
            <w:tcBorders>
              <w:top w:val="single" w:sz="4" w:space="0" w:color="auto"/>
            </w:tcBorders>
            <w:vAlign w:val="center"/>
          </w:tcPr>
          <w:p w:rsidR="00A20529" w:rsidRPr="005B3EA5" w:rsidRDefault="00A20529" w:rsidP="005B3EA5">
            <w:pPr>
              <w:rPr>
                <w:color w:val="000000"/>
                <w:sz w:val="22"/>
                <w:szCs w:val="22"/>
              </w:rPr>
            </w:pPr>
            <w:r w:rsidRPr="005B3EA5">
              <w:rPr>
                <w:color w:val="000000"/>
                <w:sz w:val="22"/>
                <w:szCs w:val="22"/>
              </w:rPr>
              <w:t xml:space="preserve"> 0.85 (0.74, 0.99)</w:t>
            </w:r>
          </w:p>
        </w:tc>
        <w:tc>
          <w:tcPr>
            <w:tcW w:w="1793" w:type="dxa"/>
            <w:tcBorders>
              <w:top w:val="single" w:sz="4" w:space="0" w:color="auto"/>
            </w:tcBorders>
            <w:vAlign w:val="center"/>
          </w:tcPr>
          <w:p w:rsidR="00A20529" w:rsidRPr="005B3EA5" w:rsidRDefault="00A20529" w:rsidP="005B3EA5">
            <w:pPr>
              <w:rPr>
                <w:color w:val="000000"/>
                <w:sz w:val="22"/>
                <w:szCs w:val="22"/>
              </w:rPr>
            </w:pPr>
            <w:r w:rsidRPr="005B3EA5">
              <w:rPr>
                <w:color w:val="000000"/>
                <w:sz w:val="22"/>
                <w:szCs w:val="22"/>
              </w:rPr>
              <w:t xml:space="preserve"> 0.85 (0.72, 1.00)</w:t>
            </w:r>
          </w:p>
        </w:tc>
        <w:tc>
          <w:tcPr>
            <w:tcW w:w="1824" w:type="dxa"/>
            <w:tcBorders>
              <w:top w:val="single" w:sz="4" w:space="0" w:color="auto"/>
            </w:tcBorders>
            <w:vAlign w:val="center"/>
          </w:tcPr>
          <w:p w:rsidR="00A20529" w:rsidRPr="005B3EA5" w:rsidRDefault="00A20529" w:rsidP="005B3EA5">
            <w:pPr>
              <w:rPr>
                <w:color w:val="000000"/>
                <w:sz w:val="22"/>
                <w:szCs w:val="22"/>
              </w:rPr>
            </w:pPr>
            <w:r w:rsidRPr="005B3EA5">
              <w:rPr>
                <w:color w:val="000000"/>
                <w:sz w:val="22"/>
                <w:szCs w:val="22"/>
              </w:rPr>
              <w:t xml:space="preserve"> 0.96 (0.71, 1.31)</w:t>
            </w:r>
          </w:p>
        </w:tc>
        <w:tc>
          <w:tcPr>
            <w:tcW w:w="1812" w:type="dxa"/>
            <w:tcBorders>
              <w:top w:val="single" w:sz="4" w:space="0" w:color="auto"/>
            </w:tcBorders>
            <w:vAlign w:val="center"/>
          </w:tcPr>
          <w:p w:rsidR="00A20529" w:rsidRPr="005B3EA5" w:rsidRDefault="00A20529" w:rsidP="005B3EA5">
            <w:pPr>
              <w:rPr>
                <w:color w:val="000000"/>
                <w:sz w:val="22"/>
                <w:szCs w:val="22"/>
              </w:rPr>
            </w:pPr>
            <w:r w:rsidRPr="005B3EA5">
              <w:rPr>
                <w:color w:val="000000"/>
                <w:sz w:val="22"/>
                <w:szCs w:val="22"/>
              </w:rPr>
              <w:t xml:space="preserve"> 0.95 (0.78, 1.16)</w:t>
            </w:r>
          </w:p>
        </w:tc>
        <w:tc>
          <w:tcPr>
            <w:tcW w:w="1854" w:type="dxa"/>
            <w:tcBorders>
              <w:top w:val="single" w:sz="4" w:space="0" w:color="auto"/>
            </w:tcBorders>
            <w:vAlign w:val="center"/>
          </w:tcPr>
          <w:p w:rsidR="00A20529" w:rsidRPr="005B3EA5" w:rsidRDefault="00A20529" w:rsidP="005B3EA5">
            <w:pPr>
              <w:rPr>
                <w:color w:val="000000"/>
                <w:sz w:val="22"/>
                <w:szCs w:val="22"/>
              </w:rPr>
            </w:pPr>
            <w:r w:rsidRPr="005B3EA5">
              <w:rPr>
                <w:color w:val="000000"/>
                <w:sz w:val="22"/>
                <w:szCs w:val="22"/>
              </w:rPr>
              <w:t xml:space="preserve"> 0.68 (0.56, 0.83)</w:t>
            </w:r>
          </w:p>
        </w:tc>
        <w:tc>
          <w:tcPr>
            <w:tcW w:w="1471" w:type="dxa"/>
            <w:tcBorders>
              <w:top w:val="single" w:sz="4" w:space="0" w:color="auto"/>
            </w:tcBorders>
            <w:vAlign w:val="center"/>
          </w:tcPr>
          <w:p w:rsidR="00A20529" w:rsidRPr="005B3EA5" w:rsidRDefault="00C221CF" w:rsidP="005B3EA5">
            <w:pPr>
              <w:rPr>
                <w:sz w:val="22"/>
                <w:szCs w:val="22"/>
              </w:rPr>
            </w:pPr>
            <w:r w:rsidRPr="005B3EA5">
              <w:rPr>
                <w:sz w:val="22"/>
                <w:szCs w:val="22"/>
              </w:rPr>
              <w:t>0.</w:t>
            </w:r>
            <w:r w:rsidR="005A1008" w:rsidRPr="005B3EA5">
              <w:rPr>
                <w:sz w:val="22"/>
                <w:szCs w:val="22"/>
              </w:rPr>
              <w:t>12</w:t>
            </w:r>
          </w:p>
        </w:tc>
      </w:tr>
      <w:tr w:rsidR="00A20529" w:rsidRPr="005B3EA5" w:rsidTr="001E4134">
        <w:trPr>
          <w:trHeight w:hRule="exact" w:val="665"/>
        </w:trPr>
        <w:tc>
          <w:tcPr>
            <w:tcW w:w="2802" w:type="dxa"/>
            <w:gridSpan w:val="2"/>
            <w:vAlign w:val="center"/>
          </w:tcPr>
          <w:p w:rsidR="00A20529" w:rsidRPr="005B3EA5" w:rsidRDefault="00A20529" w:rsidP="005B3EA5">
            <w:pPr>
              <w:rPr>
                <w:sz w:val="22"/>
                <w:szCs w:val="22"/>
              </w:rPr>
            </w:pPr>
            <w:r w:rsidRPr="005B3EA5">
              <w:rPr>
                <w:sz w:val="22"/>
                <w:szCs w:val="22"/>
              </w:rPr>
              <w:t>Duration of breast feeding</w:t>
            </w:r>
            <w:r w:rsidR="003E799C" w:rsidRPr="005B3EA5">
              <w:rPr>
                <w:sz w:val="22"/>
                <w:szCs w:val="22"/>
              </w:rPr>
              <w:t>_2</w:t>
            </w:r>
            <w:r w:rsidRPr="005B3EA5">
              <w:rPr>
                <w:sz w:val="22"/>
                <w:szCs w:val="22"/>
              </w:rPr>
              <w:t xml:space="preserve"> </w:t>
            </w:r>
            <w:r w:rsidRPr="005B3EA5">
              <w:rPr>
                <w:color w:val="000000"/>
                <w:sz w:val="22"/>
                <w:szCs w:val="22"/>
              </w:rPr>
              <w:t>(reference: none)</w:t>
            </w:r>
          </w:p>
        </w:tc>
        <w:tc>
          <w:tcPr>
            <w:tcW w:w="1417" w:type="dxa"/>
            <w:vAlign w:val="center"/>
          </w:tcPr>
          <w:p w:rsidR="00A20529" w:rsidRPr="005B3EA5" w:rsidRDefault="00A20529" w:rsidP="005B3EA5">
            <w:pPr>
              <w:spacing w:line="360" w:lineRule="auto"/>
              <w:rPr>
                <w:i/>
                <w:iCs/>
                <w:sz w:val="22"/>
                <w:szCs w:val="22"/>
              </w:rPr>
            </w:pPr>
            <w:r w:rsidRPr="005B3EA5">
              <w:rPr>
                <w:i/>
                <w:iCs/>
                <w:sz w:val="22"/>
                <w:szCs w:val="22"/>
              </w:rPr>
              <w:t>≤ 1 month</w:t>
            </w:r>
          </w:p>
        </w:tc>
        <w:tc>
          <w:tcPr>
            <w:tcW w:w="1768" w:type="dxa"/>
            <w:vAlign w:val="center"/>
          </w:tcPr>
          <w:p w:rsidR="00A20529" w:rsidRPr="005B3EA5" w:rsidRDefault="00A20529" w:rsidP="005B3EA5">
            <w:pPr>
              <w:rPr>
                <w:color w:val="000000"/>
                <w:sz w:val="22"/>
                <w:szCs w:val="22"/>
              </w:rPr>
            </w:pPr>
            <w:r w:rsidRPr="005B3EA5">
              <w:rPr>
                <w:color w:val="000000"/>
                <w:sz w:val="22"/>
                <w:szCs w:val="22"/>
              </w:rPr>
              <w:t xml:space="preserve"> 0.92 (0.73, 1.17)</w:t>
            </w:r>
          </w:p>
        </w:tc>
        <w:tc>
          <w:tcPr>
            <w:tcW w:w="1793" w:type="dxa"/>
            <w:vAlign w:val="center"/>
          </w:tcPr>
          <w:p w:rsidR="00A20529" w:rsidRPr="005B3EA5" w:rsidRDefault="00A20529" w:rsidP="005B3EA5">
            <w:pPr>
              <w:rPr>
                <w:color w:val="000000"/>
                <w:sz w:val="22"/>
                <w:szCs w:val="22"/>
              </w:rPr>
            </w:pPr>
            <w:r w:rsidRPr="005B3EA5">
              <w:rPr>
                <w:color w:val="000000"/>
                <w:sz w:val="22"/>
                <w:szCs w:val="22"/>
              </w:rPr>
              <w:t xml:space="preserve"> 0.97 (0.74, 1.27)</w:t>
            </w:r>
          </w:p>
        </w:tc>
        <w:tc>
          <w:tcPr>
            <w:tcW w:w="1824" w:type="dxa"/>
            <w:vAlign w:val="center"/>
          </w:tcPr>
          <w:p w:rsidR="00A20529" w:rsidRPr="005B3EA5" w:rsidRDefault="00A20529" w:rsidP="005B3EA5">
            <w:pPr>
              <w:rPr>
                <w:color w:val="000000"/>
                <w:sz w:val="22"/>
                <w:szCs w:val="22"/>
              </w:rPr>
            </w:pPr>
            <w:r w:rsidRPr="005B3EA5">
              <w:rPr>
                <w:color w:val="000000"/>
                <w:sz w:val="22"/>
                <w:szCs w:val="22"/>
              </w:rPr>
              <w:t xml:space="preserve"> 0.73 (0.43, 1.24)</w:t>
            </w:r>
          </w:p>
        </w:tc>
        <w:tc>
          <w:tcPr>
            <w:tcW w:w="1812" w:type="dxa"/>
            <w:vAlign w:val="center"/>
          </w:tcPr>
          <w:p w:rsidR="00A20529" w:rsidRPr="005B3EA5" w:rsidRDefault="00A20529" w:rsidP="005B3EA5">
            <w:pPr>
              <w:rPr>
                <w:color w:val="000000"/>
                <w:sz w:val="22"/>
                <w:szCs w:val="22"/>
              </w:rPr>
            </w:pPr>
            <w:r w:rsidRPr="005B3EA5">
              <w:rPr>
                <w:color w:val="000000"/>
                <w:sz w:val="22"/>
                <w:szCs w:val="22"/>
              </w:rPr>
              <w:t xml:space="preserve"> 0.96 (0.69, 1.33)</w:t>
            </w:r>
          </w:p>
        </w:tc>
        <w:tc>
          <w:tcPr>
            <w:tcW w:w="1854" w:type="dxa"/>
            <w:vAlign w:val="center"/>
          </w:tcPr>
          <w:p w:rsidR="00A20529" w:rsidRPr="005B3EA5" w:rsidRDefault="00A20529" w:rsidP="005B3EA5">
            <w:pPr>
              <w:rPr>
                <w:color w:val="000000"/>
                <w:sz w:val="22"/>
                <w:szCs w:val="22"/>
              </w:rPr>
            </w:pPr>
            <w:r w:rsidRPr="005B3EA5">
              <w:rPr>
                <w:color w:val="000000"/>
                <w:sz w:val="22"/>
                <w:szCs w:val="22"/>
              </w:rPr>
              <w:t xml:space="preserve"> 0.81 (0.61, 1.09)</w:t>
            </w:r>
          </w:p>
        </w:tc>
        <w:tc>
          <w:tcPr>
            <w:tcW w:w="1471" w:type="dxa"/>
            <w:vAlign w:val="center"/>
          </w:tcPr>
          <w:p w:rsidR="00A20529" w:rsidRPr="005B3EA5" w:rsidRDefault="00A20529" w:rsidP="005B3EA5">
            <w:pPr>
              <w:rPr>
                <w:sz w:val="22"/>
                <w:szCs w:val="22"/>
              </w:rPr>
            </w:pPr>
          </w:p>
        </w:tc>
      </w:tr>
      <w:tr w:rsidR="00A20529" w:rsidRPr="005B3EA5" w:rsidTr="001E4134">
        <w:trPr>
          <w:trHeight w:hRule="exact" w:val="340"/>
        </w:trPr>
        <w:tc>
          <w:tcPr>
            <w:tcW w:w="2802" w:type="dxa"/>
            <w:gridSpan w:val="2"/>
            <w:vAlign w:val="center"/>
          </w:tcPr>
          <w:p w:rsidR="00A20529" w:rsidRPr="005B3EA5" w:rsidRDefault="00A20529" w:rsidP="005B3EA5">
            <w:pPr>
              <w:spacing w:line="360" w:lineRule="auto"/>
              <w:rPr>
                <w:sz w:val="22"/>
                <w:szCs w:val="22"/>
              </w:rPr>
            </w:pPr>
          </w:p>
        </w:tc>
        <w:tc>
          <w:tcPr>
            <w:tcW w:w="1417" w:type="dxa"/>
            <w:vAlign w:val="center"/>
          </w:tcPr>
          <w:p w:rsidR="00A20529" w:rsidRPr="005B3EA5" w:rsidRDefault="00A20529" w:rsidP="005B3EA5">
            <w:pPr>
              <w:spacing w:line="360" w:lineRule="auto"/>
              <w:rPr>
                <w:i/>
                <w:iCs/>
                <w:sz w:val="22"/>
                <w:szCs w:val="22"/>
              </w:rPr>
            </w:pPr>
            <w:r w:rsidRPr="005B3EA5">
              <w:rPr>
                <w:i/>
                <w:iCs/>
                <w:sz w:val="22"/>
                <w:szCs w:val="22"/>
              </w:rPr>
              <w:t>1 to 3 months</w:t>
            </w:r>
          </w:p>
        </w:tc>
        <w:tc>
          <w:tcPr>
            <w:tcW w:w="1768" w:type="dxa"/>
            <w:vAlign w:val="center"/>
          </w:tcPr>
          <w:p w:rsidR="00A20529" w:rsidRPr="005B3EA5" w:rsidRDefault="00A20529" w:rsidP="005B3EA5">
            <w:pPr>
              <w:rPr>
                <w:color w:val="000000"/>
                <w:sz w:val="22"/>
                <w:szCs w:val="22"/>
              </w:rPr>
            </w:pPr>
            <w:r w:rsidRPr="005B3EA5">
              <w:rPr>
                <w:color w:val="000000"/>
                <w:sz w:val="22"/>
                <w:szCs w:val="22"/>
              </w:rPr>
              <w:t xml:space="preserve"> 0.91 (0.71, 1.16)</w:t>
            </w:r>
          </w:p>
        </w:tc>
        <w:tc>
          <w:tcPr>
            <w:tcW w:w="1793" w:type="dxa"/>
            <w:vAlign w:val="center"/>
          </w:tcPr>
          <w:p w:rsidR="00A20529" w:rsidRPr="005B3EA5" w:rsidRDefault="00A20529" w:rsidP="005B3EA5">
            <w:pPr>
              <w:rPr>
                <w:color w:val="000000"/>
                <w:sz w:val="22"/>
                <w:szCs w:val="22"/>
              </w:rPr>
            </w:pPr>
            <w:r w:rsidRPr="005B3EA5">
              <w:rPr>
                <w:color w:val="000000"/>
                <w:sz w:val="22"/>
                <w:szCs w:val="22"/>
              </w:rPr>
              <w:t xml:space="preserve"> 0.91 (0.69, 1.20)</w:t>
            </w:r>
          </w:p>
        </w:tc>
        <w:tc>
          <w:tcPr>
            <w:tcW w:w="1824" w:type="dxa"/>
            <w:vAlign w:val="center"/>
          </w:tcPr>
          <w:p w:rsidR="00A20529" w:rsidRPr="005B3EA5" w:rsidRDefault="00A20529" w:rsidP="005B3EA5">
            <w:pPr>
              <w:rPr>
                <w:color w:val="000000"/>
                <w:sz w:val="22"/>
                <w:szCs w:val="22"/>
              </w:rPr>
            </w:pPr>
            <w:r w:rsidRPr="005B3EA5">
              <w:rPr>
                <w:color w:val="000000"/>
                <w:sz w:val="22"/>
                <w:szCs w:val="22"/>
              </w:rPr>
              <w:t xml:space="preserve"> 0.90 (0.54, 1.49)</w:t>
            </w:r>
          </w:p>
        </w:tc>
        <w:tc>
          <w:tcPr>
            <w:tcW w:w="1812" w:type="dxa"/>
            <w:vAlign w:val="center"/>
          </w:tcPr>
          <w:p w:rsidR="00A20529" w:rsidRPr="005B3EA5" w:rsidRDefault="00A20529" w:rsidP="005B3EA5">
            <w:pPr>
              <w:rPr>
                <w:color w:val="000000"/>
                <w:sz w:val="22"/>
                <w:szCs w:val="22"/>
              </w:rPr>
            </w:pPr>
            <w:r w:rsidRPr="005B3EA5">
              <w:rPr>
                <w:color w:val="000000"/>
                <w:sz w:val="22"/>
                <w:szCs w:val="22"/>
              </w:rPr>
              <w:t xml:space="preserve"> 1.01 (0.73, 1.40)</w:t>
            </w:r>
          </w:p>
        </w:tc>
        <w:tc>
          <w:tcPr>
            <w:tcW w:w="1854" w:type="dxa"/>
            <w:vAlign w:val="center"/>
          </w:tcPr>
          <w:p w:rsidR="00A20529" w:rsidRPr="005B3EA5" w:rsidRDefault="00A20529" w:rsidP="005B3EA5">
            <w:pPr>
              <w:rPr>
                <w:color w:val="000000"/>
                <w:sz w:val="22"/>
                <w:szCs w:val="22"/>
              </w:rPr>
            </w:pPr>
            <w:r w:rsidRPr="005B3EA5">
              <w:rPr>
                <w:color w:val="000000"/>
                <w:sz w:val="22"/>
                <w:szCs w:val="22"/>
              </w:rPr>
              <w:t xml:space="preserve"> 0.73 (0.54, 0.99)</w:t>
            </w:r>
          </w:p>
        </w:tc>
        <w:tc>
          <w:tcPr>
            <w:tcW w:w="1471" w:type="dxa"/>
            <w:vAlign w:val="center"/>
          </w:tcPr>
          <w:p w:rsidR="00A20529" w:rsidRPr="005B3EA5" w:rsidRDefault="00A20529" w:rsidP="005B3EA5">
            <w:pPr>
              <w:rPr>
                <w:sz w:val="22"/>
                <w:szCs w:val="22"/>
              </w:rPr>
            </w:pPr>
          </w:p>
        </w:tc>
      </w:tr>
      <w:tr w:rsidR="00A20529" w:rsidRPr="005B3EA5" w:rsidTr="001E4134">
        <w:trPr>
          <w:trHeight w:hRule="exact" w:val="340"/>
        </w:trPr>
        <w:tc>
          <w:tcPr>
            <w:tcW w:w="2802" w:type="dxa"/>
            <w:gridSpan w:val="2"/>
            <w:vAlign w:val="center"/>
          </w:tcPr>
          <w:p w:rsidR="00A20529" w:rsidRPr="005B3EA5" w:rsidRDefault="00A20529" w:rsidP="005B3EA5">
            <w:pPr>
              <w:spacing w:line="360" w:lineRule="auto"/>
              <w:rPr>
                <w:sz w:val="22"/>
                <w:szCs w:val="22"/>
              </w:rPr>
            </w:pPr>
          </w:p>
        </w:tc>
        <w:tc>
          <w:tcPr>
            <w:tcW w:w="1417" w:type="dxa"/>
            <w:vAlign w:val="center"/>
          </w:tcPr>
          <w:p w:rsidR="00A20529" w:rsidRPr="005B3EA5" w:rsidRDefault="00A20529" w:rsidP="005B3EA5">
            <w:pPr>
              <w:spacing w:line="360" w:lineRule="auto"/>
              <w:rPr>
                <w:i/>
                <w:iCs/>
                <w:sz w:val="22"/>
                <w:szCs w:val="22"/>
              </w:rPr>
            </w:pPr>
            <w:r w:rsidRPr="005B3EA5">
              <w:rPr>
                <w:i/>
                <w:iCs/>
                <w:sz w:val="22"/>
                <w:szCs w:val="22"/>
              </w:rPr>
              <w:t>3 to 6 months</w:t>
            </w:r>
          </w:p>
        </w:tc>
        <w:tc>
          <w:tcPr>
            <w:tcW w:w="1768" w:type="dxa"/>
            <w:vAlign w:val="center"/>
          </w:tcPr>
          <w:p w:rsidR="00A20529" w:rsidRPr="005B3EA5" w:rsidRDefault="00A20529" w:rsidP="005B3EA5">
            <w:pPr>
              <w:rPr>
                <w:color w:val="000000"/>
                <w:sz w:val="22"/>
                <w:szCs w:val="22"/>
              </w:rPr>
            </w:pPr>
            <w:r w:rsidRPr="005B3EA5">
              <w:rPr>
                <w:color w:val="000000"/>
                <w:sz w:val="22"/>
                <w:szCs w:val="22"/>
              </w:rPr>
              <w:t xml:space="preserve"> 0.88 (0.68, 1.12)</w:t>
            </w:r>
          </w:p>
        </w:tc>
        <w:tc>
          <w:tcPr>
            <w:tcW w:w="1793" w:type="dxa"/>
            <w:vAlign w:val="center"/>
          </w:tcPr>
          <w:p w:rsidR="00A20529" w:rsidRPr="005B3EA5" w:rsidRDefault="00A20529" w:rsidP="005B3EA5">
            <w:pPr>
              <w:rPr>
                <w:color w:val="000000"/>
                <w:sz w:val="22"/>
                <w:szCs w:val="22"/>
              </w:rPr>
            </w:pPr>
            <w:r w:rsidRPr="005B3EA5">
              <w:rPr>
                <w:color w:val="000000"/>
                <w:sz w:val="22"/>
                <w:szCs w:val="22"/>
              </w:rPr>
              <w:t xml:space="preserve"> 0.87 (0.65, 1.15)</w:t>
            </w:r>
          </w:p>
        </w:tc>
        <w:tc>
          <w:tcPr>
            <w:tcW w:w="1824" w:type="dxa"/>
            <w:vAlign w:val="center"/>
          </w:tcPr>
          <w:p w:rsidR="00A20529" w:rsidRPr="005B3EA5" w:rsidRDefault="00A20529" w:rsidP="005B3EA5">
            <w:pPr>
              <w:rPr>
                <w:color w:val="000000"/>
                <w:sz w:val="22"/>
                <w:szCs w:val="22"/>
              </w:rPr>
            </w:pPr>
            <w:r w:rsidRPr="005B3EA5">
              <w:rPr>
                <w:color w:val="000000"/>
                <w:sz w:val="22"/>
                <w:szCs w:val="22"/>
              </w:rPr>
              <w:t xml:space="preserve"> 0.63 (0.35, 1.13)</w:t>
            </w:r>
          </w:p>
        </w:tc>
        <w:tc>
          <w:tcPr>
            <w:tcW w:w="1812" w:type="dxa"/>
            <w:vAlign w:val="center"/>
          </w:tcPr>
          <w:p w:rsidR="00A20529" w:rsidRPr="005B3EA5" w:rsidRDefault="00A20529" w:rsidP="005B3EA5">
            <w:pPr>
              <w:rPr>
                <w:color w:val="000000"/>
                <w:sz w:val="22"/>
                <w:szCs w:val="22"/>
              </w:rPr>
            </w:pPr>
            <w:r w:rsidRPr="005B3EA5">
              <w:rPr>
                <w:color w:val="000000"/>
                <w:sz w:val="22"/>
                <w:szCs w:val="22"/>
              </w:rPr>
              <w:t xml:space="preserve"> 0.80 (0.56, 1.14)</w:t>
            </w:r>
          </w:p>
        </w:tc>
        <w:tc>
          <w:tcPr>
            <w:tcW w:w="1854" w:type="dxa"/>
            <w:vAlign w:val="center"/>
          </w:tcPr>
          <w:p w:rsidR="00A20529" w:rsidRPr="005B3EA5" w:rsidRDefault="00A20529" w:rsidP="005B3EA5">
            <w:pPr>
              <w:rPr>
                <w:color w:val="000000"/>
                <w:sz w:val="22"/>
                <w:szCs w:val="22"/>
              </w:rPr>
            </w:pPr>
            <w:r w:rsidRPr="005B3EA5">
              <w:rPr>
                <w:color w:val="000000"/>
                <w:sz w:val="22"/>
                <w:szCs w:val="22"/>
              </w:rPr>
              <w:t xml:space="preserve"> 0.51 (0.36, 0.72)</w:t>
            </w:r>
          </w:p>
        </w:tc>
        <w:tc>
          <w:tcPr>
            <w:tcW w:w="1471" w:type="dxa"/>
            <w:vAlign w:val="center"/>
          </w:tcPr>
          <w:p w:rsidR="00A20529" w:rsidRPr="005B3EA5" w:rsidRDefault="00A20529" w:rsidP="005B3EA5">
            <w:pPr>
              <w:rPr>
                <w:sz w:val="22"/>
                <w:szCs w:val="22"/>
              </w:rPr>
            </w:pPr>
          </w:p>
        </w:tc>
      </w:tr>
      <w:tr w:rsidR="00A20529" w:rsidRPr="005B3EA5" w:rsidTr="001E4134">
        <w:trPr>
          <w:trHeight w:hRule="exact" w:val="340"/>
        </w:trPr>
        <w:tc>
          <w:tcPr>
            <w:tcW w:w="2802" w:type="dxa"/>
            <w:gridSpan w:val="2"/>
            <w:vAlign w:val="center"/>
          </w:tcPr>
          <w:p w:rsidR="00A20529" w:rsidRPr="005B3EA5" w:rsidRDefault="00A20529" w:rsidP="005B3EA5">
            <w:pPr>
              <w:spacing w:line="360" w:lineRule="auto"/>
              <w:rPr>
                <w:sz w:val="22"/>
                <w:szCs w:val="22"/>
              </w:rPr>
            </w:pPr>
          </w:p>
        </w:tc>
        <w:tc>
          <w:tcPr>
            <w:tcW w:w="1417" w:type="dxa"/>
            <w:vAlign w:val="center"/>
          </w:tcPr>
          <w:p w:rsidR="00A20529" w:rsidRPr="005B3EA5" w:rsidRDefault="00A20529" w:rsidP="005B3EA5">
            <w:pPr>
              <w:spacing w:line="360" w:lineRule="auto"/>
              <w:rPr>
                <w:i/>
                <w:iCs/>
                <w:sz w:val="22"/>
                <w:szCs w:val="22"/>
              </w:rPr>
            </w:pPr>
            <w:r w:rsidRPr="005B3EA5">
              <w:rPr>
                <w:i/>
                <w:iCs/>
                <w:sz w:val="22"/>
                <w:szCs w:val="22"/>
              </w:rPr>
              <w:t>6+ months</w:t>
            </w:r>
          </w:p>
        </w:tc>
        <w:tc>
          <w:tcPr>
            <w:tcW w:w="1768" w:type="dxa"/>
            <w:vAlign w:val="center"/>
          </w:tcPr>
          <w:p w:rsidR="00A20529" w:rsidRPr="005B3EA5" w:rsidRDefault="00A20529" w:rsidP="005B3EA5">
            <w:pPr>
              <w:rPr>
                <w:color w:val="000000"/>
                <w:sz w:val="22"/>
                <w:szCs w:val="22"/>
              </w:rPr>
            </w:pPr>
            <w:r w:rsidRPr="005B3EA5">
              <w:rPr>
                <w:color w:val="000000"/>
                <w:sz w:val="22"/>
                <w:szCs w:val="22"/>
              </w:rPr>
              <w:t xml:space="preserve"> 0.78 (0.64, 0.96)</w:t>
            </w:r>
          </w:p>
        </w:tc>
        <w:tc>
          <w:tcPr>
            <w:tcW w:w="1793" w:type="dxa"/>
            <w:vAlign w:val="center"/>
          </w:tcPr>
          <w:p w:rsidR="00A20529" w:rsidRPr="005B3EA5" w:rsidRDefault="00A20529" w:rsidP="005B3EA5">
            <w:pPr>
              <w:rPr>
                <w:color w:val="000000"/>
                <w:sz w:val="22"/>
                <w:szCs w:val="22"/>
              </w:rPr>
            </w:pPr>
            <w:r w:rsidRPr="005B3EA5">
              <w:rPr>
                <w:color w:val="000000"/>
                <w:sz w:val="22"/>
                <w:szCs w:val="22"/>
              </w:rPr>
              <w:t xml:space="preserve"> 0.80 (0.63, 1.01)</w:t>
            </w:r>
          </w:p>
        </w:tc>
        <w:tc>
          <w:tcPr>
            <w:tcW w:w="1824" w:type="dxa"/>
            <w:vAlign w:val="center"/>
          </w:tcPr>
          <w:p w:rsidR="00A20529" w:rsidRPr="005B3EA5" w:rsidRDefault="00A20529" w:rsidP="005B3EA5">
            <w:pPr>
              <w:rPr>
                <w:color w:val="000000"/>
                <w:sz w:val="22"/>
                <w:szCs w:val="22"/>
              </w:rPr>
            </w:pPr>
            <w:r w:rsidRPr="005B3EA5">
              <w:rPr>
                <w:color w:val="000000"/>
                <w:sz w:val="22"/>
                <w:szCs w:val="22"/>
              </w:rPr>
              <w:t xml:space="preserve"> 0.94 (0.62, 1.42)</w:t>
            </w:r>
          </w:p>
        </w:tc>
        <w:tc>
          <w:tcPr>
            <w:tcW w:w="1812" w:type="dxa"/>
            <w:vAlign w:val="center"/>
          </w:tcPr>
          <w:p w:rsidR="00A20529" w:rsidRPr="005B3EA5" w:rsidRDefault="00A20529" w:rsidP="005B3EA5">
            <w:pPr>
              <w:rPr>
                <w:color w:val="000000"/>
                <w:sz w:val="22"/>
                <w:szCs w:val="22"/>
              </w:rPr>
            </w:pPr>
            <w:r w:rsidRPr="005B3EA5">
              <w:rPr>
                <w:color w:val="000000"/>
                <w:sz w:val="22"/>
                <w:szCs w:val="22"/>
              </w:rPr>
              <w:t xml:space="preserve"> 1.00 (0.76, 1.31)</w:t>
            </w:r>
          </w:p>
        </w:tc>
        <w:tc>
          <w:tcPr>
            <w:tcW w:w="1854" w:type="dxa"/>
            <w:vAlign w:val="center"/>
          </w:tcPr>
          <w:p w:rsidR="00A20529" w:rsidRPr="005B3EA5" w:rsidRDefault="00A20529" w:rsidP="005B3EA5">
            <w:pPr>
              <w:rPr>
                <w:color w:val="000000"/>
                <w:sz w:val="22"/>
                <w:szCs w:val="22"/>
              </w:rPr>
            </w:pPr>
            <w:r w:rsidRPr="005B3EA5">
              <w:rPr>
                <w:color w:val="000000"/>
                <w:sz w:val="22"/>
                <w:szCs w:val="22"/>
              </w:rPr>
              <w:t xml:space="preserve"> 0.62 (0.48, 0.80)</w:t>
            </w:r>
          </w:p>
        </w:tc>
        <w:tc>
          <w:tcPr>
            <w:tcW w:w="1471" w:type="dxa"/>
            <w:vAlign w:val="center"/>
          </w:tcPr>
          <w:p w:rsidR="00A20529" w:rsidRPr="005B3EA5" w:rsidRDefault="005B3EA5" w:rsidP="005B3EA5">
            <w:pPr>
              <w:rPr>
                <w:sz w:val="22"/>
                <w:szCs w:val="22"/>
              </w:rPr>
            </w:pPr>
            <w:r w:rsidRPr="005B3EA5">
              <w:rPr>
                <w:sz w:val="22"/>
                <w:szCs w:val="22"/>
              </w:rPr>
              <w:t>0.05</w:t>
            </w:r>
          </w:p>
        </w:tc>
      </w:tr>
      <w:tr w:rsidR="00A20529" w:rsidRPr="005B3EA5" w:rsidTr="001E4134">
        <w:trPr>
          <w:trHeight w:hRule="exact" w:val="340"/>
        </w:trPr>
        <w:tc>
          <w:tcPr>
            <w:tcW w:w="4219" w:type="dxa"/>
            <w:gridSpan w:val="3"/>
            <w:vAlign w:val="center"/>
          </w:tcPr>
          <w:p w:rsidR="00A20529" w:rsidRPr="005B3EA5" w:rsidRDefault="00A20529" w:rsidP="005B3EA5">
            <w:pPr>
              <w:spacing w:line="360" w:lineRule="auto"/>
              <w:rPr>
                <w:sz w:val="22"/>
                <w:szCs w:val="22"/>
              </w:rPr>
            </w:pPr>
            <w:r w:rsidRPr="005B3EA5">
              <w:rPr>
                <w:sz w:val="22"/>
                <w:szCs w:val="22"/>
              </w:rPr>
              <w:t>Maternal smoking during first year</w:t>
            </w:r>
          </w:p>
        </w:tc>
        <w:tc>
          <w:tcPr>
            <w:tcW w:w="1768" w:type="dxa"/>
            <w:vAlign w:val="center"/>
          </w:tcPr>
          <w:p w:rsidR="00A20529" w:rsidRPr="005B3EA5" w:rsidRDefault="00A20529" w:rsidP="005B3EA5">
            <w:pPr>
              <w:rPr>
                <w:color w:val="000000"/>
                <w:sz w:val="22"/>
                <w:szCs w:val="22"/>
              </w:rPr>
            </w:pPr>
            <w:r w:rsidRPr="005B3EA5">
              <w:rPr>
                <w:color w:val="000000"/>
                <w:sz w:val="22"/>
                <w:szCs w:val="22"/>
              </w:rPr>
              <w:t>1.30 ( 1.09, 1.56)</w:t>
            </w:r>
          </w:p>
        </w:tc>
        <w:tc>
          <w:tcPr>
            <w:tcW w:w="1793" w:type="dxa"/>
            <w:vAlign w:val="center"/>
          </w:tcPr>
          <w:p w:rsidR="00A20529" w:rsidRPr="005B3EA5" w:rsidRDefault="00A20529" w:rsidP="005B3EA5">
            <w:pPr>
              <w:rPr>
                <w:color w:val="000000"/>
                <w:sz w:val="22"/>
                <w:szCs w:val="22"/>
              </w:rPr>
            </w:pPr>
            <w:r w:rsidRPr="005B3EA5">
              <w:rPr>
                <w:color w:val="000000"/>
                <w:sz w:val="22"/>
                <w:szCs w:val="22"/>
              </w:rPr>
              <w:t xml:space="preserve"> 1.44 (1.18, 1.75)</w:t>
            </w:r>
          </w:p>
        </w:tc>
        <w:tc>
          <w:tcPr>
            <w:tcW w:w="1824" w:type="dxa"/>
            <w:vAlign w:val="center"/>
          </w:tcPr>
          <w:p w:rsidR="00A20529" w:rsidRPr="005B3EA5" w:rsidRDefault="00A20529" w:rsidP="005B3EA5">
            <w:pPr>
              <w:rPr>
                <w:color w:val="000000"/>
                <w:sz w:val="22"/>
                <w:szCs w:val="22"/>
              </w:rPr>
            </w:pPr>
            <w:r w:rsidRPr="005B3EA5">
              <w:rPr>
                <w:color w:val="000000"/>
                <w:sz w:val="22"/>
                <w:szCs w:val="22"/>
              </w:rPr>
              <w:t xml:space="preserve"> 1.03 (0.69, 1.54)</w:t>
            </w:r>
          </w:p>
        </w:tc>
        <w:tc>
          <w:tcPr>
            <w:tcW w:w="1812" w:type="dxa"/>
            <w:vAlign w:val="center"/>
          </w:tcPr>
          <w:p w:rsidR="00A20529" w:rsidRPr="005B3EA5" w:rsidRDefault="00A20529" w:rsidP="005B3EA5">
            <w:pPr>
              <w:rPr>
                <w:color w:val="000000"/>
                <w:sz w:val="22"/>
                <w:szCs w:val="22"/>
              </w:rPr>
            </w:pPr>
            <w:r w:rsidRPr="005B3EA5">
              <w:rPr>
                <w:color w:val="000000"/>
                <w:sz w:val="22"/>
                <w:szCs w:val="22"/>
              </w:rPr>
              <w:t xml:space="preserve"> 1.10 (0.86, 1.41)</w:t>
            </w:r>
          </w:p>
        </w:tc>
        <w:tc>
          <w:tcPr>
            <w:tcW w:w="1854" w:type="dxa"/>
            <w:vAlign w:val="center"/>
          </w:tcPr>
          <w:p w:rsidR="00A20529" w:rsidRPr="005B3EA5" w:rsidRDefault="00A20529" w:rsidP="005B3EA5">
            <w:pPr>
              <w:rPr>
                <w:color w:val="000000"/>
                <w:sz w:val="22"/>
                <w:szCs w:val="22"/>
              </w:rPr>
            </w:pPr>
            <w:r w:rsidRPr="005B3EA5">
              <w:rPr>
                <w:color w:val="000000"/>
                <w:sz w:val="22"/>
                <w:szCs w:val="22"/>
              </w:rPr>
              <w:t xml:space="preserve"> 1.53 (1.22, 1.91)</w:t>
            </w:r>
          </w:p>
        </w:tc>
        <w:tc>
          <w:tcPr>
            <w:tcW w:w="1471" w:type="dxa"/>
            <w:vAlign w:val="center"/>
          </w:tcPr>
          <w:p w:rsidR="00A20529" w:rsidRPr="005B3EA5" w:rsidRDefault="005A1008" w:rsidP="005B3EA5">
            <w:pPr>
              <w:rPr>
                <w:color w:val="000000"/>
                <w:sz w:val="22"/>
                <w:szCs w:val="22"/>
              </w:rPr>
            </w:pPr>
            <w:r w:rsidRPr="005B3EA5">
              <w:rPr>
                <w:color w:val="000000"/>
                <w:sz w:val="22"/>
                <w:szCs w:val="22"/>
              </w:rPr>
              <w:t>0.17</w:t>
            </w:r>
          </w:p>
        </w:tc>
      </w:tr>
      <w:tr w:rsidR="00A20529" w:rsidRPr="005B3EA5" w:rsidTr="001E4134">
        <w:trPr>
          <w:trHeight w:hRule="exact" w:val="340"/>
        </w:trPr>
        <w:tc>
          <w:tcPr>
            <w:tcW w:w="4219" w:type="dxa"/>
            <w:gridSpan w:val="3"/>
            <w:vAlign w:val="center"/>
          </w:tcPr>
          <w:p w:rsidR="00A20529" w:rsidRPr="005B3EA5" w:rsidRDefault="00A20529" w:rsidP="005B3EA5">
            <w:pPr>
              <w:spacing w:line="360" w:lineRule="auto"/>
              <w:rPr>
                <w:sz w:val="22"/>
                <w:szCs w:val="22"/>
              </w:rPr>
            </w:pPr>
            <w:r w:rsidRPr="005B3EA5">
              <w:rPr>
                <w:sz w:val="22"/>
                <w:szCs w:val="22"/>
              </w:rPr>
              <w:t>Day care attendance during first year</w:t>
            </w:r>
          </w:p>
        </w:tc>
        <w:tc>
          <w:tcPr>
            <w:tcW w:w="1768" w:type="dxa"/>
            <w:vAlign w:val="center"/>
          </w:tcPr>
          <w:p w:rsidR="00A20529" w:rsidRPr="005B3EA5" w:rsidRDefault="00A20529" w:rsidP="005B3EA5">
            <w:pPr>
              <w:rPr>
                <w:color w:val="000000"/>
                <w:sz w:val="22"/>
                <w:szCs w:val="22"/>
              </w:rPr>
            </w:pPr>
            <w:r w:rsidRPr="005B3EA5">
              <w:rPr>
                <w:color w:val="000000"/>
                <w:sz w:val="22"/>
                <w:szCs w:val="22"/>
              </w:rPr>
              <w:t>1.35 ( 1.04, 1.77)</w:t>
            </w:r>
          </w:p>
        </w:tc>
        <w:tc>
          <w:tcPr>
            <w:tcW w:w="1793" w:type="dxa"/>
            <w:vAlign w:val="center"/>
          </w:tcPr>
          <w:p w:rsidR="00A20529" w:rsidRPr="005B3EA5" w:rsidRDefault="00A20529" w:rsidP="005B3EA5">
            <w:pPr>
              <w:rPr>
                <w:color w:val="000000"/>
                <w:sz w:val="22"/>
                <w:szCs w:val="22"/>
              </w:rPr>
            </w:pPr>
            <w:r w:rsidRPr="005B3EA5">
              <w:rPr>
                <w:color w:val="000000"/>
                <w:sz w:val="22"/>
                <w:szCs w:val="22"/>
              </w:rPr>
              <w:t xml:space="preserve"> 1.30 (0.96, 1.77)</w:t>
            </w:r>
          </w:p>
        </w:tc>
        <w:tc>
          <w:tcPr>
            <w:tcW w:w="1824" w:type="dxa"/>
            <w:vAlign w:val="center"/>
          </w:tcPr>
          <w:p w:rsidR="00A20529" w:rsidRPr="005B3EA5" w:rsidRDefault="00A20529" w:rsidP="005B3EA5">
            <w:pPr>
              <w:rPr>
                <w:color w:val="000000"/>
                <w:sz w:val="22"/>
                <w:szCs w:val="22"/>
              </w:rPr>
            </w:pPr>
            <w:r w:rsidRPr="005B3EA5">
              <w:rPr>
                <w:color w:val="000000"/>
                <w:sz w:val="22"/>
                <w:szCs w:val="22"/>
              </w:rPr>
              <w:t xml:space="preserve"> 0.77 (0.39, 1.55)</w:t>
            </w:r>
          </w:p>
        </w:tc>
        <w:tc>
          <w:tcPr>
            <w:tcW w:w="1812" w:type="dxa"/>
            <w:vAlign w:val="center"/>
          </w:tcPr>
          <w:p w:rsidR="00A20529" w:rsidRPr="005B3EA5" w:rsidRDefault="00A20529" w:rsidP="005B3EA5">
            <w:pPr>
              <w:rPr>
                <w:color w:val="000000"/>
                <w:sz w:val="22"/>
                <w:szCs w:val="22"/>
              </w:rPr>
            </w:pPr>
            <w:r w:rsidRPr="005B3EA5">
              <w:rPr>
                <w:color w:val="000000"/>
                <w:sz w:val="22"/>
                <w:szCs w:val="22"/>
              </w:rPr>
              <w:t xml:space="preserve"> 0.86 (0.56, 1.31)</w:t>
            </w:r>
          </w:p>
        </w:tc>
        <w:tc>
          <w:tcPr>
            <w:tcW w:w="1854" w:type="dxa"/>
            <w:vAlign w:val="center"/>
          </w:tcPr>
          <w:p w:rsidR="00A20529" w:rsidRPr="005B3EA5" w:rsidRDefault="00A20529" w:rsidP="005B3EA5">
            <w:pPr>
              <w:rPr>
                <w:color w:val="000000"/>
                <w:sz w:val="22"/>
                <w:szCs w:val="22"/>
              </w:rPr>
            </w:pPr>
            <w:r w:rsidRPr="005B3EA5">
              <w:rPr>
                <w:color w:val="000000"/>
                <w:sz w:val="22"/>
                <w:szCs w:val="22"/>
              </w:rPr>
              <w:t xml:space="preserve"> 1.00 (0.68, 1.46)</w:t>
            </w:r>
          </w:p>
        </w:tc>
        <w:tc>
          <w:tcPr>
            <w:tcW w:w="1471" w:type="dxa"/>
            <w:vAlign w:val="center"/>
          </w:tcPr>
          <w:p w:rsidR="00A20529" w:rsidRPr="005B3EA5" w:rsidRDefault="005A1008" w:rsidP="005B3EA5">
            <w:pPr>
              <w:rPr>
                <w:color w:val="000000"/>
                <w:sz w:val="22"/>
                <w:szCs w:val="22"/>
              </w:rPr>
            </w:pPr>
            <w:r w:rsidRPr="005B3EA5">
              <w:rPr>
                <w:color w:val="000000"/>
                <w:sz w:val="22"/>
                <w:szCs w:val="22"/>
              </w:rPr>
              <w:t>0.17</w:t>
            </w:r>
          </w:p>
        </w:tc>
      </w:tr>
      <w:tr w:rsidR="00A20529" w:rsidRPr="005B3EA5" w:rsidTr="001E4134">
        <w:trPr>
          <w:trHeight w:hRule="exact" w:val="340"/>
        </w:trPr>
        <w:tc>
          <w:tcPr>
            <w:tcW w:w="4219" w:type="dxa"/>
            <w:gridSpan w:val="3"/>
            <w:vAlign w:val="center"/>
          </w:tcPr>
          <w:p w:rsidR="00A20529" w:rsidRPr="005B3EA5" w:rsidRDefault="00A20529" w:rsidP="005B3EA5">
            <w:pPr>
              <w:spacing w:line="360" w:lineRule="auto"/>
              <w:rPr>
                <w:sz w:val="22"/>
                <w:szCs w:val="22"/>
              </w:rPr>
            </w:pPr>
            <w:r w:rsidRPr="005B3EA5">
              <w:rPr>
                <w:sz w:val="22"/>
                <w:szCs w:val="22"/>
              </w:rPr>
              <w:t>Family pet ownership during first year</w:t>
            </w:r>
          </w:p>
          <w:p w:rsidR="00A20529" w:rsidRPr="005B3EA5" w:rsidRDefault="00A20529" w:rsidP="005B3EA5">
            <w:pPr>
              <w:spacing w:line="360" w:lineRule="auto"/>
              <w:rPr>
                <w:sz w:val="22"/>
                <w:szCs w:val="22"/>
              </w:rPr>
            </w:pPr>
            <w:r w:rsidRPr="005B3EA5">
              <w:rPr>
                <w:sz w:val="22"/>
                <w:szCs w:val="22"/>
              </w:rPr>
              <w:t> </w:t>
            </w:r>
          </w:p>
        </w:tc>
        <w:tc>
          <w:tcPr>
            <w:tcW w:w="1768" w:type="dxa"/>
            <w:vAlign w:val="center"/>
          </w:tcPr>
          <w:p w:rsidR="00A20529" w:rsidRPr="005B3EA5" w:rsidRDefault="00A20529" w:rsidP="005B3EA5">
            <w:pPr>
              <w:rPr>
                <w:color w:val="000000"/>
                <w:sz w:val="22"/>
                <w:szCs w:val="22"/>
              </w:rPr>
            </w:pPr>
            <w:r w:rsidRPr="005B3EA5">
              <w:rPr>
                <w:color w:val="000000"/>
                <w:sz w:val="22"/>
                <w:szCs w:val="22"/>
              </w:rPr>
              <w:t>1.02 ( 0.87, 1.19)</w:t>
            </w:r>
          </w:p>
        </w:tc>
        <w:tc>
          <w:tcPr>
            <w:tcW w:w="1793" w:type="dxa"/>
            <w:vAlign w:val="center"/>
          </w:tcPr>
          <w:p w:rsidR="00A20529" w:rsidRPr="005B3EA5" w:rsidRDefault="00A20529" w:rsidP="005B3EA5">
            <w:pPr>
              <w:rPr>
                <w:color w:val="000000"/>
                <w:sz w:val="22"/>
                <w:szCs w:val="22"/>
              </w:rPr>
            </w:pPr>
            <w:r w:rsidRPr="005B3EA5">
              <w:rPr>
                <w:color w:val="000000"/>
                <w:sz w:val="22"/>
                <w:szCs w:val="22"/>
              </w:rPr>
              <w:t xml:space="preserve"> 1.03 (0.86, 1.23)</w:t>
            </w:r>
          </w:p>
        </w:tc>
        <w:tc>
          <w:tcPr>
            <w:tcW w:w="1824" w:type="dxa"/>
            <w:vAlign w:val="center"/>
          </w:tcPr>
          <w:p w:rsidR="00A20529" w:rsidRPr="005B3EA5" w:rsidRDefault="00A20529" w:rsidP="005B3EA5">
            <w:pPr>
              <w:rPr>
                <w:color w:val="000000"/>
                <w:sz w:val="22"/>
                <w:szCs w:val="22"/>
              </w:rPr>
            </w:pPr>
            <w:r w:rsidRPr="005B3EA5">
              <w:rPr>
                <w:color w:val="000000"/>
                <w:sz w:val="22"/>
                <w:szCs w:val="22"/>
              </w:rPr>
              <w:t xml:space="preserve"> 0.95 (0.68, 1.32)</w:t>
            </w:r>
          </w:p>
        </w:tc>
        <w:tc>
          <w:tcPr>
            <w:tcW w:w="1812" w:type="dxa"/>
            <w:vAlign w:val="center"/>
          </w:tcPr>
          <w:p w:rsidR="00A20529" w:rsidRPr="005B3EA5" w:rsidRDefault="00A20529" w:rsidP="005B3EA5">
            <w:pPr>
              <w:rPr>
                <w:color w:val="000000"/>
                <w:sz w:val="22"/>
                <w:szCs w:val="22"/>
              </w:rPr>
            </w:pPr>
            <w:r w:rsidRPr="005B3EA5">
              <w:rPr>
                <w:color w:val="000000"/>
                <w:sz w:val="22"/>
                <w:szCs w:val="22"/>
              </w:rPr>
              <w:t xml:space="preserve"> 0.95 (0.77, 1.17)</w:t>
            </w:r>
          </w:p>
        </w:tc>
        <w:tc>
          <w:tcPr>
            <w:tcW w:w="1854" w:type="dxa"/>
            <w:vAlign w:val="center"/>
          </w:tcPr>
          <w:p w:rsidR="00A20529" w:rsidRPr="005B3EA5" w:rsidRDefault="00A20529" w:rsidP="005B3EA5">
            <w:pPr>
              <w:rPr>
                <w:color w:val="000000"/>
                <w:sz w:val="22"/>
                <w:szCs w:val="22"/>
              </w:rPr>
            </w:pPr>
            <w:r w:rsidRPr="005B3EA5">
              <w:rPr>
                <w:color w:val="000000"/>
                <w:sz w:val="22"/>
                <w:szCs w:val="22"/>
              </w:rPr>
              <w:t xml:space="preserve"> 1.13 (0.92, 1.39)</w:t>
            </w:r>
          </w:p>
        </w:tc>
        <w:tc>
          <w:tcPr>
            <w:tcW w:w="1471" w:type="dxa"/>
            <w:vAlign w:val="center"/>
          </w:tcPr>
          <w:p w:rsidR="00A20529" w:rsidRPr="005B3EA5" w:rsidRDefault="005A1008" w:rsidP="005B3EA5">
            <w:pPr>
              <w:rPr>
                <w:color w:val="000000"/>
                <w:sz w:val="22"/>
                <w:szCs w:val="22"/>
              </w:rPr>
            </w:pPr>
            <w:r w:rsidRPr="005B3EA5">
              <w:rPr>
                <w:color w:val="000000"/>
                <w:sz w:val="22"/>
                <w:szCs w:val="22"/>
              </w:rPr>
              <w:t>0.79</w:t>
            </w:r>
          </w:p>
        </w:tc>
      </w:tr>
      <w:tr w:rsidR="00A20529" w:rsidRPr="005B3EA5" w:rsidTr="001E4134">
        <w:trPr>
          <w:trHeight w:hRule="exact" w:val="761"/>
        </w:trPr>
        <w:tc>
          <w:tcPr>
            <w:tcW w:w="2740" w:type="dxa"/>
            <w:vAlign w:val="center"/>
          </w:tcPr>
          <w:p w:rsidR="00A20529" w:rsidRPr="005B3EA5" w:rsidRDefault="00A20529" w:rsidP="005B3EA5">
            <w:pPr>
              <w:rPr>
                <w:sz w:val="22"/>
                <w:szCs w:val="22"/>
              </w:rPr>
            </w:pPr>
            <w:r w:rsidRPr="005B3EA5">
              <w:rPr>
                <w:sz w:val="22"/>
                <w:szCs w:val="22"/>
              </w:rPr>
              <w:t xml:space="preserve">Maternal anxiety during first year </w:t>
            </w:r>
            <w:r w:rsidRPr="005B3EA5">
              <w:rPr>
                <w:color w:val="000000"/>
                <w:sz w:val="22"/>
                <w:szCs w:val="22"/>
              </w:rPr>
              <w:t>(reference: 1</w:t>
            </w:r>
            <w:r w:rsidRPr="005B3EA5">
              <w:rPr>
                <w:color w:val="000000"/>
                <w:sz w:val="22"/>
                <w:szCs w:val="22"/>
                <w:vertAlign w:val="superscript"/>
              </w:rPr>
              <w:t>st</w:t>
            </w:r>
            <w:r w:rsidRPr="005B3EA5">
              <w:rPr>
                <w:color w:val="000000"/>
                <w:sz w:val="22"/>
                <w:szCs w:val="22"/>
              </w:rPr>
              <w:t xml:space="preserve"> quartile)</w:t>
            </w:r>
          </w:p>
        </w:tc>
        <w:tc>
          <w:tcPr>
            <w:tcW w:w="1479" w:type="dxa"/>
            <w:gridSpan w:val="2"/>
            <w:vAlign w:val="center"/>
          </w:tcPr>
          <w:p w:rsidR="00A20529" w:rsidRPr="005B3EA5" w:rsidRDefault="00A20529" w:rsidP="005B3EA5">
            <w:pPr>
              <w:spacing w:line="360" w:lineRule="auto"/>
              <w:rPr>
                <w:i/>
                <w:iCs/>
                <w:sz w:val="22"/>
                <w:szCs w:val="22"/>
              </w:rPr>
            </w:pPr>
            <w:r w:rsidRPr="005B3EA5">
              <w:rPr>
                <w:i/>
                <w:iCs/>
                <w:sz w:val="22"/>
                <w:szCs w:val="22"/>
              </w:rPr>
              <w:t>2</w:t>
            </w:r>
            <w:r w:rsidRPr="005B3EA5">
              <w:rPr>
                <w:i/>
                <w:iCs/>
                <w:sz w:val="22"/>
                <w:szCs w:val="22"/>
                <w:vertAlign w:val="superscript"/>
              </w:rPr>
              <w:t>nd</w:t>
            </w:r>
            <w:r w:rsidRPr="005B3EA5">
              <w:rPr>
                <w:i/>
                <w:iCs/>
                <w:sz w:val="22"/>
                <w:szCs w:val="22"/>
              </w:rPr>
              <w:t xml:space="preserve"> quartile</w:t>
            </w:r>
          </w:p>
        </w:tc>
        <w:tc>
          <w:tcPr>
            <w:tcW w:w="1768" w:type="dxa"/>
            <w:vAlign w:val="center"/>
          </w:tcPr>
          <w:p w:rsidR="00A20529" w:rsidRPr="005B3EA5" w:rsidRDefault="00A20529" w:rsidP="005B3EA5">
            <w:pPr>
              <w:rPr>
                <w:color w:val="000000"/>
                <w:sz w:val="22"/>
                <w:szCs w:val="22"/>
              </w:rPr>
            </w:pPr>
            <w:r w:rsidRPr="005B3EA5">
              <w:rPr>
                <w:color w:val="000000"/>
                <w:sz w:val="22"/>
                <w:szCs w:val="22"/>
              </w:rPr>
              <w:t xml:space="preserve"> 1.20 (0.99, 1.46)</w:t>
            </w:r>
          </w:p>
        </w:tc>
        <w:tc>
          <w:tcPr>
            <w:tcW w:w="1793" w:type="dxa"/>
            <w:vAlign w:val="center"/>
          </w:tcPr>
          <w:p w:rsidR="00A20529" w:rsidRPr="005B3EA5" w:rsidRDefault="00A20529" w:rsidP="005B3EA5">
            <w:pPr>
              <w:rPr>
                <w:color w:val="000000"/>
                <w:sz w:val="22"/>
                <w:szCs w:val="22"/>
              </w:rPr>
            </w:pPr>
            <w:r w:rsidRPr="005B3EA5">
              <w:rPr>
                <w:color w:val="000000"/>
                <w:sz w:val="22"/>
                <w:szCs w:val="22"/>
              </w:rPr>
              <w:t xml:space="preserve"> 1.12 (0.90, 1.40)</w:t>
            </w:r>
          </w:p>
        </w:tc>
        <w:tc>
          <w:tcPr>
            <w:tcW w:w="1824" w:type="dxa"/>
            <w:vAlign w:val="center"/>
          </w:tcPr>
          <w:p w:rsidR="00A20529" w:rsidRPr="005B3EA5" w:rsidRDefault="00A20529" w:rsidP="005B3EA5">
            <w:pPr>
              <w:rPr>
                <w:color w:val="000000"/>
                <w:sz w:val="22"/>
                <w:szCs w:val="22"/>
              </w:rPr>
            </w:pPr>
            <w:r w:rsidRPr="005B3EA5">
              <w:rPr>
                <w:color w:val="000000"/>
                <w:sz w:val="22"/>
                <w:szCs w:val="22"/>
              </w:rPr>
              <w:t xml:space="preserve"> 1.06 (0.71, 1.57)</w:t>
            </w:r>
          </w:p>
        </w:tc>
        <w:tc>
          <w:tcPr>
            <w:tcW w:w="1812" w:type="dxa"/>
            <w:vAlign w:val="center"/>
          </w:tcPr>
          <w:p w:rsidR="00A20529" w:rsidRPr="005B3EA5" w:rsidRDefault="00A20529" w:rsidP="005B3EA5">
            <w:pPr>
              <w:rPr>
                <w:color w:val="000000"/>
                <w:sz w:val="22"/>
                <w:szCs w:val="22"/>
              </w:rPr>
            </w:pPr>
            <w:r w:rsidRPr="005B3EA5">
              <w:rPr>
                <w:color w:val="000000"/>
                <w:sz w:val="22"/>
                <w:szCs w:val="22"/>
              </w:rPr>
              <w:t xml:space="preserve"> 1.08 (0.84, 1.40)</w:t>
            </w:r>
          </w:p>
        </w:tc>
        <w:tc>
          <w:tcPr>
            <w:tcW w:w="1854" w:type="dxa"/>
            <w:vAlign w:val="center"/>
          </w:tcPr>
          <w:p w:rsidR="00A20529" w:rsidRPr="005B3EA5" w:rsidRDefault="00A20529" w:rsidP="005B3EA5">
            <w:pPr>
              <w:rPr>
                <w:color w:val="000000"/>
                <w:sz w:val="22"/>
                <w:szCs w:val="22"/>
              </w:rPr>
            </w:pPr>
            <w:r w:rsidRPr="005B3EA5">
              <w:rPr>
                <w:color w:val="000000"/>
                <w:sz w:val="22"/>
                <w:szCs w:val="22"/>
              </w:rPr>
              <w:t xml:space="preserve"> 1.42 (1.09,  1.85)</w:t>
            </w:r>
          </w:p>
        </w:tc>
        <w:tc>
          <w:tcPr>
            <w:tcW w:w="1471" w:type="dxa"/>
            <w:vAlign w:val="center"/>
          </w:tcPr>
          <w:p w:rsidR="00A20529" w:rsidRPr="005B3EA5" w:rsidRDefault="00A20529" w:rsidP="005B3EA5">
            <w:pPr>
              <w:rPr>
                <w:sz w:val="22"/>
                <w:szCs w:val="22"/>
              </w:rPr>
            </w:pPr>
          </w:p>
        </w:tc>
      </w:tr>
      <w:tr w:rsidR="00A20529" w:rsidRPr="005B3EA5" w:rsidTr="001E4134">
        <w:trPr>
          <w:trHeight w:hRule="exact" w:val="340"/>
        </w:trPr>
        <w:tc>
          <w:tcPr>
            <w:tcW w:w="2740" w:type="dxa"/>
            <w:vAlign w:val="center"/>
          </w:tcPr>
          <w:p w:rsidR="00A20529" w:rsidRPr="005B3EA5" w:rsidRDefault="00A20529" w:rsidP="005B3EA5">
            <w:pPr>
              <w:spacing w:line="360" w:lineRule="auto"/>
              <w:rPr>
                <w:sz w:val="22"/>
                <w:szCs w:val="22"/>
              </w:rPr>
            </w:pPr>
          </w:p>
        </w:tc>
        <w:tc>
          <w:tcPr>
            <w:tcW w:w="1479" w:type="dxa"/>
            <w:gridSpan w:val="2"/>
            <w:vAlign w:val="center"/>
          </w:tcPr>
          <w:p w:rsidR="00A20529" w:rsidRPr="005B3EA5" w:rsidRDefault="00A20529" w:rsidP="005B3EA5">
            <w:pPr>
              <w:spacing w:line="360" w:lineRule="auto"/>
              <w:rPr>
                <w:i/>
                <w:iCs/>
                <w:sz w:val="22"/>
                <w:szCs w:val="22"/>
              </w:rPr>
            </w:pPr>
            <w:r w:rsidRPr="005B3EA5">
              <w:rPr>
                <w:i/>
                <w:iCs/>
                <w:sz w:val="22"/>
                <w:szCs w:val="22"/>
              </w:rPr>
              <w:t>3</w:t>
            </w:r>
            <w:r w:rsidRPr="005B3EA5">
              <w:rPr>
                <w:i/>
                <w:iCs/>
                <w:sz w:val="22"/>
                <w:szCs w:val="22"/>
                <w:vertAlign w:val="superscript"/>
              </w:rPr>
              <w:t>rd</w:t>
            </w:r>
            <w:r w:rsidRPr="005B3EA5">
              <w:rPr>
                <w:i/>
                <w:iCs/>
                <w:sz w:val="22"/>
                <w:szCs w:val="22"/>
              </w:rPr>
              <w:t xml:space="preserve"> quartile</w:t>
            </w:r>
          </w:p>
        </w:tc>
        <w:tc>
          <w:tcPr>
            <w:tcW w:w="1768" w:type="dxa"/>
            <w:vAlign w:val="center"/>
          </w:tcPr>
          <w:p w:rsidR="00A20529" w:rsidRPr="005B3EA5" w:rsidRDefault="00A20529" w:rsidP="005B3EA5">
            <w:pPr>
              <w:rPr>
                <w:color w:val="000000"/>
                <w:sz w:val="22"/>
                <w:szCs w:val="22"/>
              </w:rPr>
            </w:pPr>
            <w:r w:rsidRPr="005B3EA5">
              <w:rPr>
                <w:color w:val="000000"/>
                <w:sz w:val="22"/>
                <w:szCs w:val="22"/>
              </w:rPr>
              <w:t xml:space="preserve"> 1.33 (1.06, 1.66)</w:t>
            </w:r>
          </w:p>
        </w:tc>
        <w:tc>
          <w:tcPr>
            <w:tcW w:w="1793" w:type="dxa"/>
            <w:vAlign w:val="center"/>
          </w:tcPr>
          <w:p w:rsidR="00A20529" w:rsidRPr="005B3EA5" w:rsidRDefault="00A20529" w:rsidP="005B3EA5">
            <w:pPr>
              <w:rPr>
                <w:color w:val="000000"/>
                <w:sz w:val="22"/>
                <w:szCs w:val="22"/>
              </w:rPr>
            </w:pPr>
            <w:r w:rsidRPr="005B3EA5">
              <w:rPr>
                <w:color w:val="000000"/>
                <w:sz w:val="22"/>
                <w:szCs w:val="22"/>
              </w:rPr>
              <w:t xml:space="preserve"> 1.38 (1.07, 1.77)</w:t>
            </w:r>
          </w:p>
        </w:tc>
        <w:tc>
          <w:tcPr>
            <w:tcW w:w="1824" w:type="dxa"/>
            <w:vAlign w:val="center"/>
          </w:tcPr>
          <w:p w:rsidR="00A20529" w:rsidRPr="005B3EA5" w:rsidRDefault="00A20529" w:rsidP="005B3EA5">
            <w:pPr>
              <w:rPr>
                <w:color w:val="000000"/>
                <w:sz w:val="22"/>
                <w:szCs w:val="22"/>
              </w:rPr>
            </w:pPr>
            <w:r w:rsidRPr="005B3EA5">
              <w:rPr>
                <w:color w:val="000000"/>
                <w:sz w:val="22"/>
                <w:szCs w:val="22"/>
              </w:rPr>
              <w:t xml:space="preserve"> 1.21 (0.76, 1.92)</w:t>
            </w:r>
          </w:p>
        </w:tc>
        <w:tc>
          <w:tcPr>
            <w:tcW w:w="1812" w:type="dxa"/>
            <w:vAlign w:val="center"/>
          </w:tcPr>
          <w:p w:rsidR="00A20529" w:rsidRPr="005B3EA5" w:rsidRDefault="00A20529" w:rsidP="005B3EA5">
            <w:pPr>
              <w:rPr>
                <w:color w:val="000000"/>
                <w:sz w:val="22"/>
                <w:szCs w:val="22"/>
              </w:rPr>
            </w:pPr>
            <w:r w:rsidRPr="005B3EA5">
              <w:rPr>
                <w:color w:val="000000"/>
                <w:sz w:val="22"/>
                <w:szCs w:val="22"/>
              </w:rPr>
              <w:t xml:space="preserve"> 1.52 (1.15, 2.02)</w:t>
            </w:r>
          </w:p>
        </w:tc>
        <w:tc>
          <w:tcPr>
            <w:tcW w:w="1854" w:type="dxa"/>
            <w:vAlign w:val="center"/>
          </w:tcPr>
          <w:p w:rsidR="00A20529" w:rsidRPr="005B3EA5" w:rsidRDefault="00A20529" w:rsidP="005B3EA5">
            <w:pPr>
              <w:rPr>
                <w:color w:val="000000"/>
                <w:sz w:val="22"/>
                <w:szCs w:val="22"/>
              </w:rPr>
            </w:pPr>
            <w:r w:rsidRPr="005B3EA5">
              <w:rPr>
                <w:color w:val="000000"/>
                <w:sz w:val="22"/>
                <w:szCs w:val="22"/>
              </w:rPr>
              <w:t xml:space="preserve"> 1.81 (1.35,  2.43)</w:t>
            </w:r>
          </w:p>
        </w:tc>
        <w:tc>
          <w:tcPr>
            <w:tcW w:w="1471" w:type="dxa"/>
            <w:vAlign w:val="center"/>
          </w:tcPr>
          <w:p w:rsidR="00A20529" w:rsidRPr="005B3EA5" w:rsidRDefault="00A20529" w:rsidP="005B3EA5">
            <w:pPr>
              <w:rPr>
                <w:sz w:val="22"/>
                <w:szCs w:val="22"/>
              </w:rPr>
            </w:pPr>
          </w:p>
        </w:tc>
      </w:tr>
      <w:tr w:rsidR="00A20529" w:rsidRPr="005B3EA5" w:rsidTr="001E4134">
        <w:trPr>
          <w:trHeight w:hRule="exact" w:val="340"/>
        </w:trPr>
        <w:tc>
          <w:tcPr>
            <w:tcW w:w="2740" w:type="dxa"/>
            <w:vAlign w:val="center"/>
          </w:tcPr>
          <w:p w:rsidR="00A20529" w:rsidRPr="005B3EA5" w:rsidRDefault="00A20529" w:rsidP="005B3EA5">
            <w:pPr>
              <w:spacing w:line="360" w:lineRule="auto"/>
              <w:rPr>
                <w:sz w:val="22"/>
                <w:szCs w:val="22"/>
              </w:rPr>
            </w:pPr>
          </w:p>
        </w:tc>
        <w:tc>
          <w:tcPr>
            <w:tcW w:w="1479" w:type="dxa"/>
            <w:gridSpan w:val="2"/>
            <w:vAlign w:val="center"/>
          </w:tcPr>
          <w:p w:rsidR="00A20529" w:rsidRPr="005B3EA5" w:rsidRDefault="00A20529" w:rsidP="005B3EA5">
            <w:pPr>
              <w:spacing w:line="360" w:lineRule="auto"/>
              <w:rPr>
                <w:i/>
                <w:iCs/>
                <w:sz w:val="22"/>
                <w:szCs w:val="22"/>
              </w:rPr>
            </w:pPr>
            <w:r w:rsidRPr="005B3EA5">
              <w:rPr>
                <w:i/>
                <w:iCs/>
                <w:sz w:val="22"/>
                <w:szCs w:val="22"/>
              </w:rPr>
              <w:t>4</w:t>
            </w:r>
            <w:r w:rsidRPr="005B3EA5">
              <w:rPr>
                <w:i/>
                <w:iCs/>
                <w:sz w:val="22"/>
                <w:szCs w:val="22"/>
                <w:vertAlign w:val="superscript"/>
              </w:rPr>
              <w:t>th</w:t>
            </w:r>
            <w:r w:rsidRPr="005B3EA5">
              <w:rPr>
                <w:i/>
                <w:iCs/>
                <w:sz w:val="22"/>
                <w:szCs w:val="22"/>
              </w:rPr>
              <w:t xml:space="preserve"> quartile</w:t>
            </w:r>
          </w:p>
        </w:tc>
        <w:tc>
          <w:tcPr>
            <w:tcW w:w="1768" w:type="dxa"/>
            <w:vAlign w:val="center"/>
          </w:tcPr>
          <w:p w:rsidR="00A20529" w:rsidRPr="005B3EA5" w:rsidRDefault="00A20529" w:rsidP="005B3EA5">
            <w:pPr>
              <w:rPr>
                <w:color w:val="000000"/>
                <w:sz w:val="22"/>
                <w:szCs w:val="22"/>
              </w:rPr>
            </w:pPr>
            <w:r w:rsidRPr="005B3EA5">
              <w:rPr>
                <w:color w:val="000000"/>
                <w:sz w:val="22"/>
                <w:szCs w:val="22"/>
              </w:rPr>
              <w:t xml:space="preserve"> 1.78 (1.45, 2.18)</w:t>
            </w:r>
          </w:p>
        </w:tc>
        <w:tc>
          <w:tcPr>
            <w:tcW w:w="1793" w:type="dxa"/>
            <w:vAlign w:val="center"/>
          </w:tcPr>
          <w:p w:rsidR="00A20529" w:rsidRPr="005B3EA5" w:rsidRDefault="00A20529" w:rsidP="005B3EA5">
            <w:pPr>
              <w:rPr>
                <w:color w:val="000000"/>
                <w:sz w:val="22"/>
                <w:szCs w:val="22"/>
              </w:rPr>
            </w:pPr>
            <w:r w:rsidRPr="005B3EA5">
              <w:rPr>
                <w:color w:val="000000"/>
                <w:sz w:val="22"/>
                <w:szCs w:val="22"/>
              </w:rPr>
              <w:t xml:space="preserve"> 1.86 (1.48, 2.33)</w:t>
            </w:r>
          </w:p>
        </w:tc>
        <w:tc>
          <w:tcPr>
            <w:tcW w:w="1824" w:type="dxa"/>
            <w:vAlign w:val="center"/>
          </w:tcPr>
          <w:p w:rsidR="00A20529" w:rsidRPr="005B3EA5" w:rsidRDefault="00A20529" w:rsidP="005B3EA5">
            <w:pPr>
              <w:rPr>
                <w:color w:val="000000"/>
                <w:sz w:val="22"/>
                <w:szCs w:val="22"/>
              </w:rPr>
            </w:pPr>
            <w:r w:rsidRPr="005B3EA5">
              <w:rPr>
                <w:color w:val="000000"/>
                <w:sz w:val="22"/>
                <w:szCs w:val="22"/>
              </w:rPr>
              <w:t xml:space="preserve"> 1.46 (0.96, 2.22)</w:t>
            </w:r>
          </w:p>
        </w:tc>
        <w:tc>
          <w:tcPr>
            <w:tcW w:w="1812" w:type="dxa"/>
            <w:vAlign w:val="center"/>
          </w:tcPr>
          <w:p w:rsidR="00A20529" w:rsidRPr="005B3EA5" w:rsidRDefault="00A20529" w:rsidP="005B3EA5">
            <w:pPr>
              <w:rPr>
                <w:color w:val="000000"/>
                <w:sz w:val="22"/>
                <w:szCs w:val="22"/>
              </w:rPr>
            </w:pPr>
            <w:r w:rsidRPr="005B3EA5">
              <w:rPr>
                <w:color w:val="000000"/>
                <w:sz w:val="22"/>
                <w:szCs w:val="22"/>
              </w:rPr>
              <w:t xml:space="preserve"> 1.51 (1.15, 1.99)</w:t>
            </w:r>
          </w:p>
        </w:tc>
        <w:tc>
          <w:tcPr>
            <w:tcW w:w="1854" w:type="dxa"/>
            <w:vAlign w:val="center"/>
          </w:tcPr>
          <w:p w:rsidR="00A20529" w:rsidRPr="005B3EA5" w:rsidRDefault="00A20529" w:rsidP="005B3EA5">
            <w:pPr>
              <w:rPr>
                <w:color w:val="000000"/>
                <w:sz w:val="22"/>
                <w:szCs w:val="22"/>
              </w:rPr>
            </w:pPr>
            <w:r w:rsidRPr="005B3EA5">
              <w:rPr>
                <w:color w:val="000000"/>
                <w:sz w:val="22"/>
                <w:szCs w:val="22"/>
              </w:rPr>
              <w:t xml:space="preserve"> 2.54 (1.95,  3.31)</w:t>
            </w:r>
          </w:p>
        </w:tc>
        <w:tc>
          <w:tcPr>
            <w:tcW w:w="1471" w:type="dxa"/>
            <w:vAlign w:val="center"/>
          </w:tcPr>
          <w:p w:rsidR="00A20529" w:rsidRPr="005B3EA5" w:rsidRDefault="005B3EA5" w:rsidP="005B3EA5">
            <w:pPr>
              <w:rPr>
                <w:sz w:val="22"/>
                <w:szCs w:val="22"/>
              </w:rPr>
            </w:pPr>
            <w:r w:rsidRPr="005B3EA5">
              <w:rPr>
                <w:sz w:val="22"/>
                <w:szCs w:val="22"/>
              </w:rPr>
              <w:t>0.06</w:t>
            </w:r>
          </w:p>
        </w:tc>
      </w:tr>
    </w:tbl>
    <w:p w:rsidR="005B3EA5" w:rsidRDefault="005B3EA5" w:rsidP="005B3EA5">
      <w:pPr>
        <w:tabs>
          <w:tab w:val="right" w:pos="540"/>
          <w:tab w:val="left" w:pos="720"/>
        </w:tabs>
        <w:spacing w:before="120"/>
        <w:rPr>
          <w:sz w:val="22"/>
          <w:szCs w:val="22"/>
        </w:rPr>
      </w:pPr>
      <w:r>
        <w:rPr>
          <w:sz w:val="22"/>
          <w:szCs w:val="22"/>
        </w:rPr>
        <w:t xml:space="preserve">* </w:t>
      </w:r>
      <w:r w:rsidRPr="00FB34E0">
        <w:rPr>
          <w:sz w:val="22"/>
          <w:szCs w:val="22"/>
        </w:rPr>
        <w:t>compared with never/infrequent wheezing</w:t>
      </w:r>
      <w:r>
        <w:rPr>
          <w:sz w:val="22"/>
          <w:szCs w:val="22"/>
        </w:rPr>
        <w:t xml:space="preserve"> (N=4915)</w:t>
      </w:r>
      <w:r w:rsidRPr="00B970E2">
        <w:rPr>
          <w:sz w:val="22"/>
          <w:szCs w:val="22"/>
        </w:rPr>
        <w:t xml:space="preserve"> </w:t>
      </w:r>
      <w:r>
        <w:rPr>
          <w:sz w:val="22"/>
          <w:szCs w:val="22"/>
        </w:rPr>
        <w:t>and u</w:t>
      </w:r>
      <w:r w:rsidR="00FC2D88" w:rsidRPr="00B970E2">
        <w:rPr>
          <w:sz w:val="22"/>
          <w:szCs w:val="22"/>
        </w:rPr>
        <w:t>sing each child’s phenotype</w:t>
      </w:r>
      <w:r w:rsidR="007152E9">
        <w:rPr>
          <w:sz w:val="22"/>
          <w:szCs w:val="22"/>
        </w:rPr>
        <w:t xml:space="preserve"> probability as weights</w:t>
      </w:r>
      <w:r>
        <w:rPr>
          <w:sz w:val="22"/>
          <w:szCs w:val="22"/>
        </w:rPr>
        <w:t>.</w:t>
      </w:r>
    </w:p>
    <w:p w:rsidR="009558E1" w:rsidRDefault="006B70BB" w:rsidP="005B3EA5">
      <w:pPr>
        <w:tabs>
          <w:tab w:val="right" w:pos="540"/>
          <w:tab w:val="left" w:pos="720"/>
        </w:tabs>
        <w:spacing w:before="120"/>
        <w:rPr>
          <w:color w:val="000000"/>
          <w:sz w:val="22"/>
          <w:szCs w:val="22"/>
        </w:rPr>
        <w:sectPr w:rsidR="009558E1" w:rsidSect="00D447CA">
          <w:pgSz w:w="16838" w:h="11906" w:orient="landscape" w:code="9"/>
          <w:pgMar w:top="567" w:right="1440" w:bottom="340" w:left="1440" w:header="709" w:footer="709" w:gutter="0"/>
          <w:cols w:space="708"/>
          <w:docGrid w:linePitch="360"/>
        </w:sectPr>
      </w:pPr>
      <w:r>
        <w:rPr>
          <w:color w:val="000000"/>
          <w:sz w:val="22"/>
          <w:szCs w:val="22"/>
        </w:rPr>
        <w:t>+ Chi-squared test across phenotypes</w:t>
      </w:r>
    </w:p>
    <w:p w:rsidR="009558E1" w:rsidRDefault="009558E1" w:rsidP="009558E1">
      <w:pPr>
        <w:spacing w:after="240"/>
        <w:ind w:left="720" w:hanging="720"/>
        <w:rPr>
          <w:sz w:val="22"/>
          <w:szCs w:val="22"/>
        </w:rPr>
      </w:pPr>
      <w:r w:rsidRPr="00DF3DAE">
        <w:rPr>
          <w:b/>
          <w:sz w:val="22"/>
          <w:szCs w:val="22"/>
        </w:rPr>
        <w:lastRenderedPageBreak/>
        <w:t>REFERENCES</w:t>
      </w:r>
    </w:p>
    <w:p w:rsidR="005B45A8" w:rsidRPr="005B45A8" w:rsidRDefault="005B45A8" w:rsidP="005B45A8">
      <w:pPr>
        <w:spacing w:line="480" w:lineRule="auto"/>
        <w:ind w:left="720" w:hanging="720"/>
        <w:rPr>
          <w:noProof/>
          <w:szCs w:val="22"/>
        </w:rPr>
      </w:pPr>
      <w:bookmarkStart w:id="0" w:name="_ENREF_1"/>
      <w:r w:rsidRPr="005B45A8">
        <w:rPr>
          <w:noProof/>
          <w:szCs w:val="22"/>
        </w:rPr>
        <w:t>1. Cookson H, Granell R, Joinson C, Ben-Shlomo Y, Henderson AJ (2009) Mothers' anxiety during pregnancy is associated with asthma in their children. JAllergy ClinImmunol 123: 847-853.</w:t>
      </w:r>
      <w:bookmarkEnd w:id="0"/>
    </w:p>
    <w:p w:rsidR="005B45A8" w:rsidRPr="005B45A8" w:rsidRDefault="005B45A8" w:rsidP="005B45A8">
      <w:pPr>
        <w:spacing w:line="480" w:lineRule="auto"/>
        <w:ind w:left="720" w:hanging="720"/>
        <w:rPr>
          <w:noProof/>
          <w:szCs w:val="22"/>
        </w:rPr>
      </w:pPr>
      <w:bookmarkStart w:id="1" w:name="_ENREF_2"/>
      <w:r w:rsidRPr="005B45A8">
        <w:rPr>
          <w:noProof/>
          <w:szCs w:val="22"/>
        </w:rPr>
        <w:t>2. Henderson J, Granell R, Heron J, Sherriff A, Simpson A, et al. (2008) Associations of wheezing phenotypes in the first six years of life with atopy, lung function and airway responsiveness in mid childhood. Thorax.</w:t>
      </w:r>
      <w:bookmarkEnd w:id="1"/>
    </w:p>
    <w:p w:rsidR="005B45A8" w:rsidRPr="005B45A8" w:rsidRDefault="005B45A8" w:rsidP="005B45A8">
      <w:pPr>
        <w:spacing w:line="480" w:lineRule="auto"/>
        <w:ind w:left="720" w:hanging="720"/>
        <w:rPr>
          <w:noProof/>
          <w:szCs w:val="22"/>
        </w:rPr>
      </w:pPr>
      <w:bookmarkStart w:id="2" w:name="_ENREF_3"/>
      <w:r w:rsidRPr="005B45A8">
        <w:rPr>
          <w:noProof/>
          <w:szCs w:val="22"/>
        </w:rPr>
        <w:t>3. Savenije OE and Granell R CD, Koppelman GH, Smit HA, Wijga A,</w:t>
      </w:r>
      <w:r w:rsidR="005040A3" w:rsidRPr="005040A3">
        <w:rPr>
          <w:noProof/>
          <w:szCs w:val="22"/>
        </w:rPr>
        <w:t xml:space="preserve"> </w:t>
      </w:r>
      <w:r w:rsidR="005040A3">
        <w:rPr>
          <w:noProof/>
          <w:szCs w:val="22"/>
        </w:rPr>
        <w:t>et al</w:t>
      </w:r>
      <w:r w:rsidRPr="005B45A8">
        <w:rPr>
          <w:noProof/>
          <w:szCs w:val="22"/>
        </w:rPr>
        <w:t>. (2011) Comparison of childhood wheezing phenotypes in 2 birth cohorts: ALSPAC and PIAMA. J Allergy Clin Immunol 127: 1505-1512.</w:t>
      </w:r>
      <w:bookmarkEnd w:id="2"/>
    </w:p>
    <w:p w:rsidR="005B45A8" w:rsidRDefault="005B45A8" w:rsidP="005B45A8">
      <w:pPr>
        <w:rPr>
          <w:noProof/>
          <w:szCs w:val="22"/>
        </w:rPr>
      </w:pPr>
    </w:p>
    <w:p w:rsidR="0020346B" w:rsidRPr="00FD3EB5" w:rsidRDefault="0020346B" w:rsidP="009558E1">
      <w:pPr>
        <w:spacing w:line="480" w:lineRule="auto"/>
        <w:ind w:left="720" w:hanging="720"/>
        <w:rPr>
          <w:sz w:val="22"/>
          <w:szCs w:val="22"/>
        </w:rPr>
      </w:pPr>
    </w:p>
    <w:sectPr w:rsidR="0020346B" w:rsidRPr="00FD3EB5" w:rsidSect="009558E1">
      <w:pgSz w:w="11906" w:h="16838" w:code="9"/>
      <w:pgMar w:top="1440" w:right="340" w:bottom="144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EA5" w:rsidRDefault="005B3EA5" w:rsidP="00993307">
      <w:r>
        <w:separator/>
      </w:r>
    </w:p>
  </w:endnote>
  <w:endnote w:type="continuationSeparator" w:id="0">
    <w:p w:rsidR="005B3EA5" w:rsidRDefault="005B3EA5" w:rsidP="009933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0391"/>
      <w:docPartObj>
        <w:docPartGallery w:val="Page Numbers (Bottom of Page)"/>
        <w:docPartUnique/>
      </w:docPartObj>
    </w:sdtPr>
    <w:sdtContent>
      <w:p w:rsidR="007A2191" w:rsidRDefault="007A2191">
        <w:pPr>
          <w:pStyle w:val="Footer"/>
          <w:jc w:val="center"/>
        </w:pPr>
        <w:fldSimple w:instr=" PAGE   \* MERGEFORMAT ">
          <w:r>
            <w:rPr>
              <w:noProof/>
            </w:rPr>
            <w:t>5</w:t>
          </w:r>
        </w:fldSimple>
      </w:p>
    </w:sdtContent>
  </w:sdt>
  <w:p w:rsidR="005B3EA5" w:rsidRDefault="005B3E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EA5" w:rsidRDefault="005B3EA5" w:rsidP="00993307">
      <w:r>
        <w:separator/>
      </w:r>
    </w:p>
  </w:footnote>
  <w:footnote w:type="continuationSeparator" w:id="0">
    <w:p w:rsidR="005B3EA5" w:rsidRDefault="005B3EA5" w:rsidP="00993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547"/>
      <w:docPartObj>
        <w:docPartGallery w:val="Page Numbers (Top of Page)"/>
        <w:docPartUnique/>
      </w:docPartObj>
    </w:sdtPr>
    <w:sdtContent>
      <w:p w:rsidR="005B3EA5" w:rsidRDefault="005B3EA5">
        <w:pPr>
          <w:pStyle w:val="Header"/>
          <w:jc w:val="right"/>
        </w:pPr>
        <w:proofErr w:type="spellStart"/>
        <w:r>
          <w:t>Granell</w:t>
        </w:r>
        <w:proofErr w:type="spellEnd"/>
        <w:r>
          <w:t xml:space="preserve"> </w:t>
        </w:r>
        <w:fldSimple w:instr=" PAGE   \* MERGEFORMAT ">
          <w:r w:rsidR="007A2191">
            <w:rPr>
              <w:noProof/>
            </w:rPr>
            <w:t>5</w:t>
          </w:r>
        </w:fldSimple>
      </w:p>
    </w:sdtContent>
  </w:sdt>
  <w:p w:rsidR="005B3EA5" w:rsidRDefault="005B3E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Layout&gt;"/>
    <w:docVar w:name="EN.Libraries" w:val="&lt;Libraries&gt;&lt;item db-id=&quot;dswx0rre5erxzjepeftvprw99pt55dt9tapa&quot;&gt;John&amp;apos;s library&lt;record-ids&gt;&lt;item&gt;229&lt;/item&gt;&lt;item&gt;489&lt;/item&gt;&lt;item&gt;3116&lt;/item&gt;&lt;/record-ids&gt;&lt;/item&gt;&lt;/Libraries&gt;"/>
  </w:docVars>
  <w:rsids>
    <w:rsidRoot w:val="00F97CF9"/>
    <w:rsid w:val="00006538"/>
    <w:rsid w:val="000355E4"/>
    <w:rsid w:val="00055B03"/>
    <w:rsid w:val="00072402"/>
    <w:rsid w:val="00093AC2"/>
    <w:rsid w:val="000B2254"/>
    <w:rsid w:val="000B44D8"/>
    <w:rsid w:val="000C45EE"/>
    <w:rsid w:val="000D485D"/>
    <w:rsid w:val="000D4E4A"/>
    <w:rsid w:val="0011301A"/>
    <w:rsid w:val="00161A96"/>
    <w:rsid w:val="00190D99"/>
    <w:rsid w:val="001E4134"/>
    <w:rsid w:val="001E4D06"/>
    <w:rsid w:val="001F63FC"/>
    <w:rsid w:val="0020346B"/>
    <w:rsid w:val="002064AA"/>
    <w:rsid w:val="002424B0"/>
    <w:rsid w:val="0024487B"/>
    <w:rsid w:val="00275A9F"/>
    <w:rsid w:val="002A5508"/>
    <w:rsid w:val="002B5763"/>
    <w:rsid w:val="0030553C"/>
    <w:rsid w:val="00310FD8"/>
    <w:rsid w:val="00347296"/>
    <w:rsid w:val="00352C1F"/>
    <w:rsid w:val="00370E13"/>
    <w:rsid w:val="003E799C"/>
    <w:rsid w:val="003F10E5"/>
    <w:rsid w:val="004404CD"/>
    <w:rsid w:val="0045646D"/>
    <w:rsid w:val="00467E1C"/>
    <w:rsid w:val="00480715"/>
    <w:rsid w:val="00481752"/>
    <w:rsid w:val="004A784C"/>
    <w:rsid w:val="004A792D"/>
    <w:rsid w:val="004B0DFF"/>
    <w:rsid w:val="004C5008"/>
    <w:rsid w:val="004C7952"/>
    <w:rsid w:val="004F6FDF"/>
    <w:rsid w:val="005040A3"/>
    <w:rsid w:val="005070C8"/>
    <w:rsid w:val="0051040D"/>
    <w:rsid w:val="0053250C"/>
    <w:rsid w:val="005326F9"/>
    <w:rsid w:val="005457F8"/>
    <w:rsid w:val="00547D76"/>
    <w:rsid w:val="00560D00"/>
    <w:rsid w:val="005917CA"/>
    <w:rsid w:val="005969A3"/>
    <w:rsid w:val="005A1008"/>
    <w:rsid w:val="005B103C"/>
    <w:rsid w:val="005B3EA5"/>
    <w:rsid w:val="005B45A8"/>
    <w:rsid w:val="005C1EF7"/>
    <w:rsid w:val="005C42B3"/>
    <w:rsid w:val="005E5B46"/>
    <w:rsid w:val="0060530E"/>
    <w:rsid w:val="00617E0D"/>
    <w:rsid w:val="00627D27"/>
    <w:rsid w:val="006309F0"/>
    <w:rsid w:val="00633C68"/>
    <w:rsid w:val="00640110"/>
    <w:rsid w:val="0066610B"/>
    <w:rsid w:val="00670069"/>
    <w:rsid w:val="006733EE"/>
    <w:rsid w:val="00681ACB"/>
    <w:rsid w:val="006832C5"/>
    <w:rsid w:val="00695DC6"/>
    <w:rsid w:val="006A42CA"/>
    <w:rsid w:val="006A465F"/>
    <w:rsid w:val="006A7F06"/>
    <w:rsid w:val="006B70BB"/>
    <w:rsid w:val="006C2E9C"/>
    <w:rsid w:val="006C4550"/>
    <w:rsid w:val="006E5B90"/>
    <w:rsid w:val="007152E9"/>
    <w:rsid w:val="007430B3"/>
    <w:rsid w:val="00762E4C"/>
    <w:rsid w:val="007762D8"/>
    <w:rsid w:val="00785CC2"/>
    <w:rsid w:val="007A2191"/>
    <w:rsid w:val="007D2786"/>
    <w:rsid w:val="007E4FAA"/>
    <w:rsid w:val="007E6BF0"/>
    <w:rsid w:val="00831EA2"/>
    <w:rsid w:val="008411CB"/>
    <w:rsid w:val="00857357"/>
    <w:rsid w:val="00857EC7"/>
    <w:rsid w:val="00863704"/>
    <w:rsid w:val="00890BCE"/>
    <w:rsid w:val="00890ED2"/>
    <w:rsid w:val="008F54F3"/>
    <w:rsid w:val="00900034"/>
    <w:rsid w:val="0095494E"/>
    <w:rsid w:val="009558E1"/>
    <w:rsid w:val="00961CD1"/>
    <w:rsid w:val="00993307"/>
    <w:rsid w:val="009A3D93"/>
    <w:rsid w:val="009B4745"/>
    <w:rsid w:val="009C02AC"/>
    <w:rsid w:val="009C3A52"/>
    <w:rsid w:val="009F027F"/>
    <w:rsid w:val="00A20529"/>
    <w:rsid w:val="00A21F52"/>
    <w:rsid w:val="00A63F8C"/>
    <w:rsid w:val="00A93D0B"/>
    <w:rsid w:val="00B019FD"/>
    <w:rsid w:val="00B71627"/>
    <w:rsid w:val="00B76EC6"/>
    <w:rsid w:val="00B80D42"/>
    <w:rsid w:val="00B970E2"/>
    <w:rsid w:val="00BA7C52"/>
    <w:rsid w:val="00BD36D8"/>
    <w:rsid w:val="00BD7A3B"/>
    <w:rsid w:val="00BE4DCE"/>
    <w:rsid w:val="00BF7203"/>
    <w:rsid w:val="00C01DED"/>
    <w:rsid w:val="00C02AD1"/>
    <w:rsid w:val="00C221CF"/>
    <w:rsid w:val="00C23409"/>
    <w:rsid w:val="00C533A7"/>
    <w:rsid w:val="00C56A44"/>
    <w:rsid w:val="00C84EC5"/>
    <w:rsid w:val="00CE708A"/>
    <w:rsid w:val="00CF5931"/>
    <w:rsid w:val="00CF7F79"/>
    <w:rsid w:val="00D05EAA"/>
    <w:rsid w:val="00D447CA"/>
    <w:rsid w:val="00D521CE"/>
    <w:rsid w:val="00D5772A"/>
    <w:rsid w:val="00D94BBA"/>
    <w:rsid w:val="00DA0DAF"/>
    <w:rsid w:val="00DC629B"/>
    <w:rsid w:val="00DD2B68"/>
    <w:rsid w:val="00DE0701"/>
    <w:rsid w:val="00DF3DAE"/>
    <w:rsid w:val="00E03B03"/>
    <w:rsid w:val="00E04733"/>
    <w:rsid w:val="00E13710"/>
    <w:rsid w:val="00E50D6A"/>
    <w:rsid w:val="00E674CC"/>
    <w:rsid w:val="00E81CF4"/>
    <w:rsid w:val="00E91503"/>
    <w:rsid w:val="00E96264"/>
    <w:rsid w:val="00EB2672"/>
    <w:rsid w:val="00EE08A0"/>
    <w:rsid w:val="00EE4714"/>
    <w:rsid w:val="00F27948"/>
    <w:rsid w:val="00F61A83"/>
    <w:rsid w:val="00F7495F"/>
    <w:rsid w:val="00F836D3"/>
    <w:rsid w:val="00F873FB"/>
    <w:rsid w:val="00F97CF9"/>
    <w:rsid w:val="00FA6946"/>
    <w:rsid w:val="00FB2D89"/>
    <w:rsid w:val="00FC2D88"/>
    <w:rsid w:val="00FD3EB5"/>
    <w:rsid w:val="00FD5A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F9"/>
    <w:rPr>
      <w:rFonts w:ascii="Times New Roman" w:eastAsia="Times New Roman" w:hAnsi="Times New Roman"/>
      <w:sz w:val="24"/>
      <w:szCs w:val="24"/>
      <w:lang w:eastAsia="en-US"/>
    </w:rPr>
  </w:style>
  <w:style w:type="paragraph" w:styleId="Heading1">
    <w:name w:val="heading 1"/>
    <w:basedOn w:val="Normal"/>
    <w:next w:val="Normal"/>
    <w:link w:val="Heading1Char"/>
    <w:qFormat/>
    <w:rsid w:val="009C02AC"/>
    <w:pPr>
      <w:keepNext/>
      <w:tabs>
        <w:tab w:val="left" w:pos="2160"/>
      </w:tabs>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97CF9"/>
    <w:pPr>
      <w:spacing w:line="480" w:lineRule="auto"/>
    </w:pPr>
    <w:rPr>
      <w:b/>
      <w:bCs/>
    </w:rPr>
  </w:style>
  <w:style w:type="character" w:customStyle="1" w:styleId="BodyTextChar">
    <w:name w:val="Body Text Char"/>
    <w:basedOn w:val="DefaultParagraphFont"/>
    <w:link w:val="BodyText"/>
    <w:semiHidden/>
    <w:rsid w:val="00F97CF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97CF9"/>
    <w:rPr>
      <w:rFonts w:ascii="Tahoma" w:hAnsi="Tahoma" w:cs="Tahoma"/>
      <w:sz w:val="16"/>
      <w:szCs w:val="16"/>
    </w:rPr>
  </w:style>
  <w:style w:type="character" w:customStyle="1" w:styleId="BalloonTextChar">
    <w:name w:val="Balloon Text Char"/>
    <w:basedOn w:val="DefaultParagraphFont"/>
    <w:link w:val="BalloonText"/>
    <w:uiPriority w:val="99"/>
    <w:semiHidden/>
    <w:rsid w:val="00F97CF9"/>
    <w:rPr>
      <w:rFonts w:ascii="Tahoma" w:eastAsia="Times New Roman" w:hAnsi="Tahoma" w:cs="Tahoma"/>
      <w:sz w:val="16"/>
      <w:szCs w:val="16"/>
    </w:rPr>
  </w:style>
  <w:style w:type="paragraph" w:styleId="PlainText">
    <w:name w:val="Plain Text"/>
    <w:basedOn w:val="Normal"/>
    <w:link w:val="PlainTextChar"/>
    <w:uiPriority w:val="99"/>
    <w:unhideWhenUsed/>
    <w:rsid w:val="00D521CE"/>
    <w:rPr>
      <w:rFonts w:ascii="Consolas" w:hAnsi="Consolas"/>
      <w:sz w:val="21"/>
      <w:szCs w:val="21"/>
      <w:lang w:val="nl-NL" w:eastAsia="nl-NL"/>
    </w:rPr>
  </w:style>
  <w:style w:type="character" w:customStyle="1" w:styleId="PlainTextChar">
    <w:name w:val="Plain Text Char"/>
    <w:basedOn w:val="DefaultParagraphFont"/>
    <w:link w:val="PlainText"/>
    <w:uiPriority w:val="99"/>
    <w:rsid w:val="00D521CE"/>
    <w:rPr>
      <w:rFonts w:ascii="Consolas" w:eastAsia="Times New Roman" w:hAnsi="Consolas"/>
      <w:sz w:val="21"/>
      <w:szCs w:val="21"/>
      <w:lang w:val="nl-NL" w:eastAsia="nl-NL"/>
    </w:rPr>
  </w:style>
  <w:style w:type="table" w:styleId="TableGrid">
    <w:name w:val="Table Grid"/>
    <w:basedOn w:val="TableNormal"/>
    <w:uiPriority w:val="59"/>
    <w:rsid w:val="00FC2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C02AC"/>
    <w:rPr>
      <w:rFonts w:ascii="Times New Roman" w:eastAsia="Times New Roman" w:hAnsi="Times New Roman"/>
      <w:b/>
      <w:bCs/>
      <w:sz w:val="24"/>
      <w:szCs w:val="24"/>
      <w:lang w:eastAsia="en-US"/>
    </w:rPr>
  </w:style>
  <w:style w:type="paragraph" w:styleId="Header">
    <w:name w:val="header"/>
    <w:basedOn w:val="Normal"/>
    <w:link w:val="HeaderChar"/>
    <w:uiPriority w:val="99"/>
    <w:unhideWhenUsed/>
    <w:rsid w:val="00993307"/>
    <w:pPr>
      <w:tabs>
        <w:tab w:val="center" w:pos="4513"/>
        <w:tab w:val="right" w:pos="9026"/>
      </w:tabs>
    </w:pPr>
  </w:style>
  <w:style w:type="character" w:customStyle="1" w:styleId="HeaderChar">
    <w:name w:val="Header Char"/>
    <w:basedOn w:val="DefaultParagraphFont"/>
    <w:link w:val="Header"/>
    <w:uiPriority w:val="99"/>
    <w:rsid w:val="00993307"/>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993307"/>
    <w:pPr>
      <w:tabs>
        <w:tab w:val="center" w:pos="4513"/>
        <w:tab w:val="right" w:pos="9026"/>
      </w:tabs>
    </w:pPr>
  </w:style>
  <w:style w:type="character" w:customStyle="1" w:styleId="FooterChar">
    <w:name w:val="Footer Char"/>
    <w:basedOn w:val="DefaultParagraphFont"/>
    <w:link w:val="Footer"/>
    <w:uiPriority w:val="99"/>
    <w:rsid w:val="00993307"/>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055B03"/>
    <w:rPr>
      <w:color w:val="0000FF" w:themeColor="hyperlink"/>
      <w:u w:val="single"/>
    </w:rPr>
  </w:style>
  <w:style w:type="character" w:styleId="LineNumber">
    <w:name w:val="line number"/>
    <w:basedOn w:val="DefaultParagraphFont"/>
    <w:uiPriority w:val="99"/>
    <w:semiHidden/>
    <w:unhideWhenUsed/>
    <w:rsid w:val="001F63FC"/>
  </w:style>
</w:styles>
</file>

<file path=word/webSettings.xml><?xml version="1.0" encoding="utf-8"?>
<w:webSettings xmlns:r="http://schemas.openxmlformats.org/officeDocument/2006/relationships" xmlns:w="http://schemas.openxmlformats.org/wordprocessingml/2006/main">
  <w:divs>
    <w:div w:id="165438057">
      <w:bodyDiv w:val="1"/>
      <w:marLeft w:val="0"/>
      <w:marRight w:val="0"/>
      <w:marTop w:val="0"/>
      <w:marBottom w:val="0"/>
      <w:divBdr>
        <w:top w:val="none" w:sz="0" w:space="0" w:color="auto"/>
        <w:left w:val="none" w:sz="0" w:space="0" w:color="auto"/>
        <w:bottom w:val="none" w:sz="0" w:space="0" w:color="auto"/>
        <w:right w:val="none" w:sz="0" w:space="0" w:color="auto"/>
      </w:divBdr>
    </w:div>
    <w:div w:id="789006619">
      <w:bodyDiv w:val="1"/>
      <w:marLeft w:val="0"/>
      <w:marRight w:val="0"/>
      <w:marTop w:val="0"/>
      <w:marBottom w:val="0"/>
      <w:divBdr>
        <w:top w:val="none" w:sz="0" w:space="0" w:color="auto"/>
        <w:left w:val="none" w:sz="0" w:space="0" w:color="auto"/>
        <w:bottom w:val="none" w:sz="0" w:space="0" w:color="auto"/>
        <w:right w:val="none" w:sz="0" w:space="0" w:color="auto"/>
      </w:divBdr>
    </w:div>
    <w:div w:id="1168667710">
      <w:bodyDiv w:val="1"/>
      <w:marLeft w:val="0"/>
      <w:marRight w:val="0"/>
      <w:marTop w:val="0"/>
      <w:marBottom w:val="0"/>
      <w:divBdr>
        <w:top w:val="none" w:sz="0" w:space="0" w:color="auto"/>
        <w:left w:val="none" w:sz="0" w:space="0" w:color="auto"/>
        <w:bottom w:val="none" w:sz="0" w:space="0" w:color="auto"/>
        <w:right w:val="none" w:sz="0" w:space="0" w:color="auto"/>
      </w:divBdr>
    </w:div>
    <w:div w:id="1298796838">
      <w:bodyDiv w:val="1"/>
      <w:marLeft w:val="0"/>
      <w:marRight w:val="0"/>
      <w:marTop w:val="0"/>
      <w:marBottom w:val="0"/>
      <w:divBdr>
        <w:top w:val="none" w:sz="0" w:space="0" w:color="auto"/>
        <w:left w:val="none" w:sz="0" w:space="0" w:color="auto"/>
        <w:bottom w:val="none" w:sz="0" w:space="0" w:color="auto"/>
        <w:right w:val="none" w:sz="0" w:space="0" w:color="auto"/>
      </w:divBdr>
    </w:div>
    <w:div w:id="14791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5E1D-5CEF-4CF2-AC48-A3B470B3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2067</Words>
  <Characters>11786</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Bristol</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mdxrg</dc:creator>
  <cp:lastModifiedBy>mdxrg</cp:lastModifiedBy>
  <cp:revision>5</cp:revision>
  <cp:lastPrinted>2012-09-06T09:07:00Z</cp:lastPrinted>
  <dcterms:created xsi:type="dcterms:W3CDTF">2012-10-03T13:59:00Z</dcterms:created>
  <dcterms:modified xsi:type="dcterms:W3CDTF">2012-10-03T14:54:00Z</dcterms:modified>
</cp:coreProperties>
</file>