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01" w:rsidRPr="003D17B7" w:rsidRDefault="007D0D01" w:rsidP="00524BDE">
      <w:pPr>
        <w:pStyle w:val="TableText"/>
        <w:spacing w:before="0" w:after="120"/>
        <w:rPr>
          <w:b/>
        </w:rPr>
      </w:pPr>
      <w:r w:rsidRPr="00FA12FB">
        <w:rPr>
          <w:b/>
        </w:rPr>
        <w:t>Table S</w:t>
      </w:r>
      <w:r>
        <w:rPr>
          <w:b/>
        </w:rPr>
        <w:t>5</w:t>
      </w:r>
      <w:r w:rsidRPr="00FA12FB">
        <w:rPr>
          <w:b/>
        </w:rPr>
        <w:t>. Sensitivity analysis</w:t>
      </w:r>
      <w:r w:rsidRPr="003D17B7">
        <w:rPr>
          <w:b/>
        </w:rPr>
        <w:t xml:space="preserve"> on </w:t>
      </w:r>
      <w:r>
        <w:rPr>
          <w:b/>
        </w:rPr>
        <w:t>ORT effectiveness parameters</w:t>
      </w:r>
      <w:r w:rsidRPr="003D17B7">
        <w:rPr>
          <w:b/>
        </w:rPr>
        <w:t>.</w:t>
      </w:r>
      <w:r>
        <w:rPr>
          <w:b/>
        </w:rPr>
        <w:t xml:space="preserve"> </w:t>
      </w:r>
      <w:r w:rsidRPr="003D17B7">
        <w:rPr>
          <w:b/>
        </w:rPr>
        <w:t>Incremental cost-effectiveness ratio ($/QALY</w:t>
      </w:r>
      <w:r>
        <w:rPr>
          <w:b/>
        </w:rPr>
        <w:t xml:space="preserve"> </w:t>
      </w:r>
      <w:r w:rsidRPr="003D17B7">
        <w:rPr>
          <w:b/>
        </w:rPr>
        <w:t>gained) for selected strategies on the efficient frontier compared to the next-best strategy.</w:t>
      </w:r>
      <w:r>
        <w:rPr>
          <w:b/>
        </w:rPr>
        <w:t>*</w:t>
      </w:r>
    </w:p>
    <w:tbl>
      <w:tblPr>
        <w:tblW w:w="12973" w:type="dxa"/>
        <w:jc w:val="center"/>
        <w:tblInd w:w="-415" w:type="dxa"/>
        <w:tblLayout w:type="fixed"/>
        <w:tblLook w:val="00A0"/>
      </w:tblPr>
      <w:tblGrid>
        <w:gridCol w:w="3867"/>
        <w:gridCol w:w="10"/>
        <w:gridCol w:w="1170"/>
        <w:gridCol w:w="990"/>
        <w:gridCol w:w="1080"/>
        <w:gridCol w:w="1170"/>
        <w:gridCol w:w="990"/>
        <w:gridCol w:w="1170"/>
        <w:gridCol w:w="1080"/>
        <w:gridCol w:w="1446"/>
      </w:tblGrid>
      <w:tr w:rsidR="007D0D01" w:rsidRPr="000B04AC" w:rsidTr="00A92F42">
        <w:trPr>
          <w:jc w:val="center"/>
        </w:trPr>
        <w:tc>
          <w:tcPr>
            <w:tcW w:w="3867" w:type="dxa"/>
            <w:tcBorders>
              <w:top w:val="single" w:sz="18" w:space="0" w:color="auto"/>
              <w:bottom w:val="single" w:sz="12" w:space="0" w:color="000000"/>
            </w:tcBorders>
            <w:vAlign w:val="bottom"/>
          </w:tcPr>
          <w:p w:rsidR="007D0D01" w:rsidRPr="000B04AC" w:rsidRDefault="007D0D01" w:rsidP="00DA1273">
            <w:pPr>
              <w:pStyle w:val="TableText"/>
              <w:rPr>
                <w:rFonts w:cs="Calibri"/>
                <w:b/>
                <w:sz w:val="20"/>
                <w:szCs w:val="20"/>
              </w:rPr>
            </w:pPr>
            <w:r w:rsidRPr="000B04AC">
              <w:rPr>
                <w:rFonts w:cs="Calibri"/>
                <w:b/>
                <w:sz w:val="20"/>
                <w:szCs w:val="20"/>
              </w:rPr>
              <w:t>Variable</w:t>
            </w:r>
          </w:p>
        </w:tc>
        <w:tc>
          <w:tcPr>
            <w:tcW w:w="1180" w:type="dxa"/>
            <w:gridSpan w:val="2"/>
            <w:tcBorders>
              <w:top w:val="single" w:sz="18" w:space="0" w:color="auto"/>
              <w:bottom w:val="single" w:sz="12" w:space="0" w:color="000000"/>
            </w:tcBorders>
            <w:vAlign w:val="bottom"/>
          </w:tcPr>
          <w:p w:rsidR="007D0D01" w:rsidRPr="003A742A" w:rsidRDefault="007D0D01" w:rsidP="00DA1273">
            <w:pPr>
              <w:pStyle w:val="TableText"/>
              <w:jc w:val="center"/>
              <w:rPr>
                <w:rFonts w:cs="Calibri"/>
                <w:b/>
                <w:sz w:val="18"/>
                <w:szCs w:val="18"/>
              </w:rPr>
            </w:pPr>
            <w:r w:rsidRPr="003A742A">
              <w:rPr>
                <w:rFonts w:cs="Calibri"/>
                <w:b/>
                <w:sz w:val="18"/>
                <w:szCs w:val="18"/>
              </w:rPr>
              <w:t xml:space="preserve"> Anti-HIV, Upon entry to ORT 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2" w:space="0" w:color="000000"/>
            </w:tcBorders>
            <w:vAlign w:val="bottom"/>
          </w:tcPr>
          <w:p w:rsidR="007D0D01" w:rsidRPr="003A742A" w:rsidRDefault="007D0D01" w:rsidP="00DA1273">
            <w:pPr>
              <w:pStyle w:val="TableText"/>
              <w:jc w:val="center"/>
              <w:rPr>
                <w:rFonts w:cs="Calibri"/>
                <w:b/>
                <w:sz w:val="18"/>
                <w:szCs w:val="18"/>
              </w:rPr>
            </w:pPr>
            <w:r w:rsidRPr="003A742A">
              <w:rPr>
                <w:rFonts w:cs="Calibri"/>
                <w:b/>
                <w:sz w:val="18"/>
                <w:szCs w:val="18"/>
              </w:rPr>
              <w:t>Anti-HIV, Annual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000000"/>
            </w:tcBorders>
            <w:vAlign w:val="bottom"/>
          </w:tcPr>
          <w:p w:rsidR="007D0D01" w:rsidRPr="003A742A" w:rsidRDefault="007D0D01" w:rsidP="00DA1273">
            <w:pPr>
              <w:pStyle w:val="TableText"/>
              <w:jc w:val="center"/>
              <w:rPr>
                <w:rFonts w:cs="Calibri"/>
                <w:b/>
                <w:sz w:val="18"/>
                <w:szCs w:val="18"/>
              </w:rPr>
            </w:pPr>
            <w:r w:rsidRPr="003A742A">
              <w:rPr>
                <w:rFonts w:cs="Calibri"/>
                <w:b/>
                <w:sz w:val="18"/>
                <w:szCs w:val="18"/>
              </w:rPr>
              <w:t>Anti-HIV, 6 months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2" w:space="0" w:color="000000"/>
            </w:tcBorders>
            <w:vAlign w:val="bottom"/>
          </w:tcPr>
          <w:p w:rsidR="007D0D01" w:rsidRPr="003A742A" w:rsidRDefault="007D0D01" w:rsidP="00DA1273">
            <w:pPr>
              <w:pStyle w:val="TableText"/>
              <w:jc w:val="center"/>
              <w:rPr>
                <w:rFonts w:cs="Calibri"/>
                <w:b/>
                <w:sz w:val="18"/>
                <w:szCs w:val="18"/>
              </w:rPr>
            </w:pPr>
            <w:r w:rsidRPr="003A742A">
              <w:rPr>
                <w:rFonts w:cs="Calibri"/>
                <w:b/>
                <w:sz w:val="18"/>
                <w:szCs w:val="18"/>
              </w:rPr>
              <w:t>Anti-HIV+RNA, Upon entry to ORT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2" w:space="0" w:color="000000"/>
            </w:tcBorders>
            <w:vAlign w:val="bottom"/>
          </w:tcPr>
          <w:p w:rsidR="007D0D01" w:rsidRPr="003A742A" w:rsidRDefault="007D0D01" w:rsidP="00DA1273">
            <w:pPr>
              <w:pStyle w:val="TableText"/>
              <w:jc w:val="center"/>
              <w:rPr>
                <w:rFonts w:cs="Calibri"/>
                <w:b/>
                <w:sz w:val="18"/>
                <w:szCs w:val="18"/>
              </w:rPr>
            </w:pPr>
            <w:r w:rsidRPr="003A742A">
              <w:rPr>
                <w:rFonts w:cs="Calibri"/>
                <w:b/>
                <w:sz w:val="18"/>
                <w:szCs w:val="18"/>
              </w:rPr>
              <w:t>Anti-HIV+RNA, Annual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2" w:space="0" w:color="000000"/>
            </w:tcBorders>
            <w:vAlign w:val="bottom"/>
          </w:tcPr>
          <w:p w:rsidR="007D0D01" w:rsidRPr="003A742A" w:rsidRDefault="007D0D01" w:rsidP="00A92F42">
            <w:pPr>
              <w:pStyle w:val="TableText"/>
              <w:jc w:val="center"/>
              <w:rPr>
                <w:rFonts w:cs="Calibri"/>
                <w:b/>
                <w:sz w:val="18"/>
                <w:szCs w:val="18"/>
              </w:rPr>
            </w:pPr>
            <w:r w:rsidRPr="003A742A">
              <w:rPr>
                <w:rFonts w:cs="Calibri"/>
                <w:b/>
                <w:sz w:val="18"/>
                <w:szCs w:val="18"/>
              </w:rPr>
              <w:t xml:space="preserve">Anti-HIV+RNA, </w:t>
            </w:r>
            <w:r>
              <w:rPr>
                <w:rFonts w:cs="Calibri"/>
                <w:b/>
                <w:sz w:val="18"/>
                <w:szCs w:val="18"/>
              </w:rPr>
              <w:t xml:space="preserve">    </w:t>
            </w:r>
            <w:r w:rsidRPr="003A742A">
              <w:rPr>
                <w:rFonts w:cs="Calibri"/>
                <w:b/>
                <w:sz w:val="18"/>
                <w:szCs w:val="18"/>
              </w:rPr>
              <w:t>6 months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000000"/>
            </w:tcBorders>
            <w:vAlign w:val="bottom"/>
          </w:tcPr>
          <w:p w:rsidR="007D0D01" w:rsidRPr="003A742A" w:rsidRDefault="007D0D01" w:rsidP="00A92F42">
            <w:pPr>
              <w:pStyle w:val="TableText"/>
              <w:jc w:val="center"/>
              <w:rPr>
                <w:rFonts w:cs="Calibri"/>
                <w:b/>
                <w:sz w:val="18"/>
                <w:szCs w:val="18"/>
              </w:rPr>
            </w:pPr>
            <w:r w:rsidRPr="003A742A">
              <w:rPr>
                <w:rFonts w:cs="Calibri"/>
                <w:b/>
                <w:sz w:val="18"/>
                <w:szCs w:val="18"/>
              </w:rPr>
              <w:t xml:space="preserve">Anti-HIV+RNA, </w:t>
            </w: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  <w:r w:rsidRPr="003A742A">
              <w:rPr>
                <w:rFonts w:cs="Calibri"/>
                <w:b/>
                <w:sz w:val="18"/>
                <w:szCs w:val="18"/>
              </w:rPr>
              <w:t>3 months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2" w:space="0" w:color="000000"/>
            </w:tcBorders>
            <w:vAlign w:val="bottom"/>
          </w:tcPr>
          <w:p w:rsidR="007D0D01" w:rsidRPr="003A742A" w:rsidRDefault="007D0D01" w:rsidP="00A92F42">
            <w:pPr>
              <w:pStyle w:val="TableText"/>
              <w:jc w:val="center"/>
              <w:rPr>
                <w:rFonts w:cs="Calibri"/>
                <w:b/>
                <w:sz w:val="18"/>
                <w:szCs w:val="18"/>
              </w:rPr>
            </w:pPr>
            <w:r w:rsidRPr="003A742A">
              <w:rPr>
                <w:rFonts w:cs="Calibri"/>
                <w:b/>
                <w:sz w:val="18"/>
                <w:szCs w:val="18"/>
              </w:rPr>
              <w:t>Anti-HIV+RNA, 3 months;</w:t>
            </w:r>
            <w:r>
              <w:rPr>
                <w:rFonts w:cs="Calibri"/>
                <w:b/>
                <w:sz w:val="18"/>
                <w:szCs w:val="18"/>
              </w:rPr>
              <w:t xml:space="preserve">   </w:t>
            </w:r>
            <w:r w:rsidRPr="003A742A">
              <w:rPr>
                <w:rFonts w:cs="Calibri"/>
                <w:b/>
                <w:sz w:val="18"/>
                <w:szCs w:val="18"/>
              </w:rPr>
              <w:t xml:space="preserve">Anti-HCV, Upon entry to ORT </w:t>
            </w:r>
          </w:p>
        </w:tc>
      </w:tr>
      <w:tr w:rsidR="007D0D01" w:rsidRPr="00DC227A" w:rsidTr="00A92F42">
        <w:trPr>
          <w:jc w:val="center"/>
        </w:trPr>
        <w:tc>
          <w:tcPr>
            <w:tcW w:w="3867" w:type="dxa"/>
            <w:tcBorders>
              <w:bottom w:val="dotted" w:sz="2" w:space="0" w:color="auto"/>
            </w:tcBorders>
            <w:vAlign w:val="center"/>
          </w:tcPr>
          <w:p w:rsidR="007D0D01" w:rsidRPr="00C50E8F" w:rsidRDefault="007D0D01" w:rsidP="00DA1273">
            <w:pPr>
              <w:pStyle w:val="TableText"/>
              <w:rPr>
                <w:rFonts w:cs="Calibri"/>
                <w:b/>
                <w:sz w:val="20"/>
                <w:szCs w:val="20"/>
              </w:rPr>
            </w:pPr>
            <w:r w:rsidRPr="00C50E8F">
              <w:rPr>
                <w:rFonts w:cs="Calibri"/>
                <w:b/>
                <w:sz w:val="20"/>
                <w:szCs w:val="20"/>
              </w:rPr>
              <w:t>BASE CASE</w:t>
            </w:r>
          </w:p>
        </w:tc>
        <w:tc>
          <w:tcPr>
            <w:tcW w:w="1180" w:type="dxa"/>
            <w:gridSpan w:val="2"/>
            <w:tcBorders>
              <w:bottom w:val="dotted" w:sz="2" w:space="0" w:color="auto"/>
            </w:tcBorders>
            <w:vAlign w:val="center"/>
          </w:tcPr>
          <w:p w:rsidR="007D0D01" w:rsidRPr="00C50E8F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C50E8F">
              <w:rPr>
                <w:rFonts w:cs="Calibri"/>
                <w:b/>
                <w:sz w:val="18"/>
                <w:szCs w:val="18"/>
              </w:rPr>
              <w:t>11,191</w:t>
            </w:r>
          </w:p>
        </w:tc>
        <w:tc>
          <w:tcPr>
            <w:tcW w:w="990" w:type="dxa"/>
            <w:tcBorders>
              <w:bottom w:val="dotted" w:sz="2" w:space="0" w:color="auto"/>
            </w:tcBorders>
            <w:vAlign w:val="center"/>
          </w:tcPr>
          <w:p w:rsidR="007D0D01" w:rsidRPr="00C50E8F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C50E8F">
              <w:rPr>
                <w:rFonts w:cs="Calibri"/>
                <w:b/>
                <w:sz w:val="18"/>
                <w:szCs w:val="18"/>
              </w:rPr>
              <w:t>20,075</w:t>
            </w:r>
          </w:p>
        </w:tc>
        <w:tc>
          <w:tcPr>
            <w:tcW w:w="1080" w:type="dxa"/>
            <w:tcBorders>
              <w:bottom w:val="dotted" w:sz="2" w:space="0" w:color="auto"/>
            </w:tcBorders>
            <w:vAlign w:val="center"/>
          </w:tcPr>
          <w:p w:rsidR="007D0D01" w:rsidRPr="00C50E8F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C50E8F">
              <w:rPr>
                <w:rFonts w:cs="Calibri"/>
                <w:b/>
                <w:sz w:val="18"/>
                <w:szCs w:val="18"/>
              </w:rPr>
              <w:t>30,713</w:t>
            </w:r>
          </w:p>
        </w:tc>
        <w:tc>
          <w:tcPr>
            <w:tcW w:w="1170" w:type="dxa"/>
            <w:tcBorders>
              <w:bottom w:val="dotted" w:sz="2" w:space="0" w:color="auto"/>
            </w:tcBorders>
            <w:vAlign w:val="center"/>
          </w:tcPr>
          <w:p w:rsidR="007D0D01" w:rsidRPr="00C50E8F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C50E8F">
              <w:rPr>
                <w:rFonts w:cs="Calibri"/>
                <w:b/>
                <w:sz w:val="18"/>
                <w:szCs w:val="18"/>
              </w:rPr>
              <w:t>33,503</w:t>
            </w:r>
          </w:p>
        </w:tc>
        <w:tc>
          <w:tcPr>
            <w:tcW w:w="990" w:type="dxa"/>
            <w:tcBorders>
              <w:bottom w:val="dotted" w:sz="2" w:space="0" w:color="auto"/>
            </w:tcBorders>
            <w:vAlign w:val="center"/>
          </w:tcPr>
          <w:p w:rsidR="007D0D01" w:rsidRPr="00C50E8F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C50E8F">
              <w:rPr>
                <w:rFonts w:cs="Calibri"/>
                <w:b/>
                <w:sz w:val="18"/>
                <w:szCs w:val="18"/>
              </w:rPr>
              <w:t>44,141</w:t>
            </w:r>
          </w:p>
        </w:tc>
        <w:tc>
          <w:tcPr>
            <w:tcW w:w="1170" w:type="dxa"/>
            <w:tcBorders>
              <w:bottom w:val="dotted" w:sz="2" w:space="0" w:color="auto"/>
            </w:tcBorders>
            <w:vAlign w:val="center"/>
          </w:tcPr>
          <w:p w:rsidR="007D0D01" w:rsidRPr="00C50E8F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C50E8F">
              <w:rPr>
                <w:rFonts w:cs="Calibri"/>
                <w:b/>
                <w:sz w:val="18"/>
                <w:szCs w:val="18"/>
              </w:rPr>
              <w:t>65,883</w:t>
            </w:r>
          </w:p>
        </w:tc>
        <w:tc>
          <w:tcPr>
            <w:tcW w:w="1080" w:type="dxa"/>
            <w:tcBorders>
              <w:bottom w:val="dotted" w:sz="2" w:space="0" w:color="auto"/>
            </w:tcBorders>
            <w:vAlign w:val="center"/>
          </w:tcPr>
          <w:p w:rsidR="007D0D01" w:rsidRPr="00C50E8F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C50E8F">
              <w:rPr>
                <w:rFonts w:cs="Calibri"/>
                <w:b/>
                <w:sz w:val="18"/>
                <w:szCs w:val="18"/>
              </w:rPr>
              <w:t>115,429</w:t>
            </w:r>
          </w:p>
        </w:tc>
        <w:tc>
          <w:tcPr>
            <w:tcW w:w="1446" w:type="dxa"/>
            <w:tcBorders>
              <w:bottom w:val="dotted" w:sz="2" w:space="0" w:color="auto"/>
            </w:tcBorders>
            <w:vAlign w:val="center"/>
          </w:tcPr>
          <w:p w:rsidR="007D0D01" w:rsidRPr="00C50E8F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C50E8F">
              <w:rPr>
                <w:rFonts w:cs="Calibri"/>
                <w:b/>
                <w:sz w:val="18"/>
                <w:szCs w:val="18"/>
              </w:rPr>
              <w:t>168,600</w:t>
            </w:r>
          </w:p>
        </w:tc>
      </w:tr>
      <w:tr w:rsidR="007D0D01" w:rsidRPr="00DC227A" w:rsidTr="00A92F42">
        <w:trPr>
          <w:jc w:val="center"/>
        </w:trPr>
        <w:tc>
          <w:tcPr>
            <w:tcW w:w="3877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C50E8F" w:rsidRDefault="007D0D01" w:rsidP="00DA1273">
            <w:pPr>
              <w:pStyle w:val="TableText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Effectiveness of ORT, Transition from IDU in ORT to non-IDU (base case: 1.8% per year)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C50E8F" w:rsidRDefault="007D0D01" w:rsidP="00DA1273">
            <w:pPr>
              <w:pStyle w:val="TableText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C50E8F" w:rsidRDefault="007D0D01" w:rsidP="00DA1273">
            <w:pPr>
              <w:pStyle w:val="TableText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C50E8F" w:rsidRDefault="007D0D01" w:rsidP="00DA1273">
            <w:pPr>
              <w:pStyle w:val="TableText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C50E8F" w:rsidRDefault="007D0D01" w:rsidP="00DA1273">
            <w:pPr>
              <w:pStyle w:val="TableText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C50E8F" w:rsidRDefault="007D0D01" w:rsidP="00DA1273">
            <w:pPr>
              <w:pStyle w:val="TableText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C50E8F" w:rsidRDefault="007D0D01" w:rsidP="00DA1273">
            <w:pPr>
              <w:pStyle w:val="TableText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C50E8F" w:rsidRDefault="007D0D01" w:rsidP="00DA1273">
            <w:pPr>
              <w:pStyle w:val="TableText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C50E8F" w:rsidRDefault="007D0D01" w:rsidP="00DA1273">
            <w:pPr>
              <w:pStyle w:val="TableText"/>
              <w:spacing w:before="0" w:after="0"/>
              <w:rPr>
                <w:rFonts w:cs="Calibri"/>
                <w:sz w:val="18"/>
                <w:szCs w:val="18"/>
              </w:rPr>
            </w:pPr>
          </w:p>
        </w:tc>
      </w:tr>
      <w:tr w:rsidR="007D0D01" w:rsidRPr="00C50E8F" w:rsidTr="00A92F42">
        <w:trPr>
          <w:jc w:val="center"/>
        </w:trPr>
        <w:tc>
          <w:tcPr>
            <w:tcW w:w="386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C50E8F" w:rsidRDefault="007D0D01" w:rsidP="00DA1273">
            <w:pPr>
              <w:pStyle w:val="TableText"/>
              <w:ind w:left="16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Lower, 0.9% per year</w:t>
            </w:r>
          </w:p>
        </w:tc>
        <w:tc>
          <w:tcPr>
            <w:tcW w:w="1180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11,037 </w:t>
            </w: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20,031 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30,770 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33,048 </w:t>
            </w: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44,092 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65,815 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115,458 </w:t>
            </w:r>
          </w:p>
        </w:tc>
        <w:tc>
          <w:tcPr>
            <w:tcW w:w="1446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175,645 </w:t>
            </w:r>
          </w:p>
        </w:tc>
      </w:tr>
      <w:tr w:rsidR="007D0D01" w:rsidRPr="00C50E8F" w:rsidTr="00A92F42">
        <w:trPr>
          <w:jc w:val="center"/>
        </w:trPr>
        <w:tc>
          <w:tcPr>
            <w:tcW w:w="386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C50E8F" w:rsidRDefault="007D0D01" w:rsidP="00DA1273">
            <w:pPr>
              <w:pStyle w:val="TableText"/>
              <w:ind w:left="16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Higher, 3.6% per year </w:t>
            </w:r>
          </w:p>
        </w:tc>
        <w:tc>
          <w:tcPr>
            <w:tcW w:w="1180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11,489 </w:t>
            </w: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20,160 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30,603 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34,364 </w:t>
            </w: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44,236 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66,016 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115,367 </w:t>
            </w:r>
          </w:p>
        </w:tc>
        <w:tc>
          <w:tcPr>
            <w:tcW w:w="1446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156,699 </w:t>
            </w:r>
          </w:p>
        </w:tc>
      </w:tr>
      <w:tr w:rsidR="007D0D01" w:rsidRPr="00C50E8F" w:rsidTr="00A92F42">
        <w:trPr>
          <w:jc w:val="center"/>
        </w:trPr>
        <w:tc>
          <w:tcPr>
            <w:tcW w:w="3877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E2087B" w:rsidRDefault="007D0D01" w:rsidP="00DA1273">
            <w:pPr>
              <w:pStyle w:val="TableText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Average time in ORT (base case:1.5 years)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E2087B" w:rsidRDefault="007D0D01" w:rsidP="00DA1273">
            <w:pPr>
              <w:pStyle w:val="TableText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E2087B" w:rsidRDefault="007D0D01" w:rsidP="00DA1273">
            <w:pPr>
              <w:pStyle w:val="TableText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E2087B" w:rsidRDefault="007D0D01" w:rsidP="00DA1273">
            <w:pPr>
              <w:pStyle w:val="TableText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E2087B" w:rsidRDefault="007D0D01" w:rsidP="00DA1273">
            <w:pPr>
              <w:pStyle w:val="TableText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E2087B" w:rsidRDefault="007D0D01" w:rsidP="00DA1273">
            <w:pPr>
              <w:pStyle w:val="TableText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E2087B" w:rsidRDefault="007D0D01" w:rsidP="00DA1273">
            <w:pPr>
              <w:pStyle w:val="TableText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E2087B" w:rsidRDefault="007D0D01" w:rsidP="00DA1273">
            <w:pPr>
              <w:pStyle w:val="TableText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E2087B" w:rsidRDefault="007D0D01" w:rsidP="00DA1273">
            <w:pPr>
              <w:pStyle w:val="TableText"/>
              <w:spacing w:before="0" w:after="0"/>
              <w:rPr>
                <w:rFonts w:cs="Calibri"/>
                <w:sz w:val="18"/>
                <w:szCs w:val="18"/>
              </w:rPr>
            </w:pPr>
          </w:p>
        </w:tc>
      </w:tr>
      <w:tr w:rsidR="007D0D01" w:rsidRPr="00C50E8F" w:rsidTr="00A92F42">
        <w:trPr>
          <w:jc w:val="center"/>
        </w:trPr>
        <w:tc>
          <w:tcPr>
            <w:tcW w:w="386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0D01" w:rsidRPr="00C50E8F" w:rsidRDefault="007D0D01" w:rsidP="00DA1273">
            <w:pPr>
              <w:pStyle w:val="TableText"/>
              <w:ind w:left="16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Shorter ORT duration 1.0 years</w:t>
            </w:r>
          </w:p>
        </w:tc>
        <w:tc>
          <w:tcPr>
            <w:tcW w:w="1180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10,470 </w:t>
            </w: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18,715 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27,109 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29,330 </w:t>
            </w:r>
          </w:p>
        </w:tc>
        <w:tc>
          <w:tcPr>
            <w:tcW w:w="990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43,489 </w:t>
            </w:r>
          </w:p>
        </w:tc>
        <w:tc>
          <w:tcPr>
            <w:tcW w:w="1170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63,042 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107,487 </w:t>
            </w:r>
          </w:p>
        </w:tc>
        <w:tc>
          <w:tcPr>
            <w:tcW w:w="1446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229,679 </w:t>
            </w:r>
          </w:p>
        </w:tc>
      </w:tr>
      <w:tr w:rsidR="007D0D01" w:rsidRPr="00C50E8F" w:rsidTr="00A92F42">
        <w:trPr>
          <w:jc w:val="center"/>
        </w:trPr>
        <w:tc>
          <w:tcPr>
            <w:tcW w:w="3867" w:type="dxa"/>
            <w:tcBorders>
              <w:top w:val="dotted" w:sz="2" w:space="0" w:color="auto"/>
              <w:bottom w:val="single" w:sz="18" w:space="0" w:color="auto"/>
            </w:tcBorders>
            <w:vAlign w:val="center"/>
          </w:tcPr>
          <w:p w:rsidR="007D0D01" w:rsidRPr="00C50E8F" w:rsidRDefault="007D0D01" w:rsidP="00DA1273">
            <w:pPr>
              <w:pStyle w:val="TableText"/>
              <w:ind w:left="16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Longer ORT duration, 2.25 years</w:t>
            </w:r>
          </w:p>
        </w:tc>
        <w:tc>
          <w:tcPr>
            <w:tcW w:w="1180" w:type="dxa"/>
            <w:gridSpan w:val="2"/>
            <w:tcBorders>
              <w:top w:val="dotted" w:sz="2" w:space="0" w:color="auto"/>
              <w:bottom w:val="single" w:sz="18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11,856 </w:t>
            </w:r>
          </w:p>
        </w:tc>
        <w:tc>
          <w:tcPr>
            <w:tcW w:w="990" w:type="dxa"/>
            <w:tcBorders>
              <w:top w:val="dotted" w:sz="2" w:space="0" w:color="auto"/>
              <w:bottom w:val="single" w:sz="18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21,273 </w:t>
            </w:r>
          </w:p>
        </w:tc>
        <w:tc>
          <w:tcPr>
            <w:tcW w:w="1080" w:type="dxa"/>
            <w:tcBorders>
              <w:top w:val="dotted" w:sz="2" w:space="0" w:color="auto"/>
              <w:bottom w:val="single" w:sz="18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34,012 </w:t>
            </w:r>
          </w:p>
        </w:tc>
        <w:tc>
          <w:tcPr>
            <w:tcW w:w="1170" w:type="dxa"/>
            <w:tcBorders>
              <w:top w:val="dotted" w:sz="2" w:space="0" w:color="auto"/>
              <w:bottom w:val="single" w:sz="18" w:space="0" w:color="auto"/>
            </w:tcBorders>
            <w:vAlign w:val="center"/>
          </w:tcPr>
          <w:p w:rsidR="007D0D01" w:rsidRPr="005E4DEF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5E4DEF">
              <w:rPr>
                <w:rFonts w:cs="Calibri"/>
                <w:sz w:val="18"/>
                <w:szCs w:val="18"/>
              </w:rPr>
              <w:t>Dominated</w:t>
            </w:r>
          </w:p>
        </w:tc>
        <w:tc>
          <w:tcPr>
            <w:tcW w:w="990" w:type="dxa"/>
            <w:tcBorders>
              <w:top w:val="dotted" w:sz="2" w:space="0" w:color="auto"/>
              <w:bottom w:val="single" w:sz="18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45,936 </w:t>
            </w:r>
          </w:p>
        </w:tc>
        <w:tc>
          <w:tcPr>
            <w:tcW w:w="1170" w:type="dxa"/>
            <w:tcBorders>
              <w:top w:val="dotted" w:sz="2" w:space="0" w:color="auto"/>
              <w:bottom w:val="single" w:sz="18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68,588 </w:t>
            </w:r>
          </w:p>
        </w:tc>
        <w:tc>
          <w:tcPr>
            <w:tcW w:w="1080" w:type="dxa"/>
            <w:tcBorders>
              <w:top w:val="dotted" w:sz="2" w:space="0" w:color="auto"/>
              <w:bottom w:val="single" w:sz="18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122,286 </w:t>
            </w:r>
          </w:p>
        </w:tc>
        <w:tc>
          <w:tcPr>
            <w:tcW w:w="1446" w:type="dxa"/>
            <w:tcBorders>
              <w:top w:val="dotted" w:sz="2" w:space="0" w:color="auto"/>
              <w:bottom w:val="single" w:sz="18" w:space="0" w:color="auto"/>
            </w:tcBorders>
            <w:vAlign w:val="bottom"/>
          </w:tcPr>
          <w:p w:rsidR="007D0D01" w:rsidRPr="00E2087B" w:rsidRDefault="007D0D01" w:rsidP="00DA1273">
            <w:pPr>
              <w:pStyle w:val="TableText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E2087B">
              <w:rPr>
                <w:rFonts w:cs="Calibri"/>
                <w:sz w:val="18"/>
                <w:szCs w:val="18"/>
              </w:rPr>
              <w:t xml:space="preserve"> 138,264 </w:t>
            </w:r>
          </w:p>
        </w:tc>
      </w:tr>
    </w:tbl>
    <w:p w:rsidR="007D0D01" w:rsidRPr="00FA12FB" w:rsidRDefault="007D0D01" w:rsidP="00524BDE">
      <w:pPr>
        <w:spacing w:before="120" w:after="0" w:line="240" w:lineRule="auto"/>
      </w:pPr>
      <w:r w:rsidRPr="00FA12FB" w:rsidDel="00775B97">
        <w:t xml:space="preserve"> </w:t>
      </w:r>
      <w:r w:rsidRPr="00FA12FB">
        <w:t>*“Dominated” indicates that the strategy costs more and provides fewer QALYs than another strategy or a combination of two strategies (called “Extended Dominance”).</w:t>
      </w:r>
    </w:p>
    <w:p w:rsidR="007D0D01" w:rsidRPr="00FA12FB" w:rsidRDefault="007D0D01" w:rsidP="00524BDE">
      <w:pPr>
        <w:spacing w:before="120" w:after="0" w:line="240" w:lineRule="auto"/>
      </w:pPr>
    </w:p>
    <w:sectPr w:rsidR="007D0D01" w:rsidRPr="00FA12FB" w:rsidSect="00517FD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2E" w:rsidRDefault="00B7192E" w:rsidP="00BD6FBC">
      <w:pPr>
        <w:spacing w:after="0" w:line="240" w:lineRule="auto"/>
      </w:pPr>
      <w:r>
        <w:separator/>
      </w:r>
    </w:p>
  </w:endnote>
  <w:endnote w:type="continuationSeparator" w:id="0">
    <w:p w:rsidR="00B7192E" w:rsidRDefault="00B7192E" w:rsidP="00BD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2E" w:rsidRDefault="00B7192E" w:rsidP="00BD6FBC">
      <w:pPr>
        <w:spacing w:after="0" w:line="240" w:lineRule="auto"/>
      </w:pPr>
      <w:r>
        <w:separator/>
      </w:r>
    </w:p>
  </w:footnote>
  <w:footnote w:type="continuationSeparator" w:id="0">
    <w:p w:rsidR="00B7192E" w:rsidRDefault="00B7192E" w:rsidP="00BD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F0C"/>
    <w:multiLevelType w:val="hybridMultilevel"/>
    <w:tmpl w:val="CC72ED78"/>
    <w:lvl w:ilvl="0" w:tplc="BD109B2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162CD"/>
    <w:multiLevelType w:val="hybridMultilevel"/>
    <w:tmpl w:val="1CB6F2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753FD"/>
    <w:multiLevelType w:val="multilevel"/>
    <w:tmpl w:val="B2E23958"/>
    <w:lvl w:ilvl="0">
      <w:start w:val="1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">
    <w:nsid w:val="0A895F88"/>
    <w:multiLevelType w:val="multilevel"/>
    <w:tmpl w:val="73002E9E"/>
    <w:lvl w:ilvl="0"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76948E0"/>
    <w:multiLevelType w:val="hybridMultilevel"/>
    <w:tmpl w:val="D7F0C742"/>
    <w:lvl w:ilvl="0" w:tplc="421C8D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3781B"/>
    <w:multiLevelType w:val="multilevel"/>
    <w:tmpl w:val="EFB0CA5A"/>
    <w:lvl w:ilvl="0"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09108EC"/>
    <w:multiLevelType w:val="hybridMultilevel"/>
    <w:tmpl w:val="532C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1A1E5C"/>
    <w:multiLevelType w:val="hybridMultilevel"/>
    <w:tmpl w:val="67709860"/>
    <w:lvl w:ilvl="0" w:tplc="208E2868">
      <w:start w:val="35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081683"/>
    <w:multiLevelType w:val="hybridMultilevel"/>
    <w:tmpl w:val="3A146ADE"/>
    <w:lvl w:ilvl="0" w:tplc="BC245466">
      <w:start w:val="35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251B54"/>
    <w:multiLevelType w:val="multilevel"/>
    <w:tmpl w:val="32789268"/>
    <w:lvl w:ilvl="0"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3CEB565B"/>
    <w:multiLevelType w:val="hybridMultilevel"/>
    <w:tmpl w:val="462A4B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FF68D2"/>
    <w:multiLevelType w:val="multilevel"/>
    <w:tmpl w:val="308E43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2">
    <w:nsid w:val="437B1ACC"/>
    <w:multiLevelType w:val="multilevel"/>
    <w:tmpl w:val="52C6F58A"/>
    <w:lvl w:ilvl="0"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4AFB42A9"/>
    <w:multiLevelType w:val="hybridMultilevel"/>
    <w:tmpl w:val="D7F0C742"/>
    <w:lvl w:ilvl="0" w:tplc="421C8D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CD1E3C"/>
    <w:multiLevelType w:val="multilevel"/>
    <w:tmpl w:val="4EAA3314"/>
    <w:lvl w:ilvl="0">
      <w:start w:val="1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5">
    <w:nsid w:val="53EB228B"/>
    <w:multiLevelType w:val="multilevel"/>
    <w:tmpl w:val="D3FAD84A"/>
    <w:lvl w:ilvl="0"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565D73E0"/>
    <w:multiLevelType w:val="hybridMultilevel"/>
    <w:tmpl w:val="8D6A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4561A6"/>
    <w:multiLevelType w:val="hybridMultilevel"/>
    <w:tmpl w:val="EF9CD6A0"/>
    <w:lvl w:ilvl="0" w:tplc="F648A936">
      <w:start w:val="35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851E7"/>
    <w:multiLevelType w:val="hybridMultilevel"/>
    <w:tmpl w:val="846A3EF8"/>
    <w:lvl w:ilvl="0" w:tplc="1E0AAE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E757F"/>
    <w:multiLevelType w:val="multilevel"/>
    <w:tmpl w:val="FD02D2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20">
    <w:nsid w:val="725A3247"/>
    <w:multiLevelType w:val="hybridMultilevel"/>
    <w:tmpl w:val="D48C7836"/>
    <w:lvl w:ilvl="0" w:tplc="580AF0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86D66"/>
    <w:multiLevelType w:val="hybridMultilevel"/>
    <w:tmpl w:val="78943678"/>
    <w:lvl w:ilvl="0" w:tplc="76F294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018D1"/>
    <w:multiLevelType w:val="hybridMultilevel"/>
    <w:tmpl w:val="9104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0"/>
  </w:num>
  <w:num w:numId="5">
    <w:abstractNumId w:val="9"/>
  </w:num>
  <w:num w:numId="6">
    <w:abstractNumId w:val="15"/>
  </w:num>
  <w:num w:numId="7">
    <w:abstractNumId w:val="14"/>
  </w:num>
  <w:num w:numId="8">
    <w:abstractNumId w:val="2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8"/>
  </w:num>
  <w:num w:numId="17">
    <w:abstractNumId w:val="22"/>
  </w:num>
  <w:num w:numId="18">
    <w:abstractNumId w:val="0"/>
  </w:num>
  <w:num w:numId="19">
    <w:abstractNumId w:val="17"/>
  </w:num>
  <w:num w:numId="20">
    <w:abstractNumId w:val="8"/>
  </w:num>
  <w:num w:numId="21">
    <w:abstractNumId w:val="7"/>
  </w:num>
  <w:num w:numId="22">
    <w:abstractNumId w:val="21"/>
  </w:num>
  <w:num w:numId="23">
    <w:abstractNumId w:val="2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7D0D01"/>
    <w:rsid w:val="002B6D0E"/>
    <w:rsid w:val="002E0797"/>
    <w:rsid w:val="00517FD2"/>
    <w:rsid w:val="0053162E"/>
    <w:rsid w:val="005D03D1"/>
    <w:rsid w:val="007D0D01"/>
    <w:rsid w:val="009A58A0"/>
    <w:rsid w:val="00B7192E"/>
    <w:rsid w:val="00BD6FBC"/>
    <w:rsid w:val="00BE789A"/>
    <w:rsid w:val="00C6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D0D01"/>
    <w:pPr>
      <w:spacing w:after="240"/>
    </w:pPr>
    <w:rPr>
      <w:rFonts w:ascii="Calibri" w:eastAsia="Times New Roman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D01"/>
    <w:pPr>
      <w:spacing w:before="600" w:after="0"/>
      <w:contextualSpacing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0D01"/>
    <w:pPr>
      <w:spacing w:before="200" w:after="0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0D01"/>
    <w:pPr>
      <w:spacing w:before="240" w:after="0" w:line="48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0D0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aliases w:val="Table/Figure Title"/>
    <w:basedOn w:val="Normal"/>
    <w:next w:val="Normal"/>
    <w:link w:val="Heading5Char"/>
    <w:uiPriority w:val="99"/>
    <w:qFormat/>
    <w:rsid w:val="007D0D0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0D0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0D0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0D0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0D0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0D01"/>
    <w:rPr>
      <w:rFonts w:ascii="Calibri" w:eastAsia="Times New Roman" w:hAnsi="Calibri" w:cs="Times New Roman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D0D01"/>
    <w:rPr>
      <w:rFonts w:ascii="Calibri" w:eastAsia="Times New Roman" w:hAnsi="Calibri" w:cs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7D0D01"/>
    <w:rPr>
      <w:rFonts w:ascii="Calibri" w:eastAsia="Times New Roman" w:hAnsi="Calibri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7D0D01"/>
    <w:rPr>
      <w:rFonts w:ascii="Cambria" w:eastAsia="Times New Roman" w:hAnsi="Cambria" w:cs="Times New Roman"/>
      <w:b/>
      <w:bCs/>
      <w:i/>
      <w:iCs/>
      <w:sz w:val="24"/>
    </w:rPr>
  </w:style>
  <w:style w:type="character" w:customStyle="1" w:styleId="Heading5Char">
    <w:name w:val="Heading 5 Char"/>
    <w:aliases w:val="Table/Figure Title Char"/>
    <w:basedOn w:val="DefaultParagraphFont"/>
    <w:link w:val="Heading5"/>
    <w:uiPriority w:val="99"/>
    <w:rsid w:val="007D0D01"/>
    <w:rPr>
      <w:rFonts w:ascii="Cambria" w:eastAsia="Times New Roman" w:hAnsi="Cambria" w:cs="Times New Roman"/>
      <w:b/>
      <w:bCs/>
      <w:color w:val="7F7F7F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7D0D01"/>
    <w:rPr>
      <w:rFonts w:ascii="Cambria" w:eastAsia="Times New Roman" w:hAnsi="Cambria" w:cs="Times New Roman"/>
      <w:b/>
      <w:bCs/>
      <w:i/>
      <w:iCs/>
      <w:color w:val="7F7F7F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7D0D01"/>
    <w:rPr>
      <w:rFonts w:ascii="Cambria" w:eastAsia="Times New Roman" w:hAnsi="Cambria" w:cs="Times New Roman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D0D0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D0D0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99"/>
    <w:rsid w:val="007D0D01"/>
    <w:pPr>
      <w:spacing w:after="100"/>
    </w:pPr>
    <w:rPr>
      <w:rFonts w:ascii="Cambria" w:hAnsi="Cambria"/>
      <w:b/>
      <w:color w:val="002060"/>
    </w:rPr>
  </w:style>
  <w:style w:type="paragraph" w:styleId="TOC2">
    <w:name w:val="toc 2"/>
    <w:basedOn w:val="Normal"/>
    <w:next w:val="Normal"/>
    <w:autoRedefine/>
    <w:uiPriority w:val="99"/>
    <w:rsid w:val="007D0D01"/>
    <w:pPr>
      <w:tabs>
        <w:tab w:val="left" w:pos="1100"/>
        <w:tab w:val="right" w:leader="dot" w:pos="9350"/>
      </w:tabs>
      <w:spacing w:after="100"/>
      <w:ind w:left="220"/>
    </w:pPr>
    <w:rPr>
      <w:noProof/>
      <w:color w:val="002060"/>
    </w:rPr>
  </w:style>
  <w:style w:type="paragraph" w:styleId="TOC3">
    <w:name w:val="toc 3"/>
    <w:basedOn w:val="Normal"/>
    <w:next w:val="Normal"/>
    <w:autoRedefine/>
    <w:uiPriority w:val="99"/>
    <w:rsid w:val="007D0D01"/>
    <w:pPr>
      <w:spacing w:after="100"/>
      <w:ind w:left="440"/>
    </w:pPr>
    <w:rPr>
      <w:rFonts w:ascii="Times New Roman" w:hAnsi="Times New Roman"/>
      <w:i/>
      <w:color w:val="355D7E"/>
    </w:rPr>
  </w:style>
  <w:style w:type="paragraph" w:styleId="Caption">
    <w:name w:val="caption"/>
    <w:basedOn w:val="Normal"/>
    <w:next w:val="Normal"/>
    <w:uiPriority w:val="99"/>
    <w:qFormat/>
    <w:rsid w:val="007D0D0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D0D0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7D0D0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D0D01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D0D0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7D0D0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D0D01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7D0D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7D0D01"/>
    <w:rPr>
      <w:rFonts w:ascii="Calibri" w:eastAsia="Times New Roman" w:hAnsi="Calibri" w:cs="Times New Roman"/>
      <w:sz w:val="24"/>
    </w:rPr>
  </w:style>
  <w:style w:type="paragraph" w:styleId="ListParagraph">
    <w:name w:val="List Paragraph"/>
    <w:basedOn w:val="Normal"/>
    <w:uiPriority w:val="99"/>
    <w:qFormat/>
    <w:rsid w:val="007D0D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D0D0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7D0D01"/>
    <w:rPr>
      <w:rFonts w:ascii="Calibri" w:eastAsia="Times New Roman" w:hAnsi="Calibri" w:cs="Times New Roman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D0D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D0D01"/>
    <w:rPr>
      <w:rFonts w:ascii="Calibri" w:eastAsia="Times New Roman" w:hAnsi="Calibri" w:cs="Times New Roman"/>
      <w:b/>
      <w:bCs/>
      <w:i/>
      <w:iCs/>
      <w:sz w:val="24"/>
    </w:rPr>
  </w:style>
  <w:style w:type="character" w:styleId="SubtleEmphasis">
    <w:name w:val="Subtle Emphasis"/>
    <w:basedOn w:val="DefaultParagraphFont"/>
    <w:uiPriority w:val="99"/>
    <w:qFormat/>
    <w:rsid w:val="007D0D01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7D0D01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7D0D01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7D0D01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D0D01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D0D01"/>
    <w:pPr>
      <w:outlineLvl w:val="9"/>
    </w:pPr>
  </w:style>
  <w:style w:type="paragraph" w:customStyle="1" w:styleId="heading1noTOC">
    <w:name w:val="heading 1 no TOC"/>
    <w:basedOn w:val="Heading1"/>
    <w:next w:val="Normal"/>
    <w:link w:val="heading1noTOCChar"/>
    <w:uiPriority w:val="99"/>
    <w:rsid w:val="007D0D01"/>
  </w:style>
  <w:style w:type="character" w:customStyle="1" w:styleId="heading1noTOCChar">
    <w:name w:val="heading 1 no TOC Char"/>
    <w:basedOn w:val="Heading1Char"/>
    <w:link w:val="heading1noTOC"/>
    <w:uiPriority w:val="99"/>
    <w:locked/>
    <w:rsid w:val="007D0D01"/>
  </w:style>
  <w:style w:type="paragraph" w:customStyle="1" w:styleId="SubheadingList">
    <w:name w:val="Subheading List"/>
    <w:basedOn w:val="Heading5"/>
    <w:next w:val="Normal"/>
    <w:link w:val="SubheadingListChar"/>
    <w:uiPriority w:val="99"/>
    <w:rsid w:val="007D0D01"/>
    <w:pPr>
      <w:ind w:left="180"/>
    </w:pPr>
    <w:rPr>
      <w:color w:val="355D7E"/>
    </w:rPr>
  </w:style>
  <w:style w:type="character" w:styleId="Hyperlink">
    <w:name w:val="Hyperlink"/>
    <w:basedOn w:val="DefaultParagraphFont"/>
    <w:uiPriority w:val="99"/>
    <w:rsid w:val="007D0D01"/>
    <w:rPr>
      <w:rFonts w:cs="Times New Roman"/>
      <w:color w:val="F7B615"/>
      <w:u w:val="single"/>
    </w:rPr>
  </w:style>
  <w:style w:type="character" w:customStyle="1" w:styleId="SubheadingListChar">
    <w:name w:val="Subheading List Char"/>
    <w:basedOn w:val="Heading5Char"/>
    <w:link w:val="SubheadingList"/>
    <w:uiPriority w:val="99"/>
    <w:locked/>
    <w:rsid w:val="007D0D01"/>
    <w:rPr>
      <w:color w:val="355D7E"/>
    </w:rPr>
  </w:style>
  <w:style w:type="paragraph" w:styleId="BalloonText">
    <w:name w:val="Balloon Text"/>
    <w:basedOn w:val="Normal"/>
    <w:link w:val="BalloonTextChar"/>
    <w:uiPriority w:val="99"/>
    <w:semiHidden/>
    <w:rsid w:val="007D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01"/>
    <w:rPr>
      <w:rFonts w:ascii="Tahoma" w:eastAsia="Times New Roman" w:hAnsi="Tahoma" w:cs="Tahoma"/>
      <w:sz w:val="16"/>
      <w:szCs w:val="16"/>
    </w:rPr>
  </w:style>
  <w:style w:type="paragraph" w:customStyle="1" w:styleId="SubheadingList2">
    <w:name w:val="Subheading List 2"/>
    <w:basedOn w:val="SubheadingList"/>
    <w:next w:val="Normal"/>
    <w:link w:val="SubheadingList2Char"/>
    <w:uiPriority w:val="99"/>
    <w:rsid w:val="007D0D01"/>
    <w:pPr>
      <w:numPr>
        <w:ilvl w:val="2"/>
      </w:numPr>
      <w:ind w:left="180"/>
    </w:pPr>
  </w:style>
  <w:style w:type="character" w:customStyle="1" w:styleId="SubheadingList2Char">
    <w:name w:val="Subheading List 2 Char"/>
    <w:basedOn w:val="SubheadingListChar"/>
    <w:link w:val="SubheadingList2"/>
    <w:uiPriority w:val="99"/>
    <w:locked/>
    <w:rsid w:val="007D0D01"/>
  </w:style>
  <w:style w:type="table" w:styleId="TableGrid">
    <w:name w:val="Table Grid"/>
    <w:basedOn w:val="TableNormal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46024"/>
      </w:tcPr>
    </w:tblStylePr>
    <w:tblStylePr w:type="lastRow">
      <w:rPr>
        <w:rFonts w:cs="Times New Roman"/>
        <w:b/>
        <w:bCs/>
        <w:color w:val="C4602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/>
      </w:tcPr>
    </w:tblStylePr>
    <w:tblStylePr w:type="band1Horz">
      <w:rPr>
        <w:rFonts w:cs="Times New Roman"/>
      </w:rPr>
      <w:tblPr/>
      <w:tcPr>
        <w:shd w:val="clear" w:color="auto" w:fill="E9F0F6"/>
      </w:tcPr>
    </w:tblStylePr>
  </w:style>
  <w:style w:type="table" w:customStyle="1" w:styleId="LightList1">
    <w:name w:val="Light List1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color w:val="716767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8C8C"/>
        <w:bottom w:val="single" w:sz="8" w:space="0" w:color="968C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68C8C"/>
          <w:left w:val="nil"/>
          <w:bottom w:val="single" w:sz="8" w:space="0" w:color="968C8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68C8C"/>
          <w:left w:val="nil"/>
          <w:bottom w:val="single" w:sz="8" w:space="0" w:color="968C8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2E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2E2"/>
      </w:tcPr>
    </w:tblStylePr>
  </w:style>
  <w:style w:type="paragraph" w:customStyle="1" w:styleId="TableText">
    <w:name w:val="Table Text"/>
    <w:basedOn w:val="Normal"/>
    <w:uiPriority w:val="99"/>
    <w:rsid w:val="007D0D01"/>
    <w:pPr>
      <w:spacing w:before="20" w:after="20" w:line="240" w:lineRule="auto"/>
    </w:pPr>
  </w:style>
  <w:style w:type="character" w:styleId="CommentReference">
    <w:name w:val="annotation reference"/>
    <w:basedOn w:val="DefaultParagraphFont"/>
    <w:uiPriority w:val="99"/>
    <w:semiHidden/>
    <w:rsid w:val="007D0D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0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0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01"/>
    <w:rPr>
      <w:b/>
      <w:bCs/>
    </w:rPr>
  </w:style>
  <w:style w:type="character" w:styleId="HTMLCite">
    <w:name w:val="HTML Cite"/>
    <w:basedOn w:val="DefaultParagraphFont"/>
    <w:uiPriority w:val="99"/>
    <w:semiHidden/>
    <w:rsid w:val="007D0D01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7D0D01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rsid w:val="007D0D01"/>
    <w:pPr>
      <w:spacing w:after="120"/>
      <w:ind w:firstLine="720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0D01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0D0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D01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D0D0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7D0D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D01"/>
    <w:rPr>
      <w:rFonts w:ascii="Calibri" w:eastAsia="Times New Roman" w:hAnsi="Calibri" w:cs="Times New Roman"/>
      <w:sz w:val="24"/>
    </w:rPr>
  </w:style>
  <w:style w:type="paragraph" w:styleId="Footer">
    <w:name w:val="footer"/>
    <w:basedOn w:val="Normal"/>
    <w:link w:val="FooterChar"/>
    <w:uiPriority w:val="99"/>
    <w:rsid w:val="007D0D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D01"/>
    <w:rPr>
      <w:rFonts w:ascii="Calibri" w:eastAsia="Times New Roman" w:hAnsi="Calibri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7D0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D01"/>
    <w:rPr>
      <w:rFonts w:ascii="Tahoma" w:eastAsia="Times New Roman" w:hAnsi="Tahoma" w:cs="Tahoma"/>
      <w:sz w:val="16"/>
      <w:szCs w:val="16"/>
    </w:rPr>
  </w:style>
  <w:style w:type="table" w:customStyle="1" w:styleId="LightShading-Accent11">
    <w:name w:val="Light Shading - Accent 11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color w:val="548AB7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4B6D2"/>
        <w:bottom w:val="single" w:sz="8" w:space="0" w:color="94B6D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EC8DD"/>
        <w:left w:val="single" w:sz="8" w:space="0" w:color="AEC8DD"/>
        <w:bottom w:val="single" w:sz="8" w:space="0" w:color="AEC8DD"/>
        <w:right w:val="single" w:sz="8" w:space="0" w:color="AEC8DD"/>
        <w:insideH w:val="single" w:sz="8" w:space="0" w:color="AEC8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basedOn w:val="Normal"/>
    <w:uiPriority w:val="99"/>
    <w:rsid w:val="007D0D01"/>
    <w:pPr>
      <w:spacing w:line="480" w:lineRule="auto"/>
      <w:ind w:firstLine="720"/>
    </w:pPr>
    <w:rPr>
      <w:rFonts w:cs="Calibri"/>
    </w:rPr>
  </w:style>
  <w:style w:type="character" w:customStyle="1" w:styleId="yay">
    <w:name w:val="yay"/>
    <w:basedOn w:val="DefaultParagraphFont"/>
    <w:rsid w:val="007D0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3</cp:revision>
  <dcterms:created xsi:type="dcterms:W3CDTF">2012-08-20T18:06:00Z</dcterms:created>
  <dcterms:modified xsi:type="dcterms:W3CDTF">2012-08-20T18:16:00Z</dcterms:modified>
</cp:coreProperties>
</file>