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1" w:rsidRDefault="007D0D01" w:rsidP="00EF1353">
      <w:pPr>
        <w:pStyle w:val="Heading5"/>
        <w:spacing w:before="0" w:after="120" w:line="240" w:lineRule="auto"/>
        <w:ind w:left="-270"/>
        <w:rPr>
          <w:rFonts w:ascii="Calibri" w:hAnsi="Calibri" w:cs="Calibri"/>
          <w:color w:val="auto"/>
        </w:rPr>
      </w:pPr>
      <w:r w:rsidRPr="00FA12FB">
        <w:rPr>
          <w:rFonts w:ascii="Calibri" w:hAnsi="Calibri" w:cs="Calibri"/>
          <w:color w:val="auto"/>
        </w:rPr>
        <w:t>Table S3. Base case results</w:t>
      </w:r>
      <w:r>
        <w:rPr>
          <w:rFonts w:ascii="Calibri" w:hAnsi="Calibri" w:cs="Calibri"/>
          <w:color w:val="auto"/>
        </w:rPr>
        <w:t xml:space="preserve"> for all strategies considered.*</w:t>
      </w:r>
    </w:p>
    <w:tbl>
      <w:tblPr>
        <w:tblW w:w="13746" w:type="dxa"/>
        <w:jc w:val="center"/>
        <w:tblInd w:w="-568" w:type="dxa"/>
        <w:tblLook w:val="00A0"/>
      </w:tblPr>
      <w:tblGrid>
        <w:gridCol w:w="1700"/>
        <w:gridCol w:w="2033"/>
        <w:gridCol w:w="1429"/>
        <w:gridCol w:w="1438"/>
        <w:gridCol w:w="1349"/>
        <w:gridCol w:w="1221"/>
        <w:gridCol w:w="1221"/>
        <w:gridCol w:w="1645"/>
        <w:gridCol w:w="1710"/>
      </w:tblGrid>
      <w:tr w:rsidR="007D0D01" w:rsidRPr="00C715A0" w:rsidTr="0079544B">
        <w:trPr>
          <w:jc w:val="center"/>
        </w:trPr>
        <w:tc>
          <w:tcPr>
            <w:tcW w:w="170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D0D01" w:rsidRDefault="007D0D01" w:rsidP="001D0B08">
            <w:pPr>
              <w:pStyle w:val="NoSpacing"/>
              <w:keepLines/>
              <w:rPr>
                <w:rFonts w:cs="Calibri"/>
                <w:b/>
                <w:sz w:val="20"/>
                <w:szCs w:val="20"/>
              </w:rPr>
            </w:pPr>
            <w:r w:rsidRPr="00EB7BE9">
              <w:rPr>
                <w:rFonts w:cs="Calibri"/>
                <w:b/>
                <w:sz w:val="20"/>
                <w:szCs w:val="20"/>
              </w:rPr>
              <w:t>Screening Protocol</w:t>
            </w:r>
          </w:p>
        </w:tc>
        <w:tc>
          <w:tcPr>
            <w:tcW w:w="2033" w:type="dxa"/>
            <w:tcBorders>
              <w:top w:val="single" w:sz="18" w:space="0" w:color="000000"/>
              <w:bottom w:val="single" w:sz="12" w:space="0" w:color="000000"/>
            </w:tcBorders>
          </w:tcPr>
          <w:p w:rsidR="007D0D01" w:rsidRDefault="007D0D01" w:rsidP="001D0B08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 w:rsidRPr="00EB7BE9">
              <w:rPr>
                <w:rFonts w:cs="Calibri"/>
                <w:b/>
                <w:sz w:val="20"/>
                <w:szCs w:val="20"/>
              </w:rPr>
              <w:t>Screening Frequency</w:t>
            </w:r>
            <w:r>
              <w:rPr>
                <w:rFonts w:cs="Calibri"/>
                <w:b/>
                <w:sz w:val="20"/>
                <w:szCs w:val="20"/>
              </w:rPr>
              <w:t>**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:rsidR="007D0D01" w:rsidRPr="00EB7BE9" w:rsidRDefault="007D0D01" w:rsidP="001D0B08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 w:rsidRPr="00EB7BE9">
              <w:rPr>
                <w:rFonts w:cs="Calibri"/>
                <w:b/>
                <w:sz w:val="20"/>
                <w:szCs w:val="20"/>
              </w:rPr>
              <w:t>HIV Infections Averted</w:t>
            </w:r>
          </w:p>
        </w:tc>
        <w:tc>
          <w:tcPr>
            <w:tcW w:w="1438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:rsidR="007D0D01" w:rsidRPr="00EB7BE9" w:rsidRDefault="007D0D01" w:rsidP="001D0B08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 w:rsidRPr="00EB7BE9">
              <w:rPr>
                <w:rFonts w:cs="Calibri"/>
                <w:b/>
                <w:sz w:val="20"/>
                <w:szCs w:val="20"/>
              </w:rPr>
              <w:t>HCV Infections Averted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:rsidR="007D0D01" w:rsidRPr="00EB7BE9" w:rsidRDefault="007D0D01" w:rsidP="001D0B08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Incremental</w:t>
            </w:r>
            <w:r w:rsidRPr="00EB7BE9">
              <w:rPr>
                <w:rFonts w:cs="Calibri"/>
                <w:b/>
                <w:sz w:val="20"/>
                <w:szCs w:val="20"/>
              </w:rPr>
              <w:t xml:space="preserve"> Cost </w:t>
            </w:r>
          </w:p>
        </w:tc>
        <w:tc>
          <w:tcPr>
            <w:tcW w:w="1221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:rsidR="007D0D01" w:rsidRPr="00EB7BE9" w:rsidRDefault="007D0D01" w:rsidP="001D0B08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Incremental </w:t>
            </w:r>
            <w:r w:rsidRPr="00EB7BE9">
              <w:rPr>
                <w:rFonts w:cs="Calibri"/>
                <w:b/>
                <w:sz w:val="20"/>
                <w:szCs w:val="20"/>
              </w:rPr>
              <w:t>LYs</w:t>
            </w:r>
          </w:p>
        </w:tc>
        <w:tc>
          <w:tcPr>
            <w:tcW w:w="1221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:rsidR="007D0D01" w:rsidRPr="00EB7BE9" w:rsidRDefault="007D0D01" w:rsidP="001D0B08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Incremental QALYs</w:t>
            </w:r>
          </w:p>
        </w:tc>
        <w:tc>
          <w:tcPr>
            <w:tcW w:w="1645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:rsidR="007D0D01" w:rsidRPr="00EB7BE9" w:rsidRDefault="007D0D01" w:rsidP="0079544B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 w:rsidRPr="00EB7BE9">
              <w:rPr>
                <w:rFonts w:cs="Calibri"/>
                <w:b/>
                <w:sz w:val="20"/>
                <w:szCs w:val="20"/>
              </w:rPr>
              <w:t>ICER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B7BE9">
              <w:rPr>
                <w:rFonts w:cs="Calibri"/>
                <w:b/>
                <w:sz w:val="20"/>
                <w:szCs w:val="20"/>
              </w:rPr>
              <w:t>($/LY gained)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12" w:space="0" w:color="000000"/>
            </w:tcBorders>
            <w:vAlign w:val="bottom"/>
          </w:tcPr>
          <w:p w:rsidR="007D0D01" w:rsidRPr="00EB7BE9" w:rsidRDefault="007D0D01" w:rsidP="0079544B">
            <w:pPr>
              <w:pStyle w:val="NoSpacing"/>
              <w:keepLines/>
              <w:jc w:val="center"/>
              <w:rPr>
                <w:rFonts w:cs="Calibri"/>
                <w:b/>
                <w:sz w:val="20"/>
                <w:szCs w:val="20"/>
              </w:rPr>
            </w:pPr>
            <w:r w:rsidRPr="00EB7BE9">
              <w:rPr>
                <w:rFonts w:cs="Calibri"/>
                <w:b/>
                <w:sz w:val="20"/>
                <w:szCs w:val="20"/>
              </w:rPr>
              <w:t>ICER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B7BE9">
              <w:rPr>
                <w:rFonts w:cs="Calibri"/>
                <w:b/>
                <w:sz w:val="20"/>
                <w:szCs w:val="20"/>
              </w:rPr>
              <w:t>($/QALY gained)</w:t>
            </w:r>
          </w:p>
        </w:tc>
      </w:tr>
      <w:tr w:rsidR="007D0D01" w:rsidRPr="002C2866" w:rsidTr="0079544B">
        <w:trPr>
          <w:jc w:val="center"/>
        </w:trPr>
        <w:tc>
          <w:tcPr>
            <w:tcW w:w="170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No screening***</w:t>
            </w:r>
          </w:p>
        </w:tc>
        <w:tc>
          <w:tcPr>
            <w:tcW w:w="2033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</w:p>
        </w:tc>
        <w:tc>
          <w:tcPr>
            <w:tcW w:w="1429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13.78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0.01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1,580,365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169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141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9,365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11,191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20.22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0.00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2,874,166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206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16,938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20,075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23.55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0.02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3,832,733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281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237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26,436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30,713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28.54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(0.37)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5,509,497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337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287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30,323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33,503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27.56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0.00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5,630,700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323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41.51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(0.60)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11,200,954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416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37,900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44,141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49.34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(0.75)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16,207,602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574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492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65,883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2.34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18.06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20,215,708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152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4C149A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12.79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17.98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21,364,310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613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258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19.26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17.95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22,630,907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323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2.43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19.96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23,277,012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532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149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22.59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17.96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23,580,884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725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354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2.47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19.92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24,291,675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534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146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2.68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21.76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24,865,474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505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148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27.57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17.58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25,273,569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780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404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26.61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17.94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25,376,341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766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390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19.10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19.85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25,652,696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731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318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57.82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(0.96)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25,664,563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668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574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115,429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12.76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21.68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25,976,968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627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251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2.50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19.87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26,004,933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535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144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lastRenderedPageBreak/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lastRenderedPageBreak/>
              <w:t>6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lastRenderedPageBreak/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lastRenderedPageBreak/>
              <w:t>22.44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19.86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26,602,016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767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349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lastRenderedPageBreak/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19.23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21.66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27,242,783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703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316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22.44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19.82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27,612,067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769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346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22.57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21.66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28,192,612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739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347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26.45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19.84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28,397,627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809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385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26.45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19.80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29,408,034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811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382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27.55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21.28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29,886,565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794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397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26.58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21.64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29,988,105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781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2.74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24.55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30,139,070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544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148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40.57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17.33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30,938,150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930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533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44,532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26.46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19.75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31,118,258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812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380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19.07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24.45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32,482,845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739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313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2.76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25.08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33,370,790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547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147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22.41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24.45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33,434,558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776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344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40.41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19.22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33,959,018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972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528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26.43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24.43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35,231,640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817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381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40.54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21.03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35,550,387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944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526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48.42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17.17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35,936,712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1,017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609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57,192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lastRenderedPageBreak/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lastRenderedPageBreak/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22.40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24.98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36,659,723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778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343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lastRenderedPageBreak/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26.42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24.96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38,458,114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820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380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months; 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48.26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19.06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38,956,858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1,060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604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71,399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2.77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27.57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39,233,499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552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156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48.27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19.02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39,966,882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1,062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601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48.39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20.87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40,548,855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1,032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602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40.39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23.82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40,789,651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981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523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26.41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27.45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44,315,366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825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388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56.90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16.96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45,390,578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1,111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691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168,600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48.24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23.66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45,790,344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1,068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599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56.75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18.86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48,410,723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1,154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686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100,749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48.23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24.19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49,015,183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1,071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598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56.75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18.82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49,421,140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1,156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683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489,639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Upon entry to ORT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56.87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20.67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50,002,788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1,125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684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56.75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18.77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51,131,261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1,157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680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Annual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56.72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23.45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55,246,297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1,162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681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905,133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6 months</w:t>
            </w:r>
          </w:p>
        </w:tc>
        <w:tc>
          <w:tcPr>
            <w:tcW w:w="1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56.71</w:t>
            </w: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23.98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58,472,543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1,164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680</w:t>
            </w: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Ext. Dominated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  <w:tr w:rsidR="007D0D01" w:rsidRPr="00526F77" w:rsidTr="0079544B">
        <w:trPr>
          <w:jc w:val="center"/>
        </w:trPr>
        <w:tc>
          <w:tcPr>
            <w:tcW w:w="170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</w:pPr>
            <w:r w:rsidRPr="00FA12FB">
              <w:rPr>
                <w:sz w:val="22"/>
              </w:rPr>
              <w:t>Anti-HIV+RNA;</w:t>
            </w:r>
            <w:r>
              <w:rPr>
                <w:sz w:val="22"/>
              </w:rPr>
              <w:t xml:space="preserve">                  </w:t>
            </w:r>
            <w:r w:rsidRPr="00FA12FB">
              <w:rPr>
                <w:sz w:val="22"/>
              </w:rPr>
              <w:t>Anti-HCV+RNA</w:t>
            </w:r>
          </w:p>
        </w:tc>
        <w:tc>
          <w:tcPr>
            <w:tcW w:w="203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</w:pPr>
            <w:r w:rsidRPr="00FA12FB">
              <w:rPr>
                <w:sz w:val="22"/>
              </w:rPr>
              <w:t>3 months</w:t>
            </w:r>
          </w:p>
        </w:tc>
        <w:tc>
          <w:tcPr>
            <w:tcW w:w="142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56.71</w:t>
            </w:r>
          </w:p>
        </w:tc>
        <w:tc>
          <w:tcPr>
            <w:tcW w:w="143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26.47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64,329,321</w:t>
            </w:r>
          </w:p>
        </w:tc>
        <w:tc>
          <w:tcPr>
            <w:tcW w:w="122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1,170</w:t>
            </w:r>
          </w:p>
        </w:tc>
        <w:tc>
          <w:tcPr>
            <w:tcW w:w="122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689</w:t>
            </w:r>
          </w:p>
        </w:tc>
        <w:tc>
          <w:tcPr>
            <w:tcW w:w="164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1,220,703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A12FB" w:rsidRDefault="007D0D01" w:rsidP="001D0B08">
            <w:pPr>
              <w:pStyle w:val="NoSpacing"/>
              <w:jc w:val="center"/>
              <w:rPr>
                <w:color w:val="000000"/>
              </w:rPr>
            </w:pPr>
            <w:r w:rsidRPr="00FA12FB">
              <w:rPr>
                <w:color w:val="000000"/>
                <w:sz w:val="22"/>
              </w:rPr>
              <w:t>Dominated</w:t>
            </w:r>
          </w:p>
        </w:tc>
      </w:tr>
    </w:tbl>
    <w:p w:rsidR="007D0D01" w:rsidRDefault="007D0D01" w:rsidP="000E0948">
      <w:pPr>
        <w:spacing w:before="120" w:after="0" w:line="240" w:lineRule="auto"/>
        <w:ind w:left="-446"/>
      </w:pPr>
      <w:r>
        <w:lastRenderedPageBreak/>
        <w:t xml:space="preserve">HIV – human immunodeficiency virus; HCV – hepatitis C virus; </w:t>
      </w:r>
      <w:r w:rsidRPr="00AA6FF2">
        <w:t>ICER – incremental cost-effectiveness ratio</w:t>
      </w:r>
    </w:p>
    <w:p w:rsidR="007D0D01" w:rsidRPr="00FA12FB" w:rsidRDefault="007D0D01" w:rsidP="000E0948">
      <w:pPr>
        <w:spacing w:before="120" w:after="0" w:line="240" w:lineRule="auto"/>
        <w:ind w:left="-446"/>
      </w:pPr>
      <w:r w:rsidRPr="00FA12FB">
        <w:t>*“Dominated” indicates that the strategy costs more and provides fewer QALYs than another strategy or a combination of two strategies (called “Extended Dominance”).</w:t>
      </w:r>
    </w:p>
    <w:p w:rsidR="007D0D01" w:rsidRPr="00FA12FB" w:rsidRDefault="007D0D01" w:rsidP="000E0948">
      <w:pPr>
        <w:spacing w:before="120" w:after="0" w:line="240" w:lineRule="auto"/>
        <w:ind w:left="-446"/>
      </w:pPr>
      <w:r w:rsidRPr="00FA12FB">
        <w:t>** Frequencies considered were:</w:t>
      </w:r>
      <w:r>
        <w:t xml:space="preserve"> </w:t>
      </w:r>
      <w:r w:rsidRPr="00FA12FB">
        <w:t>Upon entry to ORT; “Annual” = Upon entry to ORT and annually while in ORT; “6 months” = Upon entry to ORT and every 6 months while in ORT; “3 months” = Upon entry to ORT and every 3 months while in ORT; “1 month” = Upon entry to ORT and monthly while in ORT.</w:t>
      </w:r>
    </w:p>
    <w:p w:rsidR="002B6D0E" w:rsidRDefault="007D0D01" w:rsidP="004C47BB">
      <w:pPr>
        <w:spacing w:after="120" w:line="240" w:lineRule="auto"/>
        <w:ind w:left="-446" w:right="-547"/>
      </w:pPr>
      <w:r w:rsidRPr="00FA12FB">
        <w:t>*** This strategy consists of baseline case detection rates in the IDU and non-IDU populations and no screening targeted to individuals in ORT.</w:t>
      </w:r>
    </w:p>
    <w:sectPr w:rsidR="002B6D0E" w:rsidSect="004C47B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21" w:rsidRDefault="00920721" w:rsidP="0081732E">
      <w:pPr>
        <w:spacing w:after="0" w:line="240" w:lineRule="auto"/>
      </w:pPr>
      <w:r>
        <w:separator/>
      </w:r>
    </w:p>
  </w:endnote>
  <w:endnote w:type="continuationSeparator" w:id="0">
    <w:p w:rsidR="00920721" w:rsidRDefault="00920721" w:rsidP="0081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21" w:rsidRDefault="00920721" w:rsidP="0081732E">
      <w:pPr>
        <w:spacing w:after="0" w:line="240" w:lineRule="auto"/>
      </w:pPr>
      <w:r>
        <w:separator/>
      </w:r>
    </w:p>
  </w:footnote>
  <w:footnote w:type="continuationSeparator" w:id="0">
    <w:p w:rsidR="00920721" w:rsidRDefault="00920721" w:rsidP="0081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0C"/>
    <w:multiLevelType w:val="hybridMultilevel"/>
    <w:tmpl w:val="CC72ED78"/>
    <w:lvl w:ilvl="0" w:tplc="BD109B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162CD"/>
    <w:multiLevelType w:val="hybridMultilevel"/>
    <w:tmpl w:val="1CB6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753FD"/>
    <w:multiLevelType w:val="multilevel"/>
    <w:tmpl w:val="B2E23958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0A895F88"/>
    <w:multiLevelType w:val="multilevel"/>
    <w:tmpl w:val="73002E9E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76948E0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3781B"/>
    <w:multiLevelType w:val="multilevel"/>
    <w:tmpl w:val="EFB0CA5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09108EC"/>
    <w:multiLevelType w:val="hybridMultilevel"/>
    <w:tmpl w:val="532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A1E5C"/>
    <w:multiLevelType w:val="hybridMultilevel"/>
    <w:tmpl w:val="67709860"/>
    <w:lvl w:ilvl="0" w:tplc="208E2868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81683"/>
    <w:multiLevelType w:val="hybridMultilevel"/>
    <w:tmpl w:val="3A146ADE"/>
    <w:lvl w:ilvl="0" w:tplc="BC245466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51B54"/>
    <w:multiLevelType w:val="multilevel"/>
    <w:tmpl w:val="32789268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3CEB565B"/>
    <w:multiLevelType w:val="hybridMultilevel"/>
    <w:tmpl w:val="462A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F68D2"/>
    <w:multiLevelType w:val="multilevel"/>
    <w:tmpl w:val="308E43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2">
    <w:nsid w:val="437B1ACC"/>
    <w:multiLevelType w:val="multilevel"/>
    <w:tmpl w:val="52C6F58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AFB42A9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CD1E3C"/>
    <w:multiLevelType w:val="multilevel"/>
    <w:tmpl w:val="4EAA3314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53EB228B"/>
    <w:multiLevelType w:val="multilevel"/>
    <w:tmpl w:val="D3FAD84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65D73E0"/>
    <w:multiLevelType w:val="hybridMultilevel"/>
    <w:tmpl w:val="8D6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4561A6"/>
    <w:multiLevelType w:val="hybridMultilevel"/>
    <w:tmpl w:val="EF9CD6A0"/>
    <w:lvl w:ilvl="0" w:tplc="F648A936">
      <w:start w:val="35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51E7"/>
    <w:multiLevelType w:val="hybridMultilevel"/>
    <w:tmpl w:val="846A3EF8"/>
    <w:lvl w:ilvl="0" w:tplc="1E0AAE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E757F"/>
    <w:multiLevelType w:val="multilevel"/>
    <w:tmpl w:val="FD02D2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0">
    <w:nsid w:val="725A3247"/>
    <w:multiLevelType w:val="hybridMultilevel"/>
    <w:tmpl w:val="D48C7836"/>
    <w:lvl w:ilvl="0" w:tplc="580AF0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86D66"/>
    <w:multiLevelType w:val="hybridMultilevel"/>
    <w:tmpl w:val="78943678"/>
    <w:lvl w:ilvl="0" w:tplc="76F29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018D1"/>
    <w:multiLevelType w:val="hybridMultilevel"/>
    <w:tmpl w:val="9104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8"/>
  </w:num>
  <w:num w:numId="17">
    <w:abstractNumId w:val="22"/>
  </w:num>
  <w:num w:numId="18">
    <w:abstractNumId w:val="0"/>
  </w:num>
  <w:num w:numId="19">
    <w:abstractNumId w:val="17"/>
  </w:num>
  <w:num w:numId="20">
    <w:abstractNumId w:val="8"/>
  </w:num>
  <w:num w:numId="21">
    <w:abstractNumId w:val="7"/>
  </w:num>
  <w:num w:numId="22">
    <w:abstractNumId w:val="21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D0D01"/>
    <w:rsid w:val="002B6D0E"/>
    <w:rsid w:val="004C47BB"/>
    <w:rsid w:val="005D03D1"/>
    <w:rsid w:val="00666C81"/>
    <w:rsid w:val="007D0D01"/>
    <w:rsid w:val="0081732E"/>
    <w:rsid w:val="00920721"/>
    <w:rsid w:val="009A58A0"/>
    <w:rsid w:val="00BE789A"/>
    <w:rsid w:val="00C6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D0D01"/>
    <w:pPr>
      <w:spacing w:after="240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D01"/>
    <w:pPr>
      <w:spacing w:before="600" w:after="0"/>
      <w:contextualSpacing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D01"/>
    <w:pPr>
      <w:spacing w:before="200" w:after="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D01"/>
    <w:pPr>
      <w:spacing w:before="240" w:after="0"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0D0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aliases w:val="Table/Figure Title"/>
    <w:basedOn w:val="Normal"/>
    <w:next w:val="Normal"/>
    <w:link w:val="Heading5Char"/>
    <w:uiPriority w:val="99"/>
    <w:qFormat/>
    <w:rsid w:val="007D0D0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0D0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0D0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0D0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0D0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D01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D0D01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D0D01"/>
    <w:rPr>
      <w:rFonts w:ascii="Calibri" w:eastAsia="Times New Roman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D0D01"/>
    <w:rPr>
      <w:rFonts w:ascii="Cambria" w:eastAsia="Times New Roman" w:hAnsi="Cambria" w:cs="Times New Roman"/>
      <w:b/>
      <w:bCs/>
      <w:i/>
      <w:iCs/>
      <w:sz w:val="24"/>
    </w:rPr>
  </w:style>
  <w:style w:type="character" w:customStyle="1" w:styleId="Heading5Char">
    <w:name w:val="Heading 5 Char"/>
    <w:aliases w:val="Table/Figure Title Char"/>
    <w:basedOn w:val="DefaultParagraphFont"/>
    <w:link w:val="Heading5"/>
    <w:uiPriority w:val="99"/>
    <w:rsid w:val="007D0D01"/>
    <w:rPr>
      <w:rFonts w:ascii="Cambria" w:eastAsia="Times New Roman" w:hAnsi="Cambria" w:cs="Times New Roman"/>
      <w:b/>
      <w:bCs/>
      <w:color w:val="7F7F7F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7D0D01"/>
    <w:rPr>
      <w:rFonts w:ascii="Cambria" w:eastAsia="Times New Roman" w:hAnsi="Cambria" w:cs="Times New Roman"/>
      <w:b/>
      <w:bCs/>
      <w:i/>
      <w:iCs/>
      <w:color w:val="7F7F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D0D01"/>
    <w:rPr>
      <w:rFonts w:ascii="Cambria" w:eastAsia="Times New Roman" w:hAnsi="Cambria" w:cs="Times New Roman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0D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D0D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7D0D01"/>
    <w:pPr>
      <w:spacing w:after="100"/>
    </w:pPr>
    <w:rPr>
      <w:rFonts w:ascii="Cambria" w:hAnsi="Cambria"/>
      <w:b/>
      <w:color w:val="002060"/>
    </w:rPr>
  </w:style>
  <w:style w:type="paragraph" w:styleId="TOC2">
    <w:name w:val="toc 2"/>
    <w:basedOn w:val="Normal"/>
    <w:next w:val="Normal"/>
    <w:autoRedefine/>
    <w:uiPriority w:val="99"/>
    <w:rsid w:val="007D0D01"/>
    <w:pPr>
      <w:tabs>
        <w:tab w:val="left" w:pos="1100"/>
        <w:tab w:val="right" w:leader="dot" w:pos="9350"/>
      </w:tabs>
      <w:spacing w:after="100"/>
      <w:ind w:left="220"/>
    </w:pPr>
    <w:rPr>
      <w:noProof/>
      <w:color w:val="002060"/>
    </w:rPr>
  </w:style>
  <w:style w:type="paragraph" w:styleId="TOC3">
    <w:name w:val="toc 3"/>
    <w:basedOn w:val="Normal"/>
    <w:next w:val="Normal"/>
    <w:autoRedefine/>
    <w:uiPriority w:val="99"/>
    <w:rsid w:val="007D0D01"/>
    <w:pPr>
      <w:spacing w:after="100"/>
      <w:ind w:left="440"/>
    </w:pPr>
    <w:rPr>
      <w:rFonts w:ascii="Times New Roman" w:hAnsi="Times New Roman"/>
      <w:i/>
      <w:color w:val="355D7E"/>
    </w:rPr>
  </w:style>
  <w:style w:type="paragraph" w:styleId="Caption">
    <w:name w:val="caption"/>
    <w:basedOn w:val="Normal"/>
    <w:next w:val="Normal"/>
    <w:uiPriority w:val="99"/>
    <w:qFormat/>
    <w:rsid w:val="007D0D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D0D0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D0D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D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D0D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D0D0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D0D01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7D0D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7D0D01"/>
    <w:rPr>
      <w:rFonts w:ascii="Calibri" w:eastAsia="Times New Roman" w:hAnsi="Calibri" w:cs="Times New Roman"/>
      <w:sz w:val="24"/>
    </w:rPr>
  </w:style>
  <w:style w:type="paragraph" w:styleId="ListParagraph">
    <w:name w:val="List Paragraph"/>
    <w:basedOn w:val="Normal"/>
    <w:uiPriority w:val="99"/>
    <w:qFormat/>
    <w:rsid w:val="007D0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D0D0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7D0D01"/>
    <w:rPr>
      <w:rFonts w:ascii="Calibri" w:eastAsia="Times New Roman" w:hAnsi="Calibri" w:cs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0D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D0D01"/>
    <w:rPr>
      <w:rFonts w:ascii="Calibri" w:eastAsia="Times New Roman" w:hAnsi="Calibri" w:cs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99"/>
    <w:qFormat/>
    <w:rsid w:val="007D0D0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D0D01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D0D0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D0D01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D0D01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D0D01"/>
    <w:pPr>
      <w:outlineLvl w:val="9"/>
    </w:pPr>
  </w:style>
  <w:style w:type="paragraph" w:customStyle="1" w:styleId="heading1noTOC">
    <w:name w:val="heading 1 no TOC"/>
    <w:basedOn w:val="Heading1"/>
    <w:next w:val="Normal"/>
    <w:link w:val="heading1noTOCChar"/>
    <w:uiPriority w:val="99"/>
    <w:rsid w:val="007D0D01"/>
  </w:style>
  <w:style w:type="character" w:customStyle="1" w:styleId="heading1noTOCChar">
    <w:name w:val="heading 1 no TOC Char"/>
    <w:basedOn w:val="Heading1Char"/>
    <w:link w:val="heading1noTOC"/>
    <w:uiPriority w:val="99"/>
    <w:locked/>
    <w:rsid w:val="007D0D01"/>
  </w:style>
  <w:style w:type="paragraph" w:customStyle="1" w:styleId="SubheadingList">
    <w:name w:val="Subheading List"/>
    <w:basedOn w:val="Heading5"/>
    <w:next w:val="Normal"/>
    <w:link w:val="SubheadingListChar"/>
    <w:uiPriority w:val="99"/>
    <w:rsid w:val="007D0D01"/>
    <w:pPr>
      <w:ind w:left="180"/>
    </w:pPr>
    <w:rPr>
      <w:color w:val="355D7E"/>
    </w:rPr>
  </w:style>
  <w:style w:type="character" w:styleId="Hyperlink">
    <w:name w:val="Hyperlink"/>
    <w:basedOn w:val="DefaultParagraphFont"/>
    <w:uiPriority w:val="99"/>
    <w:rsid w:val="007D0D01"/>
    <w:rPr>
      <w:rFonts w:cs="Times New Roman"/>
      <w:color w:val="F7B615"/>
      <w:u w:val="single"/>
    </w:rPr>
  </w:style>
  <w:style w:type="character" w:customStyle="1" w:styleId="SubheadingListChar">
    <w:name w:val="Subheading List Char"/>
    <w:basedOn w:val="Heading5Char"/>
    <w:link w:val="SubheadingList"/>
    <w:uiPriority w:val="99"/>
    <w:locked/>
    <w:rsid w:val="007D0D01"/>
    <w:rPr>
      <w:color w:val="355D7E"/>
    </w:rPr>
  </w:style>
  <w:style w:type="paragraph" w:styleId="BalloonText">
    <w:name w:val="Balloon Text"/>
    <w:basedOn w:val="Normal"/>
    <w:link w:val="BalloonTextChar"/>
    <w:uiPriority w:val="99"/>
    <w:semiHidden/>
    <w:rsid w:val="007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paragraph" w:customStyle="1" w:styleId="SubheadingList2">
    <w:name w:val="Subheading List 2"/>
    <w:basedOn w:val="SubheadingList"/>
    <w:next w:val="Normal"/>
    <w:link w:val="SubheadingList2Char"/>
    <w:uiPriority w:val="99"/>
    <w:rsid w:val="007D0D01"/>
    <w:pPr>
      <w:numPr>
        <w:ilvl w:val="2"/>
      </w:numPr>
      <w:ind w:left="180"/>
    </w:pPr>
  </w:style>
  <w:style w:type="character" w:customStyle="1" w:styleId="SubheadingList2Char">
    <w:name w:val="Subheading List 2 Char"/>
    <w:basedOn w:val="SubheadingListChar"/>
    <w:link w:val="SubheadingList2"/>
    <w:uiPriority w:val="99"/>
    <w:locked/>
    <w:rsid w:val="007D0D01"/>
  </w:style>
  <w:style w:type="table" w:styleId="TableGrid">
    <w:name w:val="Table Grid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6024"/>
      </w:tcPr>
    </w:tblStylePr>
    <w:tblStylePr w:type="lastRow">
      <w:rPr>
        <w:rFonts w:cs="Times New Roman"/>
        <w:b/>
        <w:bCs/>
        <w:color w:val="C460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rPr>
        <w:rFonts w:cs="Times New Roman"/>
      </w:rPr>
      <w:tblPr/>
      <w:tcPr>
        <w:shd w:val="clear" w:color="auto" w:fill="E9F0F6"/>
      </w:tcPr>
    </w:tblStylePr>
  </w:style>
  <w:style w:type="table" w:customStyle="1" w:styleId="LightList1">
    <w:name w:val="Light List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71676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8C8C"/>
        <w:bottom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</w:style>
  <w:style w:type="paragraph" w:customStyle="1" w:styleId="TableText">
    <w:name w:val="Table Text"/>
    <w:basedOn w:val="Normal"/>
    <w:uiPriority w:val="99"/>
    <w:rsid w:val="007D0D01"/>
    <w:pPr>
      <w:spacing w:before="20" w:after="20" w:line="240" w:lineRule="auto"/>
    </w:pPr>
  </w:style>
  <w:style w:type="character" w:styleId="CommentReference">
    <w:name w:val="annotation reference"/>
    <w:basedOn w:val="DefaultParagraphFont"/>
    <w:uiPriority w:val="99"/>
    <w:semiHidden/>
    <w:rsid w:val="007D0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01"/>
    <w:rPr>
      <w:b/>
      <w:bCs/>
    </w:rPr>
  </w:style>
  <w:style w:type="character" w:styleId="HTMLCite">
    <w:name w:val="HTML Cite"/>
    <w:basedOn w:val="DefaultParagraphFont"/>
    <w:uiPriority w:val="99"/>
    <w:semiHidden/>
    <w:rsid w:val="007D0D01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7D0D0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7D0D01"/>
    <w:pPr>
      <w:spacing w:after="120"/>
      <w:ind w:firstLine="720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0D0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0D0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01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01"/>
    <w:rPr>
      <w:rFonts w:ascii="Calibri" w:eastAsia="Times New Roman" w:hAnsi="Calibri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7D0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548AB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B6D2"/>
        <w:bottom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C8DD"/>
        <w:left w:val="single" w:sz="8" w:space="0" w:color="AEC8DD"/>
        <w:bottom w:val="single" w:sz="8" w:space="0" w:color="AEC8DD"/>
        <w:right w:val="single" w:sz="8" w:space="0" w:color="AEC8DD"/>
        <w:insideH w:val="single" w:sz="8" w:space="0" w:color="AEC8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uiPriority w:val="99"/>
    <w:rsid w:val="007D0D01"/>
    <w:pPr>
      <w:spacing w:line="480" w:lineRule="auto"/>
      <w:ind w:firstLine="720"/>
    </w:pPr>
    <w:rPr>
      <w:rFonts w:cs="Calibri"/>
    </w:rPr>
  </w:style>
  <w:style w:type="character" w:customStyle="1" w:styleId="yay">
    <w:name w:val="yay"/>
    <w:basedOn w:val="DefaultParagraphFont"/>
    <w:rsid w:val="007D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EA66-0987-4F89-A1A0-306409C6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4</cp:revision>
  <dcterms:created xsi:type="dcterms:W3CDTF">2012-08-20T18:06:00Z</dcterms:created>
  <dcterms:modified xsi:type="dcterms:W3CDTF">2012-08-20T18:13:00Z</dcterms:modified>
</cp:coreProperties>
</file>