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89" w:rsidRPr="00EB2789" w:rsidRDefault="007D0D01" w:rsidP="00EB2789">
      <w:pPr>
        <w:pStyle w:val="Normal2"/>
        <w:spacing w:after="120" w:line="240" w:lineRule="auto"/>
        <w:ind w:left="-446" w:right="-187" w:firstLine="0"/>
        <w:rPr>
          <w:b/>
          <w:bCs/>
        </w:rPr>
      </w:pPr>
      <w:r w:rsidRPr="00F66F09">
        <w:rPr>
          <w:b/>
          <w:bCs/>
        </w:rPr>
        <w:t>Table S</w:t>
      </w:r>
      <w:r>
        <w:rPr>
          <w:b/>
          <w:bCs/>
        </w:rPr>
        <w:t>1</w:t>
      </w:r>
      <w:r w:rsidRPr="00F66F09">
        <w:rPr>
          <w:b/>
          <w:bCs/>
        </w:rPr>
        <w:t xml:space="preserve">. </w:t>
      </w:r>
      <w:r>
        <w:rPr>
          <w:b/>
          <w:bCs/>
        </w:rPr>
        <w:t>Base case parameter values and range for sensitivity analysis.</w:t>
      </w:r>
      <w:r w:rsidR="00EB2789">
        <w:rPr>
          <w:b/>
          <w:bCs/>
        </w:rPr>
        <w:t xml:space="preserve"> </w:t>
      </w:r>
      <w:r w:rsidR="00EB2789" w:rsidRPr="00EB2789">
        <w:rPr>
          <w:bCs/>
        </w:rPr>
        <w:t>(</w:t>
      </w:r>
      <w:r w:rsidR="00EB2789">
        <w:rPr>
          <w:bCs/>
        </w:rPr>
        <w:t xml:space="preserve">Note: </w:t>
      </w:r>
      <w:r w:rsidR="00EB2789" w:rsidRPr="00EB2789">
        <w:rPr>
          <w:bCs/>
        </w:rPr>
        <w:t>Reference numbers refer to the reference list in the Appendix.)</w:t>
      </w:r>
    </w:p>
    <w:tbl>
      <w:tblPr>
        <w:tblW w:w="9720" w:type="dxa"/>
        <w:jc w:val="center"/>
        <w:tblLayout w:type="fixed"/>
        <w:tblLook w:val="00A0"/>
      </w:tblPr>
      <w:tblGrid>
        <w:gridCol w:w="3510"/>
        <w:gridCol w:w="90"/>
        <w:gridCol w:w="1620"/>
        <w:gridCol w:w="1350"/>
        <w:gridCol w:w="1440"/>
        <w:gridCol w:w="1710"/>
      </w:tblGrid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Variable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7D0D01" w:rsidRPr="00F26253" w:rsidRDefault="007D0D01" w:rsidP="00F26253">
            <w:pPr>
              <w:pStyle w:val="TableText"/>
              <w:jc w:val="center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Base case value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Range</w:t>
            </w:r>
            <w:r>
              <w:rPr>
                <w:rFonts w:cs="Calibri"/>
                <w:b/>
                <w:sz w:val="22"/>
              </w:rPr>
              <w:t xml:space="preserve">   </w:t>
            </w:r>
            <w:r w:rsidRPr="00F26253">
              <w:rPr>
                <w:rFonts w:cs="Calibri"/>
                <w:b/>
                <w:sz w:val="22"/>
              </w:rPr>
              <w:t>(low)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Range</w:t>
            </w:r>
            <w:r>
              <w:rPr>
                <w:rFonts w:cs="Calibri"/>
                <w:b/>
                <w:sz w:val="22"/>
              </w:rPr>
              <w:t xml:space="preserve">   </w:t>
            </w:r>
            <w:r w:rsidRPr="00F26253">
              <w:rPr>
                <w:rFonts w:cs="Calibri"/>
                <w:b/>
                <w:sz w:val="22"/>
              </w:rPr>
              <w:t>(high)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Ref/Notes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bCs/>
                <w:sz w:val="22"/>
              </w:rPr>
              <w:t>Baseline mortality by injection drug user status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Non-HIV, Non-HCV mortality</w:t>
            </w:r>
            <w:r w:rsidRPr="00F26253">
              <w:rPr>
                <w:rFonts w:cs="Calibri"/>
                <w:sz w:val="22"/>
              </w:rPr>
              <w:t xml:space="preserve"> (age 15-59, annual rate)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0.0026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0.001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0.004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[139]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IDU, not in treatment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0.0311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0.037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[145,146]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Hazard ratio, IDU in treatment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[146]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IDU, in treatment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0.013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0.0311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  <w:r>
              <w:rPr>
                <w:rFonts w:cs="Calibri"/>
                <w:sz w:val="22"/>
              </w:rPr>
              <w:t xml:space="preserve">, </w:t>
            </w:r>
            <w:r>
              <w:rPr>
                <w:rFonts w:cs="Calibri"/>
                <w:noProof/>
                <w:sz w:val="22"/>
              </w:rPr>
              <w:t>[147]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rPr>
                <w:rFonts w:cs="Calibri"/>
                <w:b/>
                <w:bCs/>
              </w:rPr>
            </w:pPr>
            <w:r w:rsidRPr="00F26253">
              <w:rPr>
                <w:rFonts w:cs="Calibri"/>
                <w:b/>
                <w:bCs/>
                <w:sz w:val="22"/>
              </w:rPr>
              <w:t>HIV progression parameters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rPr>
                <w:rFonts w:cs="Calibri"/>
                <w:b/>
                <w:bCs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Mortality</w:t>
            </w:r>
            <w:r w:rsidRPr="00F26253">
              <w:rPr>
                <w:rFonts w:cs="Calibri"/>
                <w:b/>
                <w:i/>
                <w:sz w:val="22"/>
              </w:rPr>
              <w:t xml:space="preserve">, </w:t>
            </w:r>
            <w:r w:rsidRPr="00F26253">
              <w:rPr>
                <w:rFonts w:cs="Calibri"/>
                <w:i/>
                <w:sz w:val="22"/>
              </w:rPr>
              <w:t>HIV/AIDS CD4 &lt;500 cells/mm</w:t>
            </w:r>
            <w:r w:rsidRPr="00F26253">
              <w:rPr>
                <w:rFonts w:cs="Calibri"/>
                <w:i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5A6017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ART-, Average duration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6.2 years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5.7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9.4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Hazard Ratio, ART+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0.44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[15]</w:t>
            </w:r>
            <w:r w:rsidRPr="00F26253">
              <w:rPr>
                <w:rFonts w:cs="Calibri"/>
                <w:sz w:val="22"/>
              </w:rPr>
              <w:t xml:space="preserve">, Based on </w:t>
            </w:r>
            <w:proofErr w:type="spellStart"/>
            <w:r w:rsidRPr="00F26253">
              <w:rPr>
                <w:rFonts w:cs="Calibri"/>
                <w:sz w:val="22"/>
              </w:rPr>
              <w:t>seroconverters</w:t>
            </w:r>
            <w:proofErr w:type="spellEnd"/>
            <w:r w:rsidRPr="00F26253">
              <w:rPr>
                <w:rFonts w:cs="Calibri"/>
                <w:sz w:val="22"/>
              </w:rPr>
              <w:t xml:space="preserve"> cohort</w:t>
            </w:r>
            <w:r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noProof/>
                <w:sz w:val="22"/>
              </w:rPr>
              <w:t>[16]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Hazard Ratio, HCV+, ART-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0.68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1.35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[4]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Hazard Ratio, HCV+, ART+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1.35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1.63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[4]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Annual rate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ART-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Death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ART-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Death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0.07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Disease Progression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 Phase, Average Duration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 months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[148]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5A6017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Average duration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8.14 years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6.4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16.1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5A6017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Hazard Ratio, IDU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[149,150]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Annual rate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Acute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CD4&gt; 500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CD4&lt;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A6017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ART+: CD4&gt; 500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CD4&lt;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Assumed to be unaffected by ART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Clinical Presentation (annual rate of transition from unknown to known)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FA12FB">
            <w:pPr>
              <w:pStyle w:val="TableText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NIDU, 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Estimated*, </w:t>
            </w:r>
            <w:r>
              <w:rPr>
                <w:rFonts w:cs="Calibri"/>
                <w:noProof/>
                <w:sz w:val="22"/>
              </w:rPr>
              <w:t>[126]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lastRenderedPageBreak/>
              <w:t>NIDU, 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jc w:val="center"/>
            </w:pPr>
            <w:r w:rsidRPr="00F26253">
              <w:rPr>
                <w:rFonts w:cs="Calibri"/>
                <w:sz w:val="22"/>
              </w:rPr>
              <w:t xml:space="preserve">Estimated*, </w:t>
            </w:r>
            <w:r>
              <w:rPr>
                <w:rFonts w:cs="Calibri"/>
                <w:noProof/>
                <w:sz w:val="22"/>
              </w:rPr>
              <w:t>[126]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IDU, 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1.35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Estimated*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IDU, 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1.35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.5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Estimated*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 xml:space="preserve">Access to treatment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  <w:u w:val="single"/>
              </w:rPr>
            </w:pPr>
            <w:r w:rsidRPr="00F26253">
              <w:rPr>
                <w:rFonts w:cs="Calibri"/>
                <w:sz w:val="22"/>
                <w:u w:val="single"/>
              </w:rPr>
              <w:t>Non-IDU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77%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[3,9]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  <w:u w:val="single"/>
              </w:rPr>
            </w:pPr>
            <w:r w:rsidRPr="00F26253">
              <w:rPr>
                <w:rFonts w:cs="Calibri"/>
                <w:sz w:val="22"/>
                <w:u w:val="single"/>
              </w:rPr>
              <w:t>IDU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25%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Assumed</w:t>
            </w:r>
          </w:p>
        </w:tc>
      </w:tr>
      <w:tr w:rsidR="007D0D01" w:rsidRPr="00F26253" w:rsidTr="005618A2">
        <w:trPr>
          <w:jc w:val="center"/>
        </w:trPr>
        <w:tc>
          <w:tcPr>
            <w:tcW w:w="3600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69%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46%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77%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[3,9,10]</w:t>
            </w:r>
          </w:p>
        </w:tc>
      </w:tr>
      <w:tr w:rsidR="007D0D01" w:rsidRPr="00F26253" w:rsidTr="005618A2">
        <w:trPr>
          <w:jc w:val="center"/>
        </w:trPr>
        <w:tc>
          <w:tcPr>
            <w:tcW w:w="5220" w:type="dxa"/>
            <w:gridSpan w:val="3"/>
            <w:tcBorders>
              <w:top w:val="single" w:sz="12" w:space="0" w:color="auto"/>
            </w:tcBorders>
            <w:vAlign w:val="center"/>
          </w:tcPr>
          <w:p w:rsidR="007D0D01" w:rsidRPr="00F26253" w:rsidRDefault="007D0D01" w:rsidP="00451A94">
            <w:pPr>
              <w:pStyle w:val="TableText"/>
              <w:rPr>
                <w:rFonts w:cs="Calibri"/>
              </w:rPr>
            </w:pPr>
            <w:r w:rsidRPr="00F26253">
              <w:rPr>
                <w:b/>
                <w:sz w:val="22"/>
              </w:rPr>
              <w:t>HCV progression parameters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Mortality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ESLD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Death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HIV- (annual rate)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0.43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[37]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B16BB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HR, ESLD mortality if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HIV+ (annual rate)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Disease Progression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 phase duration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 months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Spontaneous clearance rate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35.3%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12%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[5,6,11,12]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HIV-, Acute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F0/1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1.29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0.65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HIV-, Acute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Susceptible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1.4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Relative risk, spontaneous clearance rate if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0.62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[6,13]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HIV+, Acute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F0/1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1.40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3.12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HIV+, Acute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Susceptible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0.60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F0/F1</w:t>
            </w:r>
            <w:r w:rsidRPr="00F26253">
              <w:rPr>
                <w:rFonts w:cs="Calibri"/>
                <w:b/>
                <w:sz w:val="22"/>
              </w:rPr>
              <w:sym w:font="Wingdings" w:char="F0E0"/>
            </w:r>
            <w:r w:rsidRPr="00F26253">
              <w:rPr>
                <w:rFonts w:cs="Calibri"/>
                <w:b/>
                <w:sz w:val="22"/>
              </w:rPr>
              <w:t>F2-4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HR, HIV+, ART-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2.49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1.81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3.42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HR, HIV+,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1.72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2.80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HIV+, ART-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0.074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0.043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0.129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HIV+,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0.051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0.104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60453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HR, IDU 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1.35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2.75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[7,44]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F2-4</w:t>
            </w:r>
            <w:r w:rsidRPr="00F26253">
              <w:rPr>
                <w:rFonts w:cs="Calibri"/>
                <w:b/>
                <w:sz w:val="22"/>
              </w:rPr>
              <w:sym w:font="Wingdings" w:char="F0E0"/>
            </w:r>
            <w:r w:rsidRPr="00F26253">
              <w:rPr>
                <w:rFonts w:cs="Calibri"/>
                <w:b/>
                <w:sz w:val="22"/>
              </w:rPr>
              <w:t>ESLD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[7,38]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HR, F2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>F4, HIV+, ART-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2.49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1.81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3.42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HR, F2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>F4, HIV+,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1.72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2.80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HR, F4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>ESLD if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HIV+, ART-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0.052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0.068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HIV+,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0.050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60453B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lastRenderedPageBreak/>
              <w:t xml:space="preserve">HR, IDU 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1.21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2.75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60453B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HR, Genotype1/4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2.88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60453B">
            <w:pPr>
              <w:pStyle w:val="TableText"/>
              <w:keepNext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Clinical Presentation (annual rate of transition from unaware to aware)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HIV- or HIV+ unaware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F0/1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[153,154]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F2/4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Estimated*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ESLD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24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HIV+ 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F0/1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[131]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F2/4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[131]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ESLD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24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70615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Initiation of HCV Treatment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Clinical case diagnosis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NIDU, F2/4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0.12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0.47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bookmarkStart w:id="0" w:name="OLE_LINK1"/>
            <w:bookmarkStart w:id="1" w:name="OLE_LINK2"/>
            <w:r>
              <w:rPr>
                <w:rFonts w:cs="Calibri"/>
                <w:noProof/>
                <w:sz w:val="22"/>
              </w:rPr>
              <w:t>[60,62,63,64,65]</w:t>
            </w:r>
            <w:bookmarkEnd w:id="0"/>
            <w:bookmarkEnd w:id="1"/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 in Treatment, Acute or F0/1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 in Treatment, F2/4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Assumed, </w:t>
            </w:r>
            <w:r>
              <w:rPr>
                <w:rFonts w:cs="Calibri"/>
                <w:noProof/>
                <w:sz w:val="22"/>
              </w:rPr>
              <w:t>[155]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 xml:space="preserve">Screen detection 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 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9C1C9C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[60,61,65]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F0/1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F2/F4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[60,65]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Aware of HCV status, treatment naïve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Upon progression to F2/F4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9C1C9C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Treatment Duration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G1/4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48 weeks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[45]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G2/3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24 weeks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[45]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Treatment Response: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G1/G4: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 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62%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[11,12,49,50,51]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 HCV,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[52,53,54,156]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Chronic 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PEG-IFN+RBV: 40%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[157,158,159,160]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PEG-IFN +RBV+PI: 65%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[46,47,48,161]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Chronic HCV,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PEG-IFN +RBV: 30%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F30E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[162,163]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PEG-IFN +RBV+PI: 65%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G2/G3: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lastRenderedPageBreak/>
              <w:t>Acute 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62%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[11,12,49,50,51]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 HCV,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[52,53,54,156]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Chronic 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005F3F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82%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005F3F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005F3F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88%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[158,159,160]</w:t>
            </w:r>
            <w:r w:rsidRPr="00F26253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noProof/>
                <w:sz w:val="22"/>
              </w:rPr>
              <w:t>[158,159,160,163]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Chronic HCV,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66%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80%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[162,163]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sz w:val="22"/>
              </w:rPr>
              <w:br w:type="page"/>
            </w:r>
            <w:r w:rsidRPr="00F26253">
              <w:rPr>
                <w:b/>
                <w:sz w:val="22"/>
              </w:rPr>
              <w:t>Sexual transmission risk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Sexual behavior parameters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i/>
                <w:sz w:val="22"/>
              </w:rPr>
              <w:t>Average number of sexual partners per year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</w:t>
            </w:r>
            <w:r>
              <w:rPr>
                <w:rFonts w:cs="Calibri"/>
                <w:sz w:val="22"/>
              </w:rPr>
              <w:t>on-</w:t>
            </w: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4.3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[68,72]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% of IDU partnerships with another 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31%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56%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[75,76,77,78]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Condom use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i/>
                <w:sz w:val="22"/>
              </w:rPr>
              <w:t>HIV- or unaware of HIV+ status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 – Non-IDU partnerships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 –IDU partnerships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74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[72,76,80]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 –IDU partnerships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17%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46%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[68,72,75,76,80,164]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i/>
                <w:sz w:val="22"/>
              </w:rPr>
              <w:t>HIV+ 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[79,165,166,167]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 – Non-IDU partnerships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75%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63%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84%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Calculated (68% reduction in unprotected sex, </w:t>
            </w:r>
            <w:r>
              <w:rPr>
                <w:rFonts w:cs="Calibri"/>
                <w:noProof/>
                <w:sz w:val="22"/>
              </w:rPr>
              <w:t>[79]</w:t>
            </w:r>
            <w:r w:rsidRPr="00F26253">
              <w:rPr>
                <w:rFonts w:cs="Calibri"/>
                <w:sz w:val="22"/>
              </w:rPr>
              <w:t xml:space="preserve">), </w:t>
            </w:r>
            <w:r>
              <w:rPr>
                <w:rFonts w:cs="Calibri"/>
                <w:noProof/>
                <w:sz w:val="22"/>
              </w:rPr>
              <w:t>[168]</w:t>
            </w:r>
            <w:r w:rsidRPr="00F26253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noProof/>
                <w:sz w:val="22"/>
              </w:rPr>
              <w:t>[112]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 –IDU partnerships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44%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[76,168,169,170]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 –IDU partnerships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[76,168]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Increase in condom use with HCV diagnosis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[99]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C149A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HIV transmission (transmission rate per partner-year)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Hazard ratio, infection rate during acute phase 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[30,85,171,172]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 HIV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 HIV (CD4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 xml:space="preserve">) 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Symptomatic HIV (CD4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 xml:space="preserve">) 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0.075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Effect of ART on infection risk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B58C1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lastRenderedPageBreak/>
              <w:t>Hazard ratio,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[3,18,19,20,21,34,35,36]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HCV transmission (transmission rate per partner-year)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Chronic 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0.0003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0.002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noProof/>
                <w:sz w:val="22"/>
              </w:rPr>
              <w:t>[90,91,92,93,173]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i/>
                <w:sz w:val="22"/>
              </w:rPr>
              <w:t>Effect of PEG-IFN+RBV on infection risk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ascii="Cambria" w:hAnsi="Cambria" w:cs="Calibri"/>
                <w:b/>
                <w:color w:val="002060"/>
              </w:rPr>
            </w:pPr>
            <w:r w:rsidRPr="00F26253">
              <w:rPr>
                <w:rFonts w:cs="Calibri"/>
                <w:sz w:val="22"/>
              </w:rPr>
              <w:t>Hazard ratio, PEG-IFN+RBV, 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Estimated, </w:t>
            </w:r>
            <w:r>
              <w:rPr>
                <w:noProof/>
                <w:sz w:val="22"/>
              </w:rPr>
              <w:t>[32,33]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Relative risk of sexual transmission, condom use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[20,94]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0.07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0.58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[93]</w:t>
            </w:r>
          </w:p>
        </w:tc>
      </w:tr>
      <w:tr w:rsidR="007D0D01" w:rsidRPr="00F26253" w:rsidTr="005618A2">
        <w:trPr>
          <w:jc w:val="center"/>
        </w:trPr>
        <w:tc>
          <w:tcPr>
            <w:tcW w:w="5220" w:type="dxa"/>
            <w:gridSpan w:val="3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451A94">
            <w:pPr>
              <w:pStyle w:val="TableText"/>
              <w:rPr>
                <w:rFonts w:cs="Calibri"/>
              </w:rPr>
            </w:pPr>
            <w:r w:rsidRPr="00F26253">
              <w:rPr>
                <w:b/>
                <w:sz w:val="22"/>
              </w:rPr>
              <w:t>Needle-sharing transmission risk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Injecting behavior parameters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Average number of injections per year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[78,95,96,97,98,99]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840F7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Relative frequency of injecting behavior, in ORT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[174]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840F7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Fraction of injections that are shared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13%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[10,69,73,97,99,100,101,130,175,176]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182DB5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Relative risk of shared-injecting behavior, in ORT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[176,177]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Fraction of shared injections in which the equipment is bleached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[69,130]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840F7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Average number of injection partners per year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4.5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[75,77]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4A4F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Reduction in number of injections with HIV diagnosis (in ORT)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25C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[178]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4A4F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sz w:val="22"/>
              </w:rPr>
              <w:t>Reduction in number of injections with HCV diagnosis (in ORT)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[74,179,180,181]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HIV transmission (probability per injection with an HIV+ IDU)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840F7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 HIV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1.2%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 same relative risk of transmission as for sexual contact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840F7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 HIV (CD4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0.12%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0.09%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noProof/>
                <w:sz w:val="22"/>
              </w:rPr>
              <w:t>[102,182]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840F7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Symptomatic HIV (CD4 &lt; 500 </w:t>
            </w:r>
            <w:r w:rsidRPr="00F26253">
              <w:rPr>
                <w:rFonts w:cs="Calibri"/>
                <w:sz w:val="22"/>
              </w:rPr>
              <w:lastRenderedPageBreak/>
              <w:t>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lastRenderedPageBreak/>
              <w:t>0.3%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0.25%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0.04%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noProof/>
                <w:sz w:val="22"/>
              </w:rPr>
              <w:t>[102,182]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840F7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i/>
                <w:sz w:val="22"/>
              </w:rPr>
              <w:lastRenderedPageBreak/>
              <w:t>Effect of ART on infection risk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840F7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Hazard ratio, ART+ 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HCV transmission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Chronic 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4.0%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noProof/>
                <w:sz w:val="22"/>
              </w:rPr>
              <w:t>[103,104]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i/>
                <w:sz w:val="22"/>
              </w:rPr>
              <w:t>Effect of PEG-IFN+RBV on infection risk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Estimated, </w:t>
            </w:r>
            <w:r>
              <w:rPr>
                <w:noProof/>
                <w:sz w:val="22"/>
              </w:rPr>
              <w:t>[32,33]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Relative risk, transmission with bleach use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1398B">
            <w:pPr>
              <w:pStyle w:val="TableText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0.63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[117,118,119,120,121]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0.68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[118,121,122]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b/>
                <w:sz w:val="22"/>
              </w:rPr>
              <w:t>Demographic parameters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Total Population, age 15-59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2,500,000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1.2%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0.7%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1.8%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1009C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Fraction of IDUs in ORT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[184,185]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Maturation Rate (aging out)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2.1%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Entry Rate (aging in)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2.5%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Prevalence (age 15-59)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1.7%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1.4%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2.0%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[135]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35%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14%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51%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[133]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1.3%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1.2%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1.4%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Distribution of HCV disease severity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Genotype 1/4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7B4F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FD6942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63.7%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Symptomatic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23%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ESLD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13%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[60]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C149A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HIV &amp; AIDS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Prevalence (age 15-59)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0.47%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6.5%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[132]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0.40%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Distribution of HIV disease severity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FD6942">
            <w:pPr>
              <w:pStyle w:val="TableText"/>
              <w:ind w:left="342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Acute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1.38%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Calculated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&gt;500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44.1%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CD4&lt;500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54.6%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ART use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77%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85%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69%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77%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2B26CF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lastRenderedPageBreak/>
              <w:t>Aware of disease state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0.774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0.724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0.815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[127]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0.858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0.804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[127]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HCV+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Non-IDU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0.61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[128]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0.28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[74]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 xml:space="preserve">Progression between IDU </w:t>
            </w:r>
            <w:r w:rsidRPr="004C149A">
              <w:rPr>
                <w:rFonts w:cs="Calibri"/>
                <w:b/>
                <w:sz w:val="22"/>
              </w:rPr>
              <w:t>states (annual rate)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Non-IDU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0.00115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Estimated*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IDU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Non-IDU, HIV-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0.040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0.036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0.045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[189,190]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RR, IDU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Non-IDU,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1.66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2.1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IDU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Non-IDU, HIV+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0.067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0.058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0.077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[189,190]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IDU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IDU, in treatment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0.115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Estimated*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IDU in treatment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0.596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[191]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IDU in treatment </w:t>
            </w:r>
            <w:r w:rsidRPr="00F26253">
              <w:rPr>
                <w:rFonts w:cs="Calibri"/>
                <w:sz w:val="22"/>
              </w:rPr>
              <w:sym w:font="Wingdings" w:char="F0E0"/>
            </w:r>
            <w:r w:rsidRPr="00F26253">
              <w:rPr>
                <w:rFonts w:cs="Calibri"/>
                <w:sz w:val="22"/>
              </w:rPr>
              <w:t xml:space="preserve"> Non-IDU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0.018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[190,191]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b/>
              </w:rPr>
            </w:pPr>
            <w:r w:rsidRPr="00F26253">
              <w:rPr>
                <w:b/>
                <w:sz w:val="22"/>
              </w:rPr>
              <w:t>Test Characteristics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0044F9">
            <w:pPr>
              <w:pStyle w:val="TableText"/>
              <w:ind w:left="-18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</w:t>
            </w:r>
            <w:r w:rsidRPr="00F26253">
              <w:rPr>
                <w:rFonts w:cs="Calibri"/>
                <w:sz w:val="22"/>
                <w:vertAlign w:val="superscript"/>
              </w:rPr>
              <w:t>rd</w:t>
            </w:r>
            <w:r w:rsidRPr="00F26253">
              <w:rPr>
                <w:rFonts w:cs="Calibri"/>
                <w:sz w:val="22"/>
              </w:rPr>
              <w:t xml:space="preserve"> generation HIV antibody test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90181F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Sensitivity, Acute HIV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0.33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[192,193]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0044F9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Sensitivity, Chronic HIV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[87,194,195,196]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0044F9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Specificity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0.999994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[194,195]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E33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</w:t>
            </w:r>
            <w:r w:rsidRPr="00F26253">
              <w:rPr>
                <w:rFonts w:cs="Calibri"/>
                <w:sz w:val="22"/>
                <w:vertAlign w:val="superscript"/>
              </w:rPr>
              <w:t>th</w:t>
            </w:r>
            <w:r w:rsidRPr="00F26253">
              <w:rPr>
                <w:rFonts w:cs="Calibri"/>
                <w:sz w:val="22"/>
              </w:rPr>
              <w:t xml:space="preserve"> generation HIV antibody test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90181F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Sensitivity, Acute HIV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5E3300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0.66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[192,197,198]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Sensitivity, Chronic HIV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[87,194,195,196]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Specificity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0.999994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[194,195]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 RNA test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90181F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Sensitivity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[87,199,200,201]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Specificity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0.99998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[87,199,201]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C149A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HCV antibody test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90181F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trHeight w:val="162"/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Sensitivity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Specificity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0.9996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HCV RNA test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90181F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Sensitivity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[200,202,204]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7D0D01" w:rsidRPr="00F26253" w:rsidRDefault="007D0D01" w:rsidP="003A01EE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Specificity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0.92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0.97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[202,204]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b/>
                <w:sz w:val="22"/>
              </w:rPr>
              <w:t>Cost parameters (in 2009$)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Screening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lastRenderedPageBreak/>
              <w:t>Counseling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Pre-test counseling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12.76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Post-test, negative result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7.14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Post-test, positive result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13.84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HIV Diagnostics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Antibody (negative)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12.96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CPT4 86701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Antibody (positive)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67.14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 xml:space="preserve">, CPT4 86701 (3 times) + 86689(Protocol in </w:t>
            </w:r>
            <w:r>
              <w:rPr>
                <w:rFonts w:cs="Calibri"/>
                <w:noProof/>
                <w:sz w:val="22"/>
              </w:rPr>
              <w:t>[205]</w:t>
            </w:r>
            <w:r w:rsidRPr="00F26253">
              <w:rPr>
                <w:rFonts w:cs="Calibri"/>
                <w:sz w:val="22"/>
              </w:rPr>
              <w:t>)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RNA quantification (negative)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124.24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CPT4 87536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RNA quantification (positive)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276.74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 xml:space="preserve">, CPT4 87536 (2 times) + 86689 (Protocol in </w:t>
            </w:r>
            <w:r>
              <w:rPr>
                <w:rFonts w:cs="Calibri"/>
                <w:noProof/>
                <w:sz w:val="22"/>
              </w:rPr>
              <w:t>[87]</w:t>
            </w:r>
            <w:r w:rsidRPr="00F26253">
              <w:rPr>
                <w:rFonts w:cs="Calibri"/>
                <w:sz w:val="22"/>
              </w:rPr>
              <w:t>)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HCV Diagnostics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Antibody (negative)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20.84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CPT4 86803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Antibody (positive)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85.13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CPT4 86803 (3 times) + 86804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RNA quantification (negative)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62.54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CPT4 87522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RNA quantification (positive)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147.69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CPT4 87522 (2 times) + 86804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One-time cost of diagnosis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 diagnosis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500.12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CPT4 87536+87901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36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HCV diagnosis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438.42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CPT4 87522+87902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4C149A" w:rsidRDefault="007D0D01" w:rsidP="004C149A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Baseline costs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5,521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2,000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7,500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[207]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 in ORT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10,692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7,500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15,000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[207,208]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Non-IDU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[140]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15-59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3,500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35-44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3,447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45-54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4,900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lastRenderedPageBreak/>
              <w:t>Age 55-64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6,948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65-74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10,837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75+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18,776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C149A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Incremental Cost of Last Year of Life</w:t>
            </w:r>
            <w:r>
              <w:rPr>
                <w:rFonts w:cs="Calibri"/>
                <w:b/>
                <w:sz w:val="22"/>
              </w:rPr>
              <w:t xml:space="preserve"> </w:t>
            </w:r>
            <w:r w:rsidRPr="00F26253">
              <w:rPr>
                <w:rFonts w:cs="Calibri"/>
                <w:b/>
                <w:sz w:val="22"/>
              </w:rPr>
              <w:t>(incremental cost at end of life)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C149A">
            <w:pPr>
              <w:pStyle w:val="TableText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C149A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IDU, Non-HIV, Non-HCV</w:t>
            </w:r>
            <w:r>
              <w:rPr>
                <w:rFonts w:cs="Calibri"/>
                <w:sz w:val="22"/>
              </w:rPr>
              <w:t xml:space="preserve"> </w:t>
            </w:r>
            <w:r w:rsidRPr="00F26253">
              <w:rPr>
                <w:rFonts w:cs="Calibri"/>
                <w:sz w:val="22"/>
              </w:rPr>
              <w:t>(estimated cost of overdose death)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8,350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 xml:space="preserve">CMS </w:t>
            </w:r>
            <w:r>
              <w:rPr>
                <w:rFonts w:cs="Calibri"/>
                <w:noProof/>
                <w:sz w:val="22"/>
              </w:rPr>
              <w:t>[206]</w:t>
            </w:r>
            <w:r w:rsidRPr="00F26253">
              <w:rPr>
                <w:rFonts w:cs="Calibri"/>
                <w:sz w:val="22"/>
              </w:rPr>
              <w:t>, DRG 896+CPT4 80100+80102+A0427+99285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HIV death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33,480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23,104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36,828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HCV death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30,446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20,000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40,000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  <w:i/>
              </w:rPr>
            </w:pPr>
            <w:r w:rsidRPr="00F26253">
              <w:rPr>
                <w:rFonts w:cs="Calibri"/>
                <w:i/>
                <w:sz w:val="22"/>
              </w:rPr>
              <w:t>Non-IDU, Non-HIV, Non-HCV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15-59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30,446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20,000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40,000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60-74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30,446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20,000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40,000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75-84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17,185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15,000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25,000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85+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5,631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HIV-attributable cost (annualized)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unaware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611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aware, ART-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1,590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3,401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aware,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23,724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19,000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27,808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ART-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3,401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1,591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7,240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30,530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23,724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41,420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[209]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Hepatitis-attributable cost (annualized)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Asymptomatic, unaware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212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FE392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Asymptomatic, 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212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Asymptomatic, aware, PEG-IFN+RBV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24,704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20,000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[154,210,211]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FE392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F2/4-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347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F2/4, PEG-IFN+RBV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24,839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20,000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30,000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[154,210,211]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F2/4, PEG-IFN+RBV+PI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67,839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50,879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84,798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[154,210,211]</w:t>
            </w:r>
            <w:r w:rsidRPr="00F26253">
              <w:rPr>
                <w:rFonts w:cs="Calibri"/>
                <w:sz w:val="22"/>
              </w:rPr>
              <w:t>+</w:t>
            </w:r>
            <w:r>
              <w:rPr>
                <w:rFonts w:cs="Calibri"/>
                <w:sz w:val="22"/>
              </w:rPr>
              <w:t xml:space="preserve"> </w:t>
            </w:r>
            <w:r w:rsidRPr="00F26253">
              <w:rPr>
                <w:rFonts w:cs="Calibri"/>
                <w:sz w:val="22"/>
              </w:rPr>
              <w:t>$1100 per week for PI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ESLD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29,501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25,000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35,000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4C149A">
            <w:pPr>
              <w:pStyle w:val="TableText"/>
              <w:rPr>
                <w:rFonts w:cs="Calibri"/>
                <w:b/>
              </w:rPr>
            </w:pPr>
            <w:r w:rsidRPr="004C149A">
              <w:rPr>
                <w:rFonts w:cs="Calibri"/>
                <w:b/>
                <w:sz w:val="22"/>
              </w:rPr>
              <w:t>Quality-of-life parameters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4C149A">
            <w:pPr>
              <w:pStyle w:val="TableText"/>
              <w:rPr>
                <w:rFonts w:cs="Calibri"/>
                <w:b/>
              </w:rPr>
            </w:pPr>
            <w:r w:rsidRPr="00F26253">
              <w:rPr>
                <w:rFonts w:cs="Calibri"/>
                <w:b/>
                <w:sz w:val="22"/>
              </w:rPr>
              <w:t>Baseline utility weights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[142,143]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15-59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35–44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0.887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40-49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0.871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45–54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0.854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50-59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0.842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lastRenderedPageBreak/>
              <w:t>Age 55–64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0.829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60-69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0.823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65–74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0.811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70-79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0.79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C715A0">
            <w:pPr>
              <w:pStyle w:val="TableText"/>
              <w:ind w:left="180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Age 80+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0.736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IDU in ORT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[212]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HIV utility adjustments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0539F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unaware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1.00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Assumed</w:t>
            </w:r>
          </w:p>
        </w:tc>
      </w:tr>
      <w:tr w:rsidR="007D0D01" w:rsidRPr="00F26253" w:rsidTr="005618A2">
        <w:trPr>
          <w:trHeight w:val="369"/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0539F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[213,214]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0539FD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&gt;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[215]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ART-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[213,215,216]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CD4 &lt; 500 cells/mm</w:t>
            </w:r>
            <w:r w:rsidRPr="00F26253">
              <w:rPr>
                <w:rFonts w:cs="Calibri"/>
                <w:sz w:val="22"/>
                <w:vertAlign w:val="superscript"/>
              </w:rPr>
              <w:t>3</w:t>
            </w:r>
            <w:r w:rsidRPr="00F26253">
              <w:rPr>
                <w:rFonts w:cs="Calibri"/>
                <w:sz w:val="22"/>
              </w:rPr>
              <w:t>, ART+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0.80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0.85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[213,215,216]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b/>
                <w:sz w:val="22"/>
              </w:rPr>
              <w:t>HCV utility adjustments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Asymptomatic, Unaware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0.96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462D4C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[154,217,218,219]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Asymptomatic, Aware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01433F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01433F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0.96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[217,218]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Asymptomatic, IFN+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0.87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0.89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[217,218]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F2/4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0.88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[217,218]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F2/4, IFN+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0.83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[217,218]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Treatment Failed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0.84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0.59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0.90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[217,218]</w:t>
            </w:r>
          </w:p>
        </w:tc>
      </w:tr>
      <w:tr w:rsidR="007D0D01" w:rsidRPr="00F26253" w:rsidTr="005618A2">
        <w:trPr>
          <w:jc w:val="center"/>
        </w:trPr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</w:tcPr>
          <w:p w:rsidR="007D0D01" w:rsidRPr="00F26253" w:rsidRDefault="007D0D01" w:rsidP="00362900">
            <w:pPr>
              <w:pStyle w:val="TableText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ESLD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0.77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0.27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E63743">
            <w:pPr>
              <w:pStyle w:val="TableText"/>
              <w:jc w:val="center"/>
              <w:rPr>
                <w:rFonts w:cs="Calibri"/>
              </w:rPr>
            </w:pPr>
            <w:r w:rsidRPr="00F26253">
              <w:rPr>
                <w:rFonts w:cs="Calibri"/>
                <w:sz w:val="22"/>
              </w:rPr>
              <w:t>0.80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D0D01" w:rsidRPr="00F26253" w:rsidRDefault="007D0D01" w:rsidP="00DE6114">
            <w:pPr>
              <w:pStyle w:val="TableText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z w:val="22"/>
              </w:rPr>
              <w:t>[217,218]</w:t>
            </w:r>
          </w:p>
        </w:tc>
      </w:tr>
    </w:tbl>
    <w:p w:rsidR="007D0D01" w:rsidRPr="00451A94" w:rsidRDefault="007D0D01" w:rsidP="00F02D65">
      <w:pPr>
        <w:spacing w:before="120" w:after="200" w:line="240" w:lineRule="auto"/>
        <w:ind w:left="-360" w:right="-360"/>
      </w:pPr>
      <w:r>
        <w:t xml:space="preserve">HIV – human immunodeficiency virus; HCV – hepatitis C virus ; ESLD – End-stage liver disease; IDU – injection drug user; NIDU – non-injection drug user; ART – antiretroviral therapy; ‘ART+’ indicates on ART; ‘ART-‘ indicates not on ART; HR – Hazard ratio; </w:t>
      </w:r>
      <w:r w:rsidRPr="00EB16BB">
        <w:t>PEG-IFN</w:t>
      </w:r>
      <w:r>
        <w:t>+RBV</w:t>
      </w:r>
      <w:r w:rsidRPr="00EB16BB">
        <w:t xml:space="preserve">- </w:t>
      </w:r>
      <w:proofErr w:type="spellStart"/>
      <w:r w:rsidRPr="00EB16BB">
        <w:t>pegylated</w:t>
      </w:r>
      <w:proofErr w:type="spellEnd"/>
      <w:r w:rsidRPr="00EB16BB">
        <w:t xml:space="preserve"> interferon with </w:t>
      </w:r>
      <w:proofErr w:type="spellStart"/>
      <w:r w:rsidRPr="00EB16BB">
        <w:t>ribavirin</w:t>
      </w:r>
      <w:proofErr w:type="spellEnd"/>
      <w:r w:rsidRPr="00EB16BB">
        <w:t xml:space="preserve"> ; PEG-IFN</w:t>
      </w:r>
      <w:r>
        <w:t>+RBV</w:t>
      </w:r>
      <w:r w:rsidRPr="00EB16BB">
        <w:t xml:space="preserve">+PI - </w:t>
      </w:r>
      <w:proofErr w:type="spellStart"/>
      <w:r w:rsidRPr="00EB16BB">
        <w:t>pegylated</w:t>
      </w:r>
      <w:proofErr w:type="spellEnd"/>
      <w:r w:rsidRPr="00EB16BB">
        <w:t xml:space="preserve"> interferon with </w:t>
      </w:r>
      <w:proofErr w:type="spellStart"/>
      <w:r w:rsidRPr="00EB16BB">
        <w:t>ribavirin</w:t>
      </w:r>
      <w:proofErr w:type="spellEnd"/>
      <w:r w:rsidRPr="00EB16BB">
        <w:t xml:space="preserve"> and protease inhibitors; ‘IFN+’ indicates on either PEG-IFN</w:t>
      </w:r>
      <w:r>
        <w:t>+RBV</w:t>
      </w:r>
      <w:r w:rsidRPr="00EB16BB">
        <w:t xml:space="preserve"> or PEG-IFN</w:t>
      </w:r>
      <w:r>
        <w:t>+RBV</w:t>
      </w:r>
      <w:r w:rsidRPr="00EB16BB">
        <w:t>+PI</w:t>
      </w:r>
      <w:r>
        <w:t xml:space="preserve">; </w:t>
      </w:r>
      <w:r w:rsidRPr="00451A94">
        <w:t xml:space="preserve">CMS – Centers for Medicare and Medicaid Services; DRG – Diagnosis Related Group; CPT4 - </w:t>
      </w:r>
      <w:r w:rsidRPr="002C3988">
        <w:rPr>
          <w:rStyle w:val="yay"/>
          <w:iCs/>
        </w:rPr>
        <w:t>Current Procedural Terminology, 4th Edition</w:t>
      </w:r>
      <w:r>
        <w:rPr>
          <w:rStyle w:val="yay"/>
          <w:iCs/>
        </w:rPr>
        <w:t>;</w:t>
      </w:r>
      <w:r w:rsidRPr="000D78F9">
        <w:t xml:space="preserve"> </w:t>
      </w:r>
      <w:r>
        <w:t xml:space="preserve">ORT – </w:t>
      </w:r>
      <w:proofErr w:type="spellStart"/>
      <w:r>
        <w:t>opioid</w:t>
      </w:r>
      <w:proofErr w:type="spellEnd"/>
      <w:r>
        <w:t xml:space="preserve"> replacement therapy;</w:t>
      </w:r>
    </w:p>
    <w:p w:rsidR="007D0D01" w:rsidRPr="0031398B" w:rsidRDefault="007D0D01" w:rsidP="00F02D65">
      <w:pPr>
        <w:spacing w:before="120" w:after="0" w:line="240" w:lineRule="auto"/>
        <w:ind w:left="-360" w:right="-360"/>
      </w:pPr>
      <w:r w:rsidRPr="0031398B">
        <w:t>* Estimated through calibration</w:t>
      </w:r>
    </w:p>
    <w:p w:rsidR="007D0D01" w:rsidRDefault="007D0D01" w:rsidP="00BA5316">
      <w:pPr>
        <w:spacing w:after="200" w:line="480" w:lineRule="auto"/>
      </w:pPr>
    </w:p>
    <w:p w:rsidR="002B6D0E" w:rsidRDefault="002B6D0E" w:rsidP="005618A2">
      <w:pPr>
        <w:pStyle w:val="Heading5"/>
        <w:spacing w:before="0" w:after="120"/>
      </w:pPr>
    </w:p>
    <w:sectPr w:rsidR="002B6D0E" w:rsidSect="0056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75" w:rsidRDefault="00307775" w:rsidP="004B2129">
      <w:pPr>
        <w:spacing w:after="0" w:line="240" w:lineRule="auto"/>
      </w:pPr>
      <w:r>
        <w:separator/>
      </w:r>
    </w:p>
  </w:endnote>
  <w:endnote w:type="continuationSeparator" w:id="0">
    <w:p w:rsidR="00307775" w:rsidRDefault="00307775" w:rsidP="004B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75" w:rsidRDefault="00307775" w:rsidP="004B2129">
      <w:pPr>
        <w:spacing w:after="0" w:line="240" w:lineRule="auto"/>
      </w:pPr>
      <w:r>
        <w:separator/>
      </w:r>
    </w:p>
  </w:footnote>
  <w:footnote w:type="continuationSeparator" w:id="0">
    <w:p w:rsidR="00307775" w:rsidRDefault="00307775" w:rsidP="004B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0C"/>
    <w:multiLevelType w:val="hybridMultilevel"/>
    <w:tmpl w:val="CC72ED78"/>
    <w:lvl w:ilvl="0" w:tplc="BD109B2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162CD"/>
    <w:multiLevelType w:val="hybridMultilevel"/>
    <w:tmpl w:val="1CB6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753FD"/>
    <w:multiLevelType w:val="multilevel"/>
    <w:tmpl w:val="B2E23958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">
    <w:nsid w:val="0A895F88"/>
    <w:multiLevelType w:val="multilevel"/>
    <w:tmpl w:val="73002E9E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76948E0"/>
    <w:multiLevelType w:val="hybridMultilevel"/>
    <w:tmpl w:val="D7F0C742"/>
    <w:lvl w:ilvl="0" w:tplc="421C8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3781B"/>
    <w:multiLevelType w:val="multilevel"/>
    <w:tmpl w:val="EFB0CA5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09108EC"/>
    <w:multiLevelType w:val="hybridMultilevel"/>
    <w:tmpl w:val="532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A1E5C"/>
    <w:multiLevelType w:val="hybridMultilevel"/>
    <w:tmpl w:val="67709860"/>
    <w:lvl w:ilvl="0" w:tplc="208E2868">
      <w:start w:val="35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081683"/>
    <w:multiLevelType w:val="hybridMultilevel"/>
    <w:tmpl w:val="3A146ADE"/>
    <w:lvl w:ilvl="0" w:tplc="BC245466">
      <w:start w:val="35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251B54"/>
    <w:multiLevelType w:val="multilevel"/>
    <w:tmpl w:val="32789268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3CEB565B"/>
    <w:multiLevelType w:val="hybridMultilevel"/>
    <w:tmpl w:val="462A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F68D2"/>
    <w:multiLevelType w:val="multilevel"/>
    <w:tmpl w:val="308E43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2">
    <w:nsid w:val="437B1ACC"/>
    <w:multiLevelType w:val="multilevel"/>
    <w:tmpl w:val="52C6F58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AFB42A9"/>
    <w:multiLevelType w:val="hybridMultilevel"/>
    <w:tmpl w:val="D7F0C742"/>
    <w:lvl w:ilvl="0" w:tplc="421C8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CD1E3C"/>
    <w:multiLevelType w:val="multilevel"/>
    <w:tmpl w:val="4EAA3314"/>
    <w:lvl w:ilvl="0">
      <w:start w:val="1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53EB228B"/>
    <w:multiLevelType w:val="multilevel"/>
    <w:tmpl w:val="D3FAD84A"/>
    <w:lvl w:ilvl="0"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65D73E0"/>
    <w:multiLevelType w:val="hybridMultilevel"/>
    <w:tmpl w:val="8D6A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4561A6"/>
    <w:multiLevelType w:val="hybridMultilevel"/>
    <w:tmpl w:val="EF9CD6A0"/>
    <w:lvl w:ilvl="0" w:tplc="F648A936">
      <w:start w:val="35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51E7"/>
    <w:multiLevelType w:val="hybridMultilevel"/>
    <w:tmpl w:val="846A3EF8"/>
    <w:lvl w:ilvl="0" w:tplc="1E0AAE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E757F"/>
    <w:multiLevelType w:val="multilevel"/>
    <w:tmpl w:val="FD02D2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0">
    <w:nsid w:val="725A3247"/>
    <w:multiLevelType w:val="hybridMultilevel"/>
    <w:tmpl w:val="D48C7836"/>
    <w:lvl w:ilvl="0" w:tplc="580AF0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86D66"/>
    <w:multiLevelType w:val="hybridMultilevel"/>
    <w:tmpl w:val="78943678"/>
    <w:lvl w:ilvl="0" w:tplc="76F29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018D1"/>
    <w:multiLevelType w:val="hybridMultilevel"/>
    <w:tmpl w:val="9104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8"/>
  </w:num>
  <w:num w:numId="17">
    <w:abstractNumId w:val="22"/>
  </w:num>
  <w:num w:numId="18">
    <w:abstractNumId w:val="0"/>
  </w:num>
  <w:num w:numId="19">
    <w:abstractNumId w:val="17"/>
  </w:num>
  <w:num w:numId="20">
    <w:abstractNumId w:val="8"/>
  </w:num>
  <w:num w:numId="21">
    <w:abstractNumId w:val="7"/>
  </w:num>
  <w:num w:numId="22">
    <w:abstractNumId w:val="21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D0D01"/>
    <w:rsid w:val="00234D0F"/>
    <w:rsid w:val="00252F21"/>
    <w:rsid w:val="002B6D0E"/>
    <w:rsid w:val="00307775"/>
    <w:rsid w:val="004B2129"/>
    <w:rsid w:val="005618A2"/>
    <w:rsid w:val="005D03D1"/>
    <w:rsid w:val="007D0D01"/>
    <w:rsid w:val="009B0593"/>
    <w:rsid w:val="00BE789A"/>
    <w:rsid w:val="00DC5F33"/>
    <w:rsid w:val="00EB2789"/>
    <w:rsid w:val="00F3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D0D01"/>
    <w:pPr>
      <w:spacing w:after="240"/>
    </w:pPr>
    <w:rPr>
      <w:rFonts w:ascii="Calibri" w:eastAsia="Times New Roman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D01"/>
    <w:pPr>
      <w:spacing w:before="600" w:after="0"/>
      <w:contextualSpacing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D01"/>
    <w:pPr>
      <w:spacing w:before="200" w:after="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0D01"/>
    <w:pPr>
      <w:spacing w:before="240" w:after="0"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0D0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aliases w:val="Table/Figure Title"/>
    <w:basedOn w:val="Normal"/>
    <w:next w:val="Normal"/>
    <w:link w:val="Heading5Char"/>
    <w:uiPriority w:val="99"/>
    <w:qFormat/>
    <w:rsid w:val="007D0D0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0D0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0D0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0D0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0D0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0D01"/>
    <w:rPr>
      <w:rFonts w:ascii="Calibri" w:eastAsia="Times New Roman" w:hAnsi="Calibri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D0D01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D0D01"/>
    <w:rPr>
      <w:rFonts w:ascii="Calibri" w:eastAsia="Times New Roman" w:hAnsi="Calibri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D0D01"/>
    <w:rPr>
      <w:rFonts w:ascii="Cambria" w:eastAsia="Times New Roman" w:hAnsi="Cambria" w:cs="Times New Roman"/>
      <w:b/>
      <w:bCs/>
      <w:i/>
      <w:iCs/>
      <w:sz w:val="24"/>
    </w:rPr>
  </w:style>
  <w:style w:type="character" w:customStyle="1" w:styleId="Heading5Char">
    <w:name w:val="Heading 5 Char"/>
    <w:aliases w:val="Table/Figure Title Char"/>
    <w:basedOn w:val="DefaultParagraphFont"/>
    <w:link w:val="Heading5"/>
    <w:uiPriority w:val="99"/>
    <w:rsid w:val="007D0D01"/>
    <w:rPr>
      <w:rFonts w:ascii="Cambria" w:eastAsia="Times New Roman" w:hAnsi="Cambria" w:cs="Times New Roman"/>
      <w:b/>
      <w:bCs/>
      <w:color w:val="7F7F7F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7D0D01"/>
    <w:rPr>
      <w:rFonts w:ascii="Cambria" w:eastAsia="Times New Roman" w:hAnsi="Cambria" w:cs="Times New Roman"/>
      <w:b/>
      <w:bCs/>
      <w:i/>
      <w:iCs/>
      <w:color w:val="7F7F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D0D01"/>
    <w:rPr>
      <w:rFonts w:ascii="Cambria" w:eastAsia="Times New Roman" w:hAnsi="Cambria" w:cs="Times New Roman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0D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D0D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7D0D01"/>
    <w:pPr>
      <w:spacing w:after="100"/>
    </w:pPr>
    <w:rPr>
      <w:rFonts w:ascii="Cambria" w:hAnsi="Cambria"/>
      <w:b/>
      <w:color w:val="002060"/>
    </w:rPr>
  </w:style>
  <w:style w:type="paragraph" w:styleId="TOC2">
    <w:name w:val="toc 2"/>
    <w:basedOn w:val="Normal"/>
    <w:next w:val="Normal"/>
    <w:autoRedefine/>
    <w:uiPriority w:val="99"/>
    <w:rsid w:val="007D0D01"/>
    <w:pPr>
      <w:tabs>
        <w:tab w:val="left" w:pos="1100"/>
        <w:tab w:val="right" w:leader="dot" w:pos="9350"/>
      </w:tabs>
      <w:spacing w:after="100"/>
      <w:ind w:left="220"/>
    </w:pPr>
    <w:rPr>
      <w:noProof/>
      <w:color w:val="002060"/>
    </w:rPr>
  </w:style>
  <w:style w:type="paragraph" w:styleId="TOC3">
    <w:name w:val="toc 3"/>
    <w:basedOn w:val="Normal"/>
    <w:next w:val="Normal"/>
    <w:autoRedefine/>
    <w:uiPriority w:val="99"/>
    <w:rsid w:val="007D0D01"/>
    <w:pPr>
      <w:spacing w:after="100"/>
      <w:ind w:left="440"/>
    </w:pPr>
    <w:rPr>
      <w:rFonts w:ascii="Times New Roman" w:hAnsi="Times New Roman"/>
      <w:i/>
      <w:color w:val="355D7E"/>
    </w:rPr>
  </w:style>
  <w:style w:type="paragraph" w:styleId="Caption">
    <w:name w:val="caption"/>
    <w:basedOn w:val="Normal"/>
    <w:next w:val="Normal"/>
    <w:uiPriority w:val="99"/>
    <w:qFormat/>
    <w:rsid w:val="007D0D0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D0D0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D0D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0D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D0D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D0D0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D0D01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7D0D0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7D0D01"/>
    <w:rPr>
      <w:rFonts w:ascii="Calibri" w:eastAsia="Times New Roman" w:hAnsi="Calibri" w:cs="Times New Roman"/>
      <w:sz w:val="24"/>
    </w:rPr>
  </w:style>
  <w:style w:type="paragraph" w:styleId="ListParagraph">
    <w:name w:val="List Paragraph"/>
    <w:basedOn w:val="Normal"/>
    <w:uiPriority w:val="99"/>
    <w:qFormat/>
    <w:rsid w:val="007D0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D0D0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7D0D01"/>
    <w:rPr>
      <w:rFonts w:ascii="Calibri" w:eastAsia="Times New Roman" w:hAnsi="Calibri" w:cs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D0D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D0D01"/>
    <w:rPr>
      <w:rFonts w:ascii="Calibri" w:eastAsia="Times New Roman" w:hAnsi="Calibri" w:cs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99"/>
    <w:qFormat/>
    <w:rsid w:val="007D0D0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D0D01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D0D0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D0D01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D0D01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D0D01"/>
    <w:pPr>
      <w:outlineLvl w:val="9"/>
    </w:pPr>
  </w:style>
  <w:style w:type="paragraph" w:customStyle="1" w:styleId="heading1noTOC">
    <w:name w:val="heading 1 no TOC"/>
    <w:basedOn w:val="Heading1"/>
    <w:next w:val="Normal"/>
    <w:link w:val="heading1noTOCChar"/>
    <w:uiPriority w:val="99"/>
    <w:rsid w:val="007D0D01"/>
  </w:style>
  <w:style w:type="character" w:customStyle="1" w:styleId="heading1noTOCChar">
    <w:name w:val="heading 1 no TOC Char"/>
    <w:basedOn w:val="Heading1Char"/>
    <w:link w:val="heading1noTOC"/>
    <w:uiPriority w:val="99"/>
    <w:locked/>
    <w:rsid w:val="007D0D01"/>
  </w:style>
  <w:style w:type="paragraph" w:customStyle="1" w:styleId="SubheadingList">
    <w:name w:val="Subheading List"/>
    <w:basedOn w:val="Heading5"/>
    <w:next w:val="Normal"/>
    <w:link w:val="SubheadingListChar"/>
    <w:uiPriority w:val="99"/>
    <w:rsid w:val="007D0D01"/>
    <w:pPr>
      <w:ind w:left="180"/>
    </w:pPr>
    <w:rPr>
      <w:color w:val="355D7E"/>
    </w:rPr>
  </w:style>
  <w:style w:type="character" w:styleId="Hyperlink">
    <w:name w:val="Hyperlink"/>
    <w:basedOn w:val="DefaultParagraphFont"/>
    <w:uiPriority w:val="99"/>
    <w:rsid w:val="007D0D01"/>
    <w:rPr>
      <w:rFonts w:cs="Times New Roman"/>
      <w:color w:val="F7B615"/>
      <w:u w:val="single"/>
    </w:rPr>
  </w:style>
  <w:style w:type="character" w:customStyle="1" w:styleId="SubheadingListChar">
    <w:name w:val="Subheading List Char"/>
    <w:basedOn w:val="Heading5Char"/>
    <w:link w:val="SubheadingList"/>
    <w:uiPriority w:val="99"/>
    <w:locked/>
    <w:rsid w:val="007D0D01"/>
    <w:rPr>
      <w:color w:val="355D7E"/>
    </w:rPr>
  </w:style>
  <w:style w:type="paragraph" w:styleId="BalloonText">
    <w:name w:val="Balloon Text"/>
    <w:basedOn w:val="Normal"/>
    <w:link w:val="BalloonTextChar"/>
    <w:uiPriority w:val="99"/>
    <w:semiHidden/>
    <w:rsid w:val="007D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1"/>
    <w:rPr>
      <w:rFonts w:ascii="Tahoma" w:eastAsia="Times New Roman" w:hAnsi="Tahoma" w:cs="Tahoma"/>
      <w:sz w:val="16"/>
      <w:szCs w:val="16"/>
    </w:rPr>
  </w:style>
  <w:style w:type="paragraph" w:customStyle="1" w:styleId="SubheadingList2">
    <w:name w:val="Subheading List 2"/>
    <w:basedOn w:val="SubheadingList"/>
    <w:next w:val="Normal"/>
    <w:link w:val="SubheadingList2Char"/>
    <w:uiPriority w:val="99"/>
    <w:rsid w:val="007D0D01"/>
    <w:pPr>
      <w:numPr>
        <w:ilvl w:val="2"/>
      </w:numPr>
      <w:ind w:left="180"/>
    </w:pPr>
  </w:style>
  <w:style w:type="character" w:customStyle="1" w:styleId="SubheadingList2Char">
    <w:name w:val="Subheading List 2 Char"/>
    <w:basedOn w:val="SubheadingListChar"/>
    <w:link w:val="SubheadingList2"/>
    <w:uiPriority w:val="99"/>
    <w:locked/>
    <w:rsid w:val="007D0D01"/>
  </w:style>
  <w:style w:type="table" w:styleId="TableGrid">
    <w:name w:val="Table Grid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46024"/>
      </w:tcPr>
    </w:tblStylePr>
    <w:tblStylePr w:type="lastRow">
      <w:rPr>
        <w:rFonts w:cs="Times New Roman"/>
        <w:b/>
        <w:bCs/>
        <w:color w:val="C460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rPr>
        <w:rFonts w:cs="Times New Roman"/>
      </w:rPr>
      <w:tblPr/>
      <w:tcPr>
        <w:shd w:val="clear" w:color="auto" w:fill="E9F0F6"/>
      </w:tcPr>
    </w:tblStylePr>
  </w:style>
  <w:style w:type="table" w:customStyle="1" w:styleId="LightList1">
    <w:name w:val="Light List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71676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8C8C"/>
        <w:bottom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</w:style>
  <w:style w:type="paragraph" w:customStyle="1" w:styleId="TableText">
    <w:name w:val="Table Text"/>
    <w:basedOn w:val="Normal"/>
    <w:uiPriority w:val="99"/>
    <w:rsid w:val="007D0D01"/>
    <w:pPr>
      <w:spacing w:before="20" w:after="20" w:line="240" w:lineRule="auto"/>
    </w:pPr>
  </w:style>
  <w:style w:type="character" w:styleId="CommentReference">
    <w:name w:val="annotation reference"/>
    <w:basedOn w:val="DefaultParagraphFont"/>
    <w:uiPriority w:val="99"/>
    <w:semiHidden/>
    <w:rsid w:val="007D0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0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01"/>
    <w:rPr>
      <w:b/>
      <w:bCs/>
    </w:rPr>
  </w:style>
  <w:style w:type="character" w:styleId="HTMLCite">
    <w:name w:val="HTML Cite"/>
    <w:basedOn w:val="DefaultParagraphFont"/>
    <w:uiPriority w:val="99"/>
    <w:semiHidden/>
    <w:rsid w:val="007D0D01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7D0D0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7D0D01"/>
    <w:pPr>
      <w:spacing w:after="120"/>
      <w:ind w:firstLine="720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0D0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0D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D0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D0D0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7D0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01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7D0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01"/>
    <w:rPr>
      <w:rFonts w:ascii="Calibri" w:eastAsia="Times New Roman" w:hAnsi="Calibri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7D0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D01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color w:val="548AB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4B6D2"/>
        <w:bottom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7D0D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C8DD"/>
        <w:left w:val="single" w:sz="8" w:space="0" w:color="AEC8DD"/>
        <w:bottom w:val="single" w:sz="8" w:space="0" w:color="AEC8DD"/>
        <w:right w:val="single" w:sz="8" w:space="0" w:color="AEC8DD"/>
        <w:insideH w:val="single" w:sz="8" w:space="0" w:color="AEC8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uiPriority w:val="99"/>
    <w:rsid w:val="007D0D01"/>
    <w:pPr>
      <w:spacing w:line="480" w:lineRule="auto"/>
      <w:ind w:firstLine="720"/>
    </w:pPr>
    <w:rPr>
      <w:rFonts w:cs="Calibri"/>
    </w:rPr>
  </w:style>
  <w:style w:type="character" w:customStyle="1" w:styleId="yay">
    <w:name w:val="yay"/>
    <w:basedOn w:val="DefaultParagraphFont"/>
    <w:rsid w:val="007D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09EE-5B75-48C0-AE52-4B23F753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5</cp:revision>
  <dcterms:created xsi:type="dcterms:W3CDTF">2012-08-20T18:06:00Z</dcterms:created>
  <dcterms:modified xsi:type="dcterms:W3CDTF">2012-08-20T21:36:00Z</dcterms:modified>
</cp:coreProperties>
</file>