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68DBA" w14:textId="19120D3B" w:rsidR="001F7D25" w:rsidRPr="001463B7" w:rsidRDefault="001F7D25" w:rsidP="001F7D25">
      <w:pPr>
        <w:spacing w:line="240" w:lineRule="auto"/>
        <w:jc w:val="both"/>
        <w:outlineLvl w:val="0"/>
        <w:rPr>
          <w:b/>
        </w:rPr>
      </w:pPr>
      <w:r w:rsidRPr="001463B7">
        <w:rPr>
          <w:b/>
        </w:rPr>
        <w:t xml:space="preserve">Table </w:t>
      </w:r>
      <w:r w:rsidR="0080766F">
        <w:rPr>
          <w:b/>
        </w:rPr>
        <w:t>S</w:t>
      </w:r>
      <w:r w:rsidRPr="001463B7">
        <w:rPr>
          <w:b/>
        </w:rPr>
        <w:t>1.  The databases against which the HMP OTUs were compared.</w:t>
      </w:r>
    </w:p>
    <w:tbl>
      <w:tblPr>
        <w:tblStyle w:val="TableGrid"/>
        <w:tblpPr w:leftFromText="180" w:rightFromText="180" w:vertAnchor="page" w:horzAnchor="page" w:tblpX="1477" w:tblpY="1981"/>
        <w:tblW w:w="4700" w:type="pct"/>
        <w:tblLayout w:type="fixed"/>
        <w:tblLook w:val="0000" w:firstRow="0" w:lastRow="0" w:firstColumn="0" w:lastColumn="0" w:noHBand="0" w:noVBand="0"/>
      </w:tblPr>
      <w:tblGrid>
        <w:gridCol w:w="3716"/>
        <w:gridCol w:w="2228"/>
        <w:gridCol w:w="4087"/>
        <w:gridCol w:w="2354"/>
      </w:tblGrid>
      <w:tr w:rsidR="001F7D25" w14:paraId="1DA6B778" w14:textId="77777777" w:rsidTr="001E3D4D">
        <w:tc>
          <w:tcPr>
            <w:tcW w:w="2701" w:type="dxa"/>
          </w:tcPr>
          <w:p w14:paraId="3078061E" w14:textId="77777777" w:rsidR="001F7D25" w:rsidRPr="00E01772" w:rsidRDefault="001F7D25" w:rsidP="001E3D4D">
            <w:pPr>
              <w:ind w:left="120" w:right="120"/>
              <w:rPr>
                <w:b/>
                <w:bCs/>
              </w:rPr>
            </w:pPr>
            <w:r w:rsidRPr="00E01772">
              <w:rPr>
                <w:b/>
                <w:bCs/>
              </w:rPr>
              <w:t>Comparative Data Sets</w:t>
            </w:r>
          </w:p>
        </w:tc>
        <w:tc>
          <w:tcPr>
            <w:tcW w:w="1619" w:type="dxa"/>
          </w:tcPr>
          <w:p w14:paraId="078F75CF" w14:textId="77777777" w:rsidR="001F7D25" w:rsidRPr="00E01772" w:rsidRDefault="001F7D25" w:rsidP="001E3D4D">
            <w:pPr>
              <w:ind w:left="120" w:right="120"/>
              <w:rPr>
                <w:b/>
              </w:rPr>
            </w:pPr>
            <w:r>
              <w:rPr>
                <w:b/>
              </w:rPr>
              <w:t>#</w:t>
            </w:r>
            <w:r w:rsidRPr="00E01772">
              <w:rPr>
                <w:b/>
              </w:rPr>
              <w:t xml:space="preserve"> sequences</w:t>
            </w:r>
          </w:p>
        </w:tc>
        <w:tc>
          <w:tcPr>
            <w:tcW w:w="2970" w:type="dxa"/>
          </w:tcPr>
          <w:p w14:paraId="25A72F90" w14:textId="77777777" w:rsidR="001F7D25" w:rsidRPr="00E01772" w:rsidRDefault="001F7D25" w:rsidP="001E3D4D">
            <w:pPr>
              <w:ind w:left="120" w:right="120"/>
              <w:rPr>
                <w:b/>
              </w:rPr>
            </w:pPr>
            <w:r>
              <w:rPr>
                <w:b/>
              </w:rPr>
              <w:t>Notes on creation</w:t>
            </w:r>
          </w:p>
        </w:tc>
        <w:tc>
          <w:tcPr>
            <w:tcW w:w="1711" w:type="dxa"/>
          </w:tcPr>
          <w:p w14:paraId="19D864FB" w14:textId="77777777" w:rsidR="001F7D25" w:rsidRPr="00E01772" w:rsidRDefault="001F7D25" w:rsidP="001E3D4D">
            <w:pPr>
              <w:ind w:left="120" w:right="120"/>
              <w:rPr>
                <w:b/>
              </w:rPr>
            </w:pPr>
            <w:r>
              <w:rPr>
                <w:b/>
              </w:rPr>
              <w:t>Download date</w:t>
            </w:r>
          </w:p>
        </w:tc>
      </w:tr>
      <w:tr w:rsidR="001F7D25" w14:paraId="01B2FAEE" w14:textId="77777777" w:rsidTr="001E3D4D">
        <w:tc>
          <w:tcPr>
            <w:tcW w:w="2701" w:type="dxa"/>
          </w:tcPr>
          <w:p w14:paraId="1FD9389C" w14:textId="77777777" w:rsidR="001F7D25" w:rsidRDefault="001F7D25" w:rsidP="001E3D4D">
            <w:pPr>
              <w:ind w:left="120" w:right="120"/>
            </w:pPr>
            <w:r>
              <w:rPr>
                <w:b/>
                <w:bCs/>
              </w:rPr>
              <w:t>Silva- SSU_REF v. 104</w:t>
            </w:r>
          </w:p>
        </w:tc>
        <w:tc>
          <w:tcPr>
            <w:tcW w:w="1619" w:type="dxa"/>
          </w:tcPr>
          <w:p w14:paraId="6B5D6D1F" w14:textId="77777777" w:rsidR="001F7D25" w:rsidRDefault="001F7D25" w:rsidP="001E3D4D">
            <w:pPr>
              <w:ind w:left="120" w:right="120"/>
            </w:pPr>
            <w:r>
              <w:t>512,037</w:t>
            </w:r>
          </w:p>
        </w:tc>
        <w:tc>
          <w:tcPr>
            <w:tcW w:w="2970" w:type="dxa"/>
          </w:tcPr>
          <w:p w14:paraId="7A301DCB" w14:textId="77777777" w:rsidR="001F7D25" w:rsidRDefault="001F7D25" w:rsidP="001E3D4D">
            <w:pPr>
              <w:ind w:left="120" w:right="120"/>
            </w:pPr>
            <w:r>
              <w:fldChar w:fldCharType="begin"/>
            </w:r>
            <w:r>
              <w:instrText xml:space="preserve"> ADDIN EN.CITE &lt;EndNote&gt;&lt;Cite&gt;&lt;Author&gt;Pruesse&lt;/Author&gt;&lt;Year&gt;2007&lt;/Year&gt;&lt;RecNum&gt;370&lt;/RecNum&gt;&lt;DisplayText&gt;[44]&lt;/DisplayText&gt;&lt;record&gt;&lt;rec-number&gt;370&lt;/rec-number&gt;&lt;foreign-keys&gt;&lt;key app="EN" db-id="9zd2zzx0htpxr4esvr45wrva92trtr0ezwf5"&gt;370&lt;/key&gt;&lt;/foreign-keys&gt;&lt;ref-type name="Journal Article"&gt;17&lt;/ref-type&gt;&lt;contributors&gt;&lt;authors&gt;&lt;author&gt;Pruesse, E.&lt;/author&gt;&lt;author&gt;Quast, C.&lt;/author&gt;&lt;author&gt;Knittel, K.&lt;/author&gt;&lt;author&gt;Fuchs, B. M.&lt;/author&gt;&lt;author&gt;Ludwig, W.&lt;/author&gt;&lt;author&gt;Peplies, J.&lt;/author&gt;&lt;author&gt;Glockner, F. O.&lt;/author&gt;&lt;/authors&gt;&lt;/contributors&gt;&lt;auth-address&gt;Microbial Genomics Group, Max Planck Institute for Marine Microbiology.&lt;/auth-address&gt;&lt;titles&gt;&lt;title&gt;SILVA: a comprehensive online resource for quality checked and aligned ribosomal RNA sequence data compatible with ARB&lt;/title&gt;&lt;secondary-title&gt;Nucleic Acids Res&lt;/secondary-title&gt;&lt;/titles&gt;&lt;periodical&gt;&lt;full-title&gt;Nucleic Acids Res&lt;/full-title&gt;&lt;abbr-1&gt;Nucleic acids research&lt;/abbr-1&gt;&lt;/periodical&gt;&lt;pages&gt;7188-96&lt;/pages&gt;&lt;volume&gt;35&lt;/volume&gt;&lt;number&gt;21&lt;/number&gt;&lt;edition&gt;2007/10/20&lt;/edition&gt;&lt;keywords&gt;&lt;keyword&gt;Base Sequence&lt;/keyword&gt;&lt;keyword&gt;*Databases, Nucleic Acid/standards&lt;/keyword&gt;&lt;keyword&gt;*Genes, rRNA&lt;/keyword&gt;&lt;keyword&gt;Internet&lt;/keyword&gt;&lt;keyword&gt;Phylogeny&lt;/keyword&gt;&lt;keyword&gt;Quality Control&lt;/keyword&gt;&lt;keyword&gt;RNA, Ribosomal/*genetics&lt;/keyword&gt;&lt;keyword&gt;Sequence Alignment&lt;/keyword&gt;&lt;keyword&gt;Sequence Analysis, RNA&lt;/keyword&gt;&lt;keyword&gt;Software&lt;/keyword&gt;&lt;/keywords&gt;&lt;dates&gt;&lt;year&gt;2007&lt;/year&gt;&lt;/dates&gt;&lt;isbn&gt;1362-4962 (Electronic)&amp;#xD;0305-1048 (Linking)&lt;/isbn&gt;&lt;accession-num&gt;17947321&lt;/accession-num&gt;&lt;urls&gt;&lt;related-urls&gt;&lt;url&gt;http://www.ncbi.nlm.nih.gov/entrez/query.fcgi?cmd=Retrieve&amp;amp;db=PubMed&amp;amp;dopt=Citation&amp;amp;list_uids=17947321&lt;/url&gt;&lt;/related-urls&gt;&lt;/urls&gt;&lt;custom2&gt;2175337&lt;/custom2&gt;&lt;electronic-resource-num&gt;gkm864 [pii]&amp;#xD;10.1093/nar/gkm864&lt;/electronic-resource-num&gt;&lt;language&gt;eng&lt;/language&gt;&lt;/record&gt;&lt;/Cite&gt;&lt;/EndNote&gt;</w:instrText>
            </w:r>
            <w:r>
              <w:fldChar w:fldCharType="separate"/>
            </w:r>
            <w:r>
              <w:rPr>
                <w:noProof/>
              </w:rPr>
              <w:t>[</w:t>
            </w:r>
            <w:r w:rsidR="001E3D4D">
              <w:rPr>
                <w:noProof/>
              </w:rPr>
              <w:t>31</w:t>
            </w:r>
            <w:r>
              <w:rPr>
                <w:noProof/>
              </w:rPr>
              <w:t>]</w:t>
            </w:r>
            <w:r>
              <w:fldChar w:fldCharType="end"/>
            </w:r>
          </w:p>
        </w:tc>
        <w:tc>
          <w:tcPr>
            <w:tcW w:w="1711" w:type="dxa"/>
          </w:tcPr>
          <w:p w14:paraId="22F3E55E" w14:textId="77777777" w:rsidR="001F7D25" w:rsidRDefault="001F7D25" w:rsidP="001E3D4D">
            <w:pPr>
              <w:ind w:left="120" w:right="120"/>
            </w:pPr>
          </w:p>
        </w:tc>
      </w:tr>
      <w:tr w:rsidR="001F7D25" w14:paraId="57E6B0BD" w14:textId="77777777" w:rsidTr="001E3D4D">
        <w:tc>
          <w:tcPr>
            <w:tcW w:w="2701" w:type="dxa"/>
          </w:tcPr>
          <w:p w14:paraId="4A511D47" w14:textId="77777777" w:rsidR="001F7D25" w:rsidRDefault="001F7D25" w:rsidP="001E3D4D">
            <w:pPr>
              <w:ind w:left="120" w:right="120"/>
            </w:pPr>
            <w:r>
              <w:rPr>
                <w:b/>
                <w:bCs/>
              </w:rPr>
              <w:t xml:space="preserve">GOLD </w:t>
            </w:r>
          </w:p>
        </w:tc>
        <w:tc>
          <w:tcPr>
            <w:tcW w:w="1619" w:type="dxa"/>
          </w:tcPr>
          <w:p w14:paraId="24DD1C11" w14:textId="77777777" w:rsidR="001F7D25" w:rsidRDefault="001F7D25" w:rsidP="001E3D4D">
            <w:pPr>
              <w:ind w:left="120" w:right="120"/>
            </w:pPr>
            <w:r>
              <w:t>5,441</w:t>
            </w:r>
          </w:p>
        </w:tc>
        <w:tc>
          <w:tcPr>
            <w:tcW w:w="2970" w:type="dxa"/>
          </w:tcPr>
          <w:p w14:paraId="518A788A" w14:textId="77777777" w:rsidR="001F7D25" w:rsidRPr="000E7F17" w:rsidRDefault="001F7D25" w:rsidP="001E3D4D">
            <w:pPr>
              <w:spacing w:line="240" w:lineRule="auto"/>
            </w:pPr>
            <w:r w:rsidRPr="000E7F17">
              <w:t>Greengenes records where the gg ‘strain’ contains the GOLD ‘ORGANISM_NAME’ or the gg ncbi_tax_id equals the GOLD ‘TAXON_ID’</w:t>
            </w:r>
          </w:p>
          <w:p w14:paraId="483F2118" w14:textId="77777777" w:rsidR="001F7D25" w:rsidRDefault="001F7D25" w:rsidP="001E3D4D">
            <w:pPr>
              <w:ind w:left="120" w:right="120"/>
            </w:pPr>
          </w:p>
        </w:tc>
        <w:tc>
          <w:tcPr>
            <w:tcW w:w="1711" w:type="dxa"/>
          </w:tcPr>
          <w:p w14:paraId="38E58331" w14:textId="77777777" w:rsidR="001F7D25" w:rsidRDefault="001F7D25" w:rsidP="001E3D4D">
            <w:pPr>
              <w:ind w:left="120" w:right="120"/>
            </w:pPr>
            <w:r>
              <w:rPr>
                <w:b/>
                <w:bCs/>
              </w:rPr>
              <w:t>April 10, 2011</w:t>
            </w:r>
          </w:p>
        </w:tc>
      </w:tr>
      <w:tr w:rsidR="001F7D25" w14:paraId="0566C5AF" w14:textId="77777777" w:rsidTr="001E3D4D">
        <w:tc>
          <w:tcPr>
            <w:tcW w:w="2701" w:type="dxa"/>
          </w:tcPr>
          <w:p w14:paraId="48171681" w14:textId="77777777" w:rsidR="001F7D25" w:rsidRDefault="001F7D25" w:rsidP="001E3D4D">
            <w:pPr>
              <w:ind w:left="120" w:right="120"/>
            </w:pPr>
            <w:r>
              <w:rPr>
                <w:b/>
                <w:bCs/>
              </w:rPr>
              <w:t xml:space="preserve">GOLD- Human </w:t>
            </w:r>
          </w:p>
        </w:tc>
        <w:tc>
          <w:tcPr>
            <w:tcW w:w="1619" w:type="dxa"/>
          </w:tcPr>
          <w:p w14:paraId="38C73685" w14:textId="77777777" w:rsidR="001F7D25" w:rsidRDefault="001F7D25" w:rsidP="001E3D4D">
            <w:pPr>
              <w:ind w:left="120" w:right="120"/>
            </w:pPr>
            <w:r>
              <w:t>2,839</w:t>
            </w:r>
          </w:p>
        </w:tc>
        <w:tc>
          <w:tcPr>
            <w:tcW w:w="2970" w:type="dxa"/>
          </w:tcPr>
          <w:p w14:paraId="4D83561F" w14:textId="77777777" w:rsidR="001F7D25" w:rsidRDefault="001F7D25" w:rsidP="001E3D4D">
            <w:pPr>
              <w:spacing w:line="240" w:lineRule="auto"/>
              <w:ind w:right="115"/>
            </w:pPr>
            <w:r>
              <w:t xml:space="preserve">Greengenes </w:t>
            </w:r>
            <w:r w:rsidRPr="001463B7">
              <w:t xml:space="preserve"> records in the GOLD subset where the GOLD ‘HOST NAME' is “Homo sapiens”</w:t>
            </w:r>
          </w:p>
        </w:tc>
        <w:tc>
          <w:tcPr>
            <w:tcW w:w="1711" w:type="dxa"/>
          </w:tcPr>
          <w:p w14:paraId="428BB9E1" w14:textId="77777777" w:rsidR="001F7D25" w:rsidRDefault="001F7D25" w:rsidP="001E3D4D">
            <w:pPr>
              <w:ind w:left="120" w:right="120"/>
            </w:pPr>
            <w:r>
              <w:rPr>
                <w:b/>
                <w:bCs/>
              </w:rPr>
              <w:t>May 11, 2011</w:t>
            </w:r>
          </w:p>
        </w:tc>
      </w:tr>
      <w:tr w:rsidR="001F7D25" w14:paraId="0A1FAAD9" w14:textId="77777777" w:rsidTr="001E3D4D">
        <w:tc>
          <w:tcPr>
            <w:tcW w:w="2701" w:type="dxa"/>
          </w:tcPr>
          <w:p w14:paraId="52BA6EFD" w14:textId="77777777" w:rsidR="001F7D25" w:rsidRDefault="001F7D25" w:rsidP="001E3D4D">
            <w:pPr>
              <w:ind w:left="120" w:right="120"/>
            </w:pPr>
            <w:r>
              <w:rPr>
                <w:b/>
                <w:bCs/>
              </w:rPr>
              <w:t xml:space="preserve">HMP Strains </w:t>
            </w:r>
          </w:p>
        </w:tc>
        <w:tc>
          <w:tcPr>
            <w:tcW w:w="1619" w:type="dxa"/>
          </w:tcPr>
          <w:p w14:paraId="5540C463" w14:textId="77777777" w:rsidR="001F7D25" w:rsidRDefault="001F7D25" w:rsidP="001E3D4D">
            <w:pPr>
              <w:ind w:left="120" w:right="120"/>
            </w:pPr>
            <w:r>
              <w:t>1,898</w:t>
            </w:r>
          </w:p>
        </w:tc>
        <w:tc>
          <w:tcPr>
            <w:tcW w:w="2970" w:type="dxa"/>
          </w:tcPr>
          <w:p w14:paraId="1017E11A" w14:textId="32334C7C" w:rsidR="001F7D25" w:rsidRDefault="001F7D25" w:rsidP="00187774">
            <w:pPr>
              <w:spacing w:line="240" w:lineRule="auto"/>
            </w:pPr>
            <w:r w:rsidRPr="000E7F17">
              <w:t xml:space="preserve">Greengenes records in the GOLD subset where the GOLD ‘IMG_HMP_ID’ is registered.  In cases where a strain’s 16S sequence was not found within a contig of the genome project, a sequence from the same species (else the same genus, else the same family) was substituted as surrogate. </w:t>
            </w:r>
          </w:p>
        </w:tc>
        <w:tc>
          <w:tcPr>
            <w:tcW w:w="1711" w:type="dxa"/>
          </w:tcPr>
          <w:p w14:paraId="7F235924" w14:textId="77777777" w:rsidR="001F7D25" w:rsidRDefault="001F7D25" w:rsidP="001E3D4D">
            <w:pPr>
              <w:ind w:left="120" w:right="120"/>
            </w:pPr>
            <w:r>
              <w:rPr>
                <w:b/>
                <w:bCs/>
              </w:rPr>
              <w:t>May 11, 2011</w:t>
            </w:r>
          </w:p>
        </w:tc>
      </w:tr>
      <w:tr w:rsidR="001F7D25" w14:paraId="5562735D" w14:textId="77777777" w:rsidTr="001E3D4D">
        <w:tc>
          <w:tcPr>
            <w:tcW w:w="2701" w:type="dxa"/>
          </w:tcPr>
          <w:p w14:paraId="7BEA088A" w14:textId="77777777" w:rsidR="001F7D25" w:rsidRDefault="001F7D25" w:rsidP="001E3D4D">
            <w:pPr>
              <w:ind w:left="120" w:right="120"/>
            </w:pPr>
            <w:r>
              <w:rPr>
                <w:b/>
                <w:bCs/>
              </w:rPr>
              <w:t>Isolated named strains</w:t>
            </w:r>
          </w:p>
        </w:tc>
        <w:tc>
          <w:tcPr>
            <w:tcW w:w="1619" w:type="dxa"/>
          </w:tcPr>
          <w:p w14:paraId="5C56A1CC" w14:textId="77777777" w:rsidR="001F7D25" w:rsidRDefault="001F7D25" w:rsidP="001E3D4D">
            <w:pPr>
              <w:ind w:left="120" w:right="120"/>
            </w:pPr>
            <w:r>
              <w:t>117,101</w:t>
            </w:r>
          </w:p>
        </w:tc>
        <w:tc>
          <w:tcPr>
            <w:tcW w:w="2970" w:type="dxa"/>
          </w:tcPr>
          <w:p w14:paraId="030D5DAC" w14:textId="3AC490A3" w:rsidR="001F7D25" w:rsidRDefault="001F7D25" w:rsidP="00187774">
            <w:pPr>
              <w:spacing w:line="240" w:lineRule="auto"/>
            </w:pPr>
            <w:r w:rsidRPr="000E7F17">
              <w:t>Greengenes records derived from whole genome sequencing projects or records that contain binomial names in the genbank field ‘description’ and do not contain words such as “unnamed”, “unidentified” or “clone” in the genbank fields ‘description’, ‘source’ nor ‘title’.</w:t>
            </w:r>
          </w:p>
        </w:tc>
        <w:tc>
          <w:tcPr>
            <w:tcW w:w="1711" w:type="dxa"/>
          </w:tcPr>
          <w:p w14:paraId="32CF4A4E" w14:textId="77777777" w:rsidR="001F7D25" w:rsidRDefault="001F7D25" w:rsidP="001E3D4D">
            <w:pPr>
              <w:ind w:left="120" w:right="120"/>
            </w:pPr>
            <w:r>
              <w:rPr>
                <w:b/>
                <w:bCs/>
              </w:rPr>
              <w:t>June 16, 2011</w:t>
            </w:r>
          </w:p>
        </w:tc>
      </w:tr>
      <w:tr w:rsidR="001F7D25" w14:paraId="68C592B1" w14:textId="77777777" w:rsidTr="001E3D4D">
        <w:tc>
          <w:tcPr>
            <w:tcW w:w="2701" w:type="dxa"/>
          </w:tcPr>
          <w:p w14:paraId="3CF09199" w14:textId="77777777" w:rsidR="001F7D25" w:rsidRDefault="001F7D25" w:rsidP="001E3D4D">
            <w:pPr>
              <w:ind w:left="120" w:right="120"/>
            </w:pPr>
            <w:r>
              <w:rPr>
                <w:b/>
                <w:bCs/>
              </w:rPr>
              <w:t>Isolated unnamed strains</w:t>
            </w:r>
          </w:p>
        </w:tc>
        <w:tc>
          <w:tcPr>
            <w:tcW w:w="1619" w:type="dxa"/>
          </w:tcPr>
          <w:p w14:paraId="740E7A1D" w14:textId="77777777" w:rsidR="001F7D25" w:rsidRDefault="001F7D25" w:rsidP="001E3D4D">
            <w:pPr>
              <w:ind w:left="120" w:right="120"/>
            </w:pPr>
            <w:r>
              <w:t>5,869</w:t>
            </w:r>
          </w:p>
        </w:tc>
        <w:tc>
          <w:tcPr>
            <w:tcW w:w="2970" w:type="dxa"/>
          </w:tcPr>
          <w:p w14:paraId="569D2183" w14:textId="21ED9329" w:rsidR="001F7D25" w:rsidRPr="000E7F17" w:rsidRDefault="001F7D25" w:rsidP="001E3D4D">
            <w:pPr>
              <w:spacing w:line="240" w:lineRule="auto"/>
            </w:pPr>
            <w:r w:rsidRPr="000E7F17">
              <w:t xml:space="preserve">Greengenes records not in </w:t>
            </w:r>
            <w:r>
              <w:t>Named</w:t>
            </w:r>
            <w:r w:rsidRPr="000E7F17">
              <w:t xml:space="preserve"> </w:t>
            </w:r>
            <w:r>
              <w:t>isolates</w:t>
            </w:r>
            <w:r w:rsidRPr="000E7F17">
              <w:t xml:space="preserve"> and without binomial names in the genbank field ‘description’ and with genbank field ‘strain’ containing a designation.</w:t>
            </w:r>
          </w:p>
        </w:tc>
        <w:tc>
          <w:tcPr>
            <w:tcW w:w="1711" w:type="dxa"/>
          </w:tcPr>
          <w:p w14:paraId="651B70DC" w14:textId="77777777" w:rsidR="001F7D25" w:rsidRPr="000E7F17" w:rsidRDefault="001F7D25" w:rsidP="001E3D4D">
            <w:pPr>
              <w:spacing w:line="240" w:lineRule="auto"/>
            </w:pPr>
            <w:r>
              <w:rPr>
                <w:b/>
                <w:bCs/>
              </w:rPr>
              <w:t>June 16, 2011</w:t>
            </w:r>
          </w:p>
        </w:tc>
      </w:tr>
    </w:tbl>
    <w:p w14:paraId="7E998A48" w14:textId="77777777" w:rsidR="001F7D25" w:rsidRDefault="001F7D25" w:rsidP="001F7D25">
      <w:pPr>
        <w:spacing w:line="240" w:lineRule="auto"/>
        <w:jc w:val="both"/>
      </w:pPr>
      <w:r>
        <w:br w:type="page"/>
      </w:r>
      <w:r>
        <w:lastRenderedPageBreak/>
        <w:t xml:space="preserve">       </w:t>
      </w:r>
    </w:p>
    <w:p w14:paraId="4BE9D27B" w14:textId="77777777" w:rsidR="00A96823" w:rsidRDefault="00A96823" w:rsidP="00837037">
      <w:pPr>
        <w:spacing w:line="240" w:lineRule="auto"/>
        <w:jc w:val="both"/>
        <w:outlineLvl w:val="0"/>
      </w:pPr>
      <w:bookmarkStart w:id="0" w:name="_GoBack"/>
      <w:bookmarkEnd w:id="0"/>
    </w:p>
    <w:sectPr w:rsidR="00A96823" w:rsidSect="00A96823">
      <w:footerReference w:type="default" r:id="rId7"/>
      <w:pgSz w:w="15840" w:h="12240" w:orient="landscape"/>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810A6" w14:textId="77777777" w:rsidR="00837037" w:rsidRDefault="00837037">
      <w:pPr>
        <w:spacing w:line="240" w:lineRule="auto"/>
      </w:pPr>
      <w:r>
        <w:separator/>
      </w:r>
    </w:p>
  </w:endnote>
  <w:endnote w:type="continuationSeparator" w:id="0">
    <w:p w14:paraId="41B6A013" w14:textId="77777777" w:rsidR="00837037" w:rsidRDefault="00837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E471F" w14:textId="77777777" w:rsidR="00837037" w:rsidRDefault="00837037">
    <w:pPr>
      <w:spacing w:after="200"/>
      <w:jc w:val="right"/>
    </w:pPr>
    <w:r>
      <w:fldChar w:fldCharType="begin"/>
    </w:r>
    <w:r>
      <w:instrText>PAGE</w:instrText>
    </w:r>
    <w:r>
      <w:fldChar w:fldCharType="separate"/>
    </w:r>
    <w:r w:rsidR="00697566">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89C19" w14:textId="77777777" w:rsidR="00837037" w:rsidRDefault="00837037">
      <w:pPr>
        <w:spacing w:line="240" w:lineRule="auto"/>
      </w:pPr>
      <w:r>
        <w:separator/>
      </w:r>
    </w:p>
  </w:footnote>
  <w:footnote w:type="continuationSeparator" w:id="0">
    <w:p w14:paraId="01DA6333" w14:textId="77777777" w:rsidR="00837037" w:rsidRDefault="008370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25"/>
    <w:rsid w:val="00187774"/>
    <w:rsid w:val="001C5FB8"/>
    <w:rsid w:val="001E3D4D"/>
    <w:rsid w:val="001F7D25"/>
    <w:rsid w:val="00276B06"/>
    <w:rsid w:val="002C619F"/>
    <w:rsid w:val="00310DA2"/>
    <w:rsid w:val="005C2464"/>
    <w:rsid w:val="005E42E6"/>
    <w:rsid w:val="00653B27"/>
    <w:rsid w:val="00693E73"/>
    <w:rsid w:val="00697566"/>
    <w:rsid w:val="00706213"/>
    <w:rsid w:val="0080766F"/>
    <w:rsid w:val="008318FA"/>
    <w:rsid w:val="00837037"/>
    <w:rsid w:val="009538C8"/>
    <w:rsid w:val="00A56B70"/>
    <w:rsid w:val="00A81635"/>
    <w:rsid w:val="00A96823"/>
    <w:rsid w:val="00B952ED"/>
    <w:rsid w:val="00C1192D"/>
    <w:rsid w:val="00C718F8"/>
    <w:rsid w:val="00D079DA"/>
    <w:rsid w:val="00D27857"/>
    <w:rsid w:val="00D32F50"/>
    <w:rsid w:val="00DF3E0C"/>
    <w:rsid w:val="00F458F7"/>
    <w:rsid w:val="00F6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63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5"/>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D2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F7D25"/>
  </w:style>
  <w:style w:type="paragraph" w:styleId="BalloonText">
    <w:name w:val="Balloon Text"/>
    <w:basedOn w:val="Normal"/>
    <w:link w:val="BalloonTextChar"/>
    <w:uiPriority w:val="99"/>
    <w:semiHidden/>
    <w:unhideWhenUsed/>
    <w:rsid w:val="00276B0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B06"/>
    <w:rPr>
      <w:rFonts w:ascii="Lucida Grande" w:eastAsia="Arial" w:hAnsi="Lucida Grande" w:cs="Lucida Grande"/>
      <w:color w:val="000000"/>
      <w:sz w:val="18"/>
      <w:szCs w:val="18"/>
    </w:rPr>
  </w:style>
  <w:style w:type="paragraph" w:styleId="Revision">
    <w:name w:val="Revision"/>
    <w:hidden/>
    <w:uiPriority w:val="99"/>
    <w:semiHidden/>
    <w:rsid w:val="008318FA"/>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5"/>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D2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F7D25"/>
  </w:style>
  <w:style w:type="paragraph" w:styleId="BalloonText">
    <w:name w:val="Balloon Text"/>
    <w:basedOn w:val="Normal"/>
    <w:link w:val="BalloonTextChar"/>
    <w:uiPriority w:val="99"/>
    <w:semiHidden/>
    <w:unhideWhenUsed/>
    <w:rsid w:val="00276B0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B06"/>
    <w:rPr>
      <w:rFonts w:ascii="Lucida Grande" w:eastAsia="Arial" w:hAnsi="Lucida Grande" w:cs="Lucida Grande"/>
      <w:color w:val="000000"/>
      <w:sz w:val="18"/>
      <w:szCs w:val="18"/>
    </w:rPr>
  </w:style>
  <w:style w:type="paragraph" w:styleId="Revision">
    <w:name w:val="Revision"/>
    <w:hidden/>
    <w:uiPriority w:val="99"/>
    <w:semiHidden/>
    <w:rsid w:val="008318FA"/>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2794">
      <w:bodyDiv w:val="1"/>
      <w:marLeft w:val="0"/>
      <w:marRight w:val="0"/>
      <w:marTop w:val="0"/>
      <w:marBottom w:val="0"/>
      <w:divBdr>
        <w:top w:val="none" w:sz="0" w:space="0" w:color="auto"/>
        <w:left w:val="none" w:sz="0" w:space="0" w:color="auto"/>
        <w:bottom w:val="none" w:sz="0" w:space="0" w:color="auto"/>
        <w:right w:val="none" w:sz="0" w:space="0" w:color="auto"/>
      </w:divBdr>
    </w:div>
    <w:div w:id="450056493">
      <w:bodyDiv w:val="1"/>
      <w:marLeft w:val="0"/>
      <w:marRight w:val="0"/>
      <w:marTop w:val="0"/>
      <w:marBottom w:val="0"/>
      <w:divBdr>
        <w:top w:val="none" w:sz="0" w:space="0" w:color="auto"/>
        <w:left w:val="none" w:sz="0" w:space="0" w:color="auto"/>
        <w:bottom w:val="none" w:sz="0" w:space="0" w:color="auto"/>
        <w:right w:val="none" w:sz="0" w:space="0" w:color="auto"/>
      </w:divBdr>
    </w:div>
    <w:div w:id="576868308">
      <w:bodyDiv w:val="1"/>
      <w:marLeft w:val="0"/>
      <w:marRight w:val="0"/>
      <w:marTop w:val="0"/>
      <w:marBottom w:val="0"/>
      <w:divBdr>
        <w:top w:val="none" w:sz="0" w:space="0" w:color="auto"/>
        <w:left w:val="none" w:sz="0" w:space="0" w:color="auto"/>
        <w:bottom w:val="none" w:sz="0" w:space="0" w:color="auto"/>
        <w:right w:val="none" w:sz="0" w:space="0" w:color="auto"/>
      </w:divBdr>
    </w:div>
    <w:div w:id="605582563">
      <w:bodyDiv w:val="1"/>
      <w:marLeft w:val="0"/>
      <w:marRight w:val="0"/>
      <w:marTop w:val="0"/>
      <w:marBottom w:val="0"/>
      <w:divBdr>
        <w:top w:val="none" w:sz="0" w:space="0" w:color="auto"/>
        <w:left w:val="none" w:sz="0" w:space="0" w:color="auto"/>
        <w:bottom w:val="none" w:sz="0" w:space="0" w:color="auto"/>
        <w:right w:val="none" w:sz="0" w:space="0" w:color="auto"/>
      </w:divBdr>
    </w:div>
    <w:div w:id="716008098">
      <w:bodyDiv w:val="1"/>
      <w:marLeft w:val="0"/>
      <w:marRight w:val="0"/>
      <w:marTop w:val="0"/>
      <w:marBottom w:val="0"/>
      <w:divBdr>
        <w:top w:val="none" w:sz="0" w:space="0" w:color="auto"/>
        <w:left w:val="none" w:sz="0" w:space="0" w:color="auto"/>
        <w:bottom w:val="none" w:sz="0" w:space="0" w:color="auto"/>
        <w:right w:val="none" w:sz="0" w:space="0" w:color="auto"/>
      </w:divBdr>
    </w:div>
    <w:div w:id="727649566">
      <w:bodyDiv w:val="1"/>
      <w:marLeft w:val="0"/>
      <w:marRight w:val="0"/>
      <w:marTop w:val="0"/>
      <w:marBottom w:val="0"/>
      <w:divBdr>
        <w:top w:val="none" w:sz="0" w:space="0" w:color="auto"/>
        <w:left w:val="none" w:sz="0" w:space="0" w:color="auto"/>
        <w:bottom w:val="none" w:sz="0" w:space="0" w:color="auto"/>
        <w:right w:val="none" w:sz="0" w:space="0" w:color="auto"/>
      </w:divBdr>
    </w:div>
    <w:div w:id="828640914">
      <w:bodyDiv w:val="1"/>
      <w:marLeft w:val="0"/>
      <w:marRight w:val="0"/>
      <w:marTop w:val="0"/>
      <w:marBottom w:val="0"/>
      <w:divBdr>
        <w:top w:val="none" w:sz="0" w:space="0" w:color="auto"/>
        <w:left w:val="none" w:sz="0" w:space="0" w:color="auto"/>
        <w:bottom w:val="none" w:sz="0" w:space="0" w:color="auto"/>
        <w:right w:val="none" w:sz="0" w:space="0" w:color="auto"/>
      </w:divBdr>
    </w:div>
    <w:div w:id="936981775">
      <w:bodyDiv w:val="1"/>
      <w:marLeft w:val="0"/>
      <w:marRight w:val="0"/>
      <w:marTop w:val="0"/>
      <w:marBottom w:val="0"/>
      <w:divBdr>
        <w:top w:val="none" w:sz="0" w:space="0" w:color="auto"/>
        <w:left w:val="none" w:sz="0" w:space="0" w:color="auto"/>
        <w:bottom w:val="none" w:sz="0" w:space="0" w:color="auto"/>
        <w:right w:val="none" w:sz="0" w:space="0" w:color="auto"/>
      </w:divBdr>
    </w:div>
    <w:div w:id="1229534032">
      <w:bodyDiv w:val="1"/>
      <w:marLeft w:val="0"/>
      <w:marRight w:val="0"/>
      <w:marTop w:val="0"/>
      <w:marBottom w:val="0"/>
      <w:divBdr>
        <w:top w:val="none" w:sz="0" w:space="0" w:color="auto"/>
        <w:left w:val="none" w:sz="0" w:space="0" w:color="auto"/>
        <w:bottom w:val="none" w:sz="0" w:space="0" w:color="auto"/>
        <w:right w:val="none" w:sz="0" w:space="0" w:color="auto"/>
      </w:divBdr>
    </w:div>
    <w:div w:id="1261260883">
      <w:bodyDiv w:val="1"/>
      <w:marLeft w:val="0"/>
      <w:marRight w:val="0"/>
      <w:marTop w:val="0"/>
      <w:marBottom w:val="0"/>
      <w:divBdr>
        <w:top w:val="none" w:sz="0" w:space="0" w:color="auto"/>
        <w:left w:val="none" w:sz="0" w:space="0" w:color="auto"/>
        <w:bottom w:val="none" w:sz="0" w:space="0" w:color="auto"/>
        <w:right w:val="none" w:sz="0" w:space="0" w:color="auto"/>
      </w:divBdr>
    </w:div>
    <w:div w:id="1468473153">
      <w:bodyDiv w:val="1"/>
      <w:marLeft w:val="0"/>
      <w:marRight w:val="0"/>
      <w:marTop w:val="0"/>
      <w:marBottom w:val="0"/>
      <w:divBdr>
        <w:top w:val="none" w:sz="0" w:space="0" w:color="auto"/>
        <w:left w:val="none" w:sz="0" w:space="0" w:color="auto"/>
        <w:bottom w:val="none" w:sz="0" w:space="0" w:color="auto"/>
        <w:right w:val="none" w:sz="0" w:space="0" w:color="auto"/>
      </w:divBdr>
    </w:div>
    <w:div w:id="1474717805">
      <w:bodyDiv w:val="1"/>
      <w:marLeft w:val="0"/>
      <w:marRight w:val="0"/>
      <w:marTop w:val="0"/>
      <w:marBottom w:val="0"/>
      <w:divBdr>
        <w:top w:val="none" w:sz="0" w:space="0" w:color="auto"/>
        <w:left w:val="none" w:sz="0" w:space="0" w:color="auto"/>
        <w:bottom w:val="none" w:sz="0" w:space="0" w:color="auto"/>
        <w:right w:val="none" w:sz="0" w:space="0" w:color="auto"/>
      </w:divBdr>
    </w:div>
    <w:div w:id="1621951958">
      <w:bodyDiv w:val="1"/>
      <w:marLeft w:val="0"/>
      <w:marRight w:val="0"/>
      <w:marTop w:val="0"/>
      <w:marBottom w:val="0"/>
      <w:divBdr>
        <w:top w:val="none" w:sz="0" w:space="0" w:color="auto"/>
        <w:left w:val="none" w:sz="0" w:space="0" w:color="auto"/>
        <w:bottom w:val="none" w:sz="0" w:space="0" w:color="auto"/>
        <w:right w:val="none" w:sz="0" w:space="0" w:color="auto"/>
      </w:divBdr>
    </w:div>
    <w:div w:id="1639918296">
      <w:bodyDiv w:val="1"/>
      <w:marLeft w:val="0"/>
      <w:marRight w:val="0"/>
      <w:marTop w:val="0"/>
      <w:marBottom w:val="0"/>
      <w:divBdr>
        <w:top w:val="none" w:sz="0" w:space="0" w:color="auto"/>
        <w:left w:val="none" w:sz="0" w:space="0" w:color="auto"/>
        <w:bottom w:val="none" w:sz="0" w:space="0" w:color="auto"/>
        <w:right w:val="none" w:sz="0" w:space="0" w:color="auto"/>
      </w:divBdr>
    </w:div>
    <w:div w:id="1642887353">
      <w:bodyDiv w:val="1"/>
      <w:marLeft w:val="0"/>
      <w:marRight w:val="0"/>
      <w:marTop w:val="0"/>
      <w:marBottom w:val="0"/>
      <w:divBdr>
        <w:top w:val="none" w:sz="0" w:space="0" w:color="auto"/>
        <w:left w:val="none" w:sz="0" w:space="0" w:color="auto"/>
        <w:bottom w:val="none" w:sz="0" w:space="0" w:color="auto"/>
        <w:right w:val="none" w:sz="0" w:space="0" w:color="auto"/>
      </w:divBdr>
    </w:div>
    <w:div w:id="1784035004">
      <w:bodyDiv w:val="1"/>
      <w:marLeft w:val="0"/>
      <w:marRight w:val="0"/>
      <w:marTop w:val="0"/>
      <w:marBottom w:val="0"/>
      <w:divBdr>
        <w:top w:val="none" w:sz="0" w:space="0" w:color="auto"/>
        <w:left w:val="none" w:sz="0" w:space="0" w:color="auto"/>
        <w:bottom w:val="none" w:sz="0" w:space="0" w:color="auto"/>
        <w:right w:val="none" w:sz="0" w:space="0" w:color="auto"/>
      </w:divBdr>
    </w:div>
    <w:div w:id="1841969160">
      <w:bodyDiv w:val="1"/>
      <w:marLeft w:val="0"/>
      <w:marRight w:val="0"/>
      <w:marTop w:val="0"/>
      <w:marBottom w:val="0"/>
      <w:divBdr>
        <w:top w:val="none" w:sz="0" w:space="0" w:color="auto"/>
        <w:left w:val="none" w:sz="0" w:space="0" w:color="auto"/>
        <w:bottom w:val="none" w:sz="0" w:space="0" w:color="auto"/>
        <w:right w:val="none" w:sz="0" w:space="0" w:color="auto"/>
      </w:divBdr>
    </w:div>
    <w:div w:id="1859000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Macintosh Word</Application>
  <DocSecurity>0</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Earl</dc:creator>
  <cp:keywords/>
  <dc:description/>
  <cp:lastModifiedBy>Ashlee Earl</cp:lastModifiedBy>
  <cp:revision>3</cp:revision>
  <cp:lastPrinted>2012-03-24T01:27:00Z</cp:lastPrinted>
  <dcterms:created xsi:type="dcterms:W3CDTF">2012-07-04T20:21:00Z</dcterms:created>
  <dcterms:modified xsi:type="dcterms:W3CDTF">2012-07-04T20:32:00Z</dcterms:modified>
</cp:coreProperties>
</file>