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8D" w:rsidRPr="00AE5BE7" w:rsidRDefault="00CF798D" w:rsidP="00CF798D">
      <w:pPr>
        <w:rPr>
          <w:b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AE5BE7">
            <w:rPr>
              <w:b/>
              <w:sz w:val="22"/>
              <w:u w:val="single"/>
              <w:lang w:val="en-US"/>
            </w:rPr>
            <w:t>PERU</w:t>
          </w:r>
        </w:smartTag>
      </w:smartTag>
      <w:r w:rsidRPr="00AE5BE7">
        <w:rPr>
          <w:b/>
          <w:sz w:val="22"/>
          <w:u w:val="single"/>
          <w:lang w:val="en-US"/>
        </w:rPr>
        <w:t xml:space="preserve"> </w:t>
      </w:r>
    </w:p>
    <w:p w:rsidR="00CF798D" w:rsidRPr="00AE5BE7" w:rsidRDefault="00CF798D" w:rsidP="00CF798D">
      <w:pPr>
        <w:rPr>
          <w:b/>
          <w:sz w:val="22"/>
          <w:u w:val="single"/>
          <w:lang w:val="en-US"/>
        </w:rPr>
      </w:pPr>
    </w:p>
    <w:p w:rsidR="00CF798D" w:rsidRPr="00AE5BE7" w:rsidRDefault="00CF798D" w:rsidP="00CF798D">
      <w:pPr>
        <w:rPr>
          <w:b/>
          <w:sz w:val="22"/>
          <w:u w:val="single"/>
          <w:lang w:val="en-US"/>
        </w:rPr>
      </w:pPr>
      <w:r>
        <w:rPr>
          <w:b/>
          <w:noProof/>
          <w:sz w:val="22"/>
          <w:u w:val="single"/>
          <w:lang w:val="en-US"/>
        </w:rPr>
        <w:drawing>
          <wp:inline distT="0" distB="0" distL="0" distR="0">
            <wp:extent cx="2446020" cy="1638935"/>
            <wp:effectExtent l="19050" t="0" r="0" b="0"/>
            <wp:docPr id="2" name="Picture 55" descr="C:\Users\admin\Documents\Downloads\PE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dmin\Documents\Downloads\PEWOR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8D" w:rsidRPr="00AE5BE7" w:rsidRDefault="00CF798D" w:rsidP="00CF798D">
      <w:pPr>
        <w:rPr>
          <w:b/>
          <w:sz w:val="22"/>
          <w:u w:val="single"/>
          <w:lang w:val="en-US"/>
        </w:rPr>
      </w:pPr>
    </w:p>
    <w:p w:rsidR="00CF798D" w:rsidRPr="00AE5BE7" w:rsidRDefault="00CF798D" w:rsidP="00CF798D">
      <w:pPr>
        <w:rPr>
          <w:b/>
          <w:sz w:val="22"/>
          <w:lang w:val="en-US"/>
        </w:rPr>
      </w:pPr>
      <w:r w:rsidRPr="00AE5BE7">
        <w:rPr>
          <w:b/>
          <w:sz w:val="22"/>
          <w:lang w:val="en-US"/>
        </w:rPr>
        <w:t>BASIC COUNTRY DATA</w:t>
      </w:r>
    </w:p>
    <w:p w:rsidR="00CF798D" w:rsidRPr="00AE5BE7" w:rsidRDefault="00CF798D" w:rsidP="00CF798D">
      <w:pPr>
        <w:rPr>
          <w:b/>
          <w:sz w:val="22"/>
          <w:lang w:val="en-US"/>
        </w:rPr>
      </w:pPr>
    </w:p>
    <w:p w:rsidR="00CF798D" w:rsidRPr="00AE5BE7" w:rsidRDefault="00CF798D" w:rsidP="00CF798D">
      <w:pPr>
        <w:rPr>
          <w:sz w:val="22"/>
          <w:lang w:val="en-US"/>
        </w:rPr>
      </w:pPr>
      <w:r w:rsidRPr="00AE5BE7">
        <w:rPr>
          <w:sz w:val="22"/>
          <w:lang w:val="en-US"/>
        </w:rPr>
        <w:t>Total Population:</w:t>
      </w:r>
      <w:r>
        <w:rPr>
          <w:sz w:val="22"/>
          <w:lang w:val="en-US"/>
        </w:rPr>
        <w:t xml:space="preserve"> </w:t>
      </w:r>
      <w:r w:rsidRPr="00AE5BE7">
        <w:rPr>
          <w:sz w:val="22"/>
          <w:lang w:val="en-US"/>
        </w:rPr>
        <w:t>2</w:t>
      </w:r>
      <w:r>
        <w:rPr>
          <w:sz w:val="22"/>
          <w:lang w:val="en-US"/>
        </w:rPr>
        <w:t>9,076,512</w:t>
      </w:r>
      <w:r w:rsidRPr="00AE5BE7">
        <w:rPr>
          <w:sz w:val="22"/>
          <w:lang w:val="en-US"/>
        </w:rPr>
        <w:t xml:space="preserve"> </w:t>
      </w:r>
    </w:p>
    <w:p w:rsidR="00CF798D" w:rsidRPr="00AE5BE7" w:rsidRDefault="00CF798D" w:rsidP="00CF798D">
      <w:pPr>
        <w:rPr>
          <w:sz w:val="22"/>
          <w:lang w:val="en-US"/>
        </w:rPr>
      </w:pPr>
      <w:r w:rsidRPr="00AE5BE7">
        <w:rPr>
          <w:sz w:val="22"/>
          <w:lang w:val="en-US"/>
        </w:rPr>
        <w:t>Population 0-14 years: 3</w:t>
      </w:r>
      <w:r>
        <w:rPr>
          <w:sz w:val="22"/>
          <w:lang w:val="en-US"/>
        </w:rPr>
        <w:t>0</w:t>
      </w:r>
      <w:r w:rsidRPr="00AE5BE7">
        <w:rPr>
          <w:sz w:val="22"/>
          <w:lang w:val="en-US"/>
        </w:rPr>
        <w:t xml:space="preserve">% </w:t>
      </w:r>
    </w:p>
    <w:p w:rsidR="00CF798D" w:rsidRPr="00AE5BE7" w:rsidRDefault="00CF798D" w:rsidP="00CF798D">
      <w:pPr>
        <w:rPr>
          <w:sz w:val="22"/>
          <w:lang w:val="en-US"/>
        </w:rPr>
      </w:pPr>
      <w:r w:rsidRPr="00AE5BE7">
        <w:rPr>
          <w:sz w:val="22"/>
          <w:lang w:val="en-US"/>
        </w:rPr>
        <w:t>Rural population: 2</w:t>
      </w:r>
      <w:r>
        <w:rPr>
          <w:sz w:val="22"/>
          <w:lang w:val="en-US"/>
        </w:rPr>
        <w:t>8</w:t>
      </w:r>
      <w:r w:rsidRPr="00AE5BE7">
        <w:rPr>
          <w:sz w:val="22"/>
          <w:lang w:val="en-US"/>
        </w:rPr>
        <w:t xml:space="preserve">% </w:t>
      </w:r>
    </w:p>
    <w:p w:rsidR="00CF798D" w:rsidRPr="00AE5BE7" w:rsidRDefault="00CF798D" w:rsidP="00CF798D">
      <w:pPr>
        <w:rPr>
          <w:sz w:val="22"/>
          <w:lang w:val="en-US"/>
        </w:rPr>
      </w:pPr>
      <w:r w:rsidRPr="00AE5BE7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AE5BE7">
        <w:rPr>
          <w:sz w:val="22"/>
          <w:lang w:val="en-US"/>
        </w:rPr>
        <w:t xml:space="preserve">25 a day: </w:t>
      </w:r>
      <w:r>
        <w:rPr>
          <w:sz w:val="22"/>
          <w:lang w:val="en-US"/>
        </w:rPr>
        <w:t>5.</w:t>
      </w:r>
      <w:r w:rsidRPr="00AE5BE7">
        <w:rPr>
          <w:sz w:val="22"/>
          <w:lang w:val="en-US"/>
        </w:rPr>
        <w:t xml:space="preserve">9% </w:t>
      </w:r>
    </w:p>
    <w:p w:rsidR="00CF798D" w:rsidRPr="00AE5BE7" w:rsidRDefault="00CF798D" w:rsidP="00CF798D">
      <w:pPr>
        <w:rPr>
          <w:sz w:val="22"/>
          <w:lang w:val="en-US"/>
        </w:rPr>
      </w:pPr>
      <w:r w:rsidRPr="00AE5BE7">
        <w:rPr>
          <w:sz w:val="22"/>
          <w:lang w:val="en-US"/>
        </w:rPr>
        <w:t xml:space="preserve">Population living under the national poverty line: </w:t>
      </w:r>
      <w:r>
        <w:rPr>
          <w:sz w:val="22"/>
          <w:lang w:val="en-US"/>
        </w:rPr>
        <w:t>31.3</w:t>
      </w:r>
      <w:r w:rsidRPr="00AE5BE7">
        <w:rPr>
          <w:sz w:val="22"/>
          <w:lang w:val="en-US"/>
        </w:rPr>
        <w:t>%</w:t>
      </w:r>
    </w:p>
    <w:p w:rsidR="00CF798D" w:rsidRPr="00AE5BE7" w:rsidRDefault="00CF798D" w:rsidP="00CF798D">
      <w:pPr>
        <w:rPr>
          <w:sz w:val="22"/>
          <w:lang w:val="en-US"/>
        </w:rPr>
      </w:pPr>
      <w:r w:rsidRPr="00AE5BE7">
        <w:rPr>
          <w:sz w:val="22"/>
          <w:lang w:val="en-US"/>
        </w:rPr>
        <w:t xml:space="preserve">Income status: Upper middle income economy </w:t>
      </w:r>
    </w:p>
    <w:p w:rsidR="00CF798D" w:rsidRPr="00AE5BE7" w:rsidRDefault="00CF798D" w:rsidP="00CF798D">
      <w:pPr>
        <w:rPr>
          <w:sz w:val="22"/>
          <w:lang w:val="en-US"/>
        </w:rPr>
      </w:pPr>
      <w:r w:rsidRPr="00AE5BE7">
        <w:rPr>
          <w:sz w:val="22"/>
          <w:lang w:val="en-US"/>
        </w:rPr>
        <w:t>Ranking:</w:t>
      </w:r>
      <w:r w:rsidRPr="00AE5BE7">
        <w:rPr>
          <w:i/>
          <w:iCs/>
          <w:color w:val="003399"/>
          <w:sz w:val="22"/>
          <w:lang w:val="en-US" w:eastAsia="es-CO"/>
        </w:rPr>
        <w:t xml:space="preserve"> </w:t>
      </w:r>
      <w:r w:rsidRPr="00AE5BE7">
        <w:rPr>
          <w:bCs/>
          <w:sz w:val="22"/>
          <w:lang w:val="en-US"/>
        </w:rPr>
        <w:t xml:space="preserve">High </w:t>
      </w:r>
      <w:r>
        <w:rPr>
          <w:bCs/>
          <w:sz w:val="22"/>
          <w:lang w:val="en-US"/>
        </w:rPr>
        <w:t>h</w:t>
      </w:r>
      <w:r w:rsidRPr="00AE5BE7">
        <w:rPr>
          <w:bCs/>
          <w:sz w:val="22"/>
          <w:lang w:val="en-US"/>
        </w:rPr>
        <w:t xml:space="preserve">uman </w:t>
      </w:r>
      <w:r>
        <w:rPr>
          <w:bCs/>
          <w:sz w:val="22"/>
          <w:lang w:val="en-US"/>
        </w:rPr>
        <w:t>d</w:t>
      </w:r>
      <w:r w:rsidRPr="00AE5BE7">
        <w:rPr>
          <w:bCs/>
          <w:sz w:val="22"/>
          <w:lang w:val="en-US"/>
        </w:rPr>
        <w:t>evelopment (ranking 8</w:t>
      </w:r>
      <w:r>
        <w:rPr>
          <w:bCs/>
          <w:sz w:val="22"/>
          <w:lang w:val="en-US"/>
        </w:rPr>
        <w:t>0</w:t>
      </w:r>
      <w:r w:rsidRPr="00AE5BE7">
        <w:rPr>
          <w:bCs/>
          <w:sz w:val="22"/>
          <w:lang w:val="en-US"/>
        </w:rPr>
        <w:t>)</w:t>
      </w:r>
    </w:p>
    <w:p w:rsidR="00CF798D" w:rsidRPr="00AE5BE7" w:rsidRDefault="00CF798D" w:rsidP="00CF798D">
      <w:pPr>
        <w:rPr>
          <w:sz w:val="22"/>
          <w:lang w:val="en-US"/>
        </w:rPr>
      </w:pPr>
      <w:r w:rsidRPr="00AE5BE7">
        <w:rPr>
          <w:sz w:val="22"/>
          <w:lang w:val="en-US"/>
        </w:rPr>
        <w:t>Per capita total expenditure on health at average exchange rate (US dollar):</w:t>
      </w:r>
      <w:r>
        <w:rPr>
          <w:sz w:val="22"/>
          <w:lang w:val="en-US"/>
        </w:rPr>
        <w:t xml:space="preserve"> 201</w:t>
      </w:r>
    </w:p>
    <w:p w:rsidR="00CF798D" w:rsidRPr="00AE5BE7" w:rsidRDefault="00CF798D" w:rsidP="00CF798D">
      <w:pPr>
        <w:rPr>
          <w:sz w:val="22"/>
          <w:lang w:val="en-US"/>
        </w:rPr>
      </w:pPr>
      <w:r w:rsidRPr="00AE5BE7">
        <w:rPr>
          <w:sz w:val="22"/>
          <w:lang w:val="en-US"/>
        </w:rPr>
        <w:t>Life expectancy at birth (years):</w:t>
      </w:r>
      <w:r>
        <w:rPr>
          <w:sz w:val="22"/>
          <w:lang w:val="en-US"/>
        </w:rPr>
        <w:t xml:space="preserve"> </w:t>
      </w:r>
      <w:r w:rsidRPr="00AE5BE7">
        <w:rPr>
          <w:sz w:val="22"/>
          <w:lang w:val="en-US"/>
        </w:rPr>
        <w:t>7</w:t>
      </w:r>
      <w:r>
        <w:rPr>
          <w:sz w:val="22"/>
          <w:lang w:val="en-US"/>
        </w:rPr>
        <w:t>4</w:t>
      </w:r>
    </w:p>
    <w:p w:rsidR="00CF798D" w:rsidRPr="00AE5BE7" w:rsidRDefault="00CF798D" w:rsidP="00CF798D">
      <w:pPr>
        <w:rPr>
          <w:sz w:val="22"/>
          <w:lang w:val="en-US"/>
        </w:rPr>
      </w:pPr>
      <w:r w:rsidRPr="00AE5BE7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AE5BE7">
        <w:rPr>
          <w:sz w:val="22"/>
          <w:lang w:val="en-US"/>
        </w:rPr>
        <w:t xml:space="preserve"> life expectancy at birth (years):</w:t>
      </w:r>
      <w:r>
        <w:rPr>
          <w:sz w:val="22"/>
          <w:lang w:val="en-US"/>
        </w:rPr>
        <w:t xml:space="preserve"> </w:t>
      </w:r>
      <w:r w:rsidRPr="00AE5BE7">
        <w:rPr>
          <w:sz w:val="22"/>
          <w:lang w:val="en-US"/>
        </w:rPr>
        <w:t xml:space="preserve">61 </w:t>
      </w:r>
    </w:p>
    <w:p w:rsidR="00CF798D" w:rsidRPr="00AE5BE7" w:rsidRDefault="00CF798D" w:rsidP="00CF798D">
      <w:pPr>
        <w:rPr>
          <w:sz w:val="22"/>
          <w:lang w:val="en-US"/>
        </w:rPr>
      </w:pPr>
    </w:p>
    <w:p w:rsidR="00CF798D" w:rsidRPr="00AE5BE7" w:rsidRDefault="00CF798D" w:rsidP="00CF798D">
      <w:pPr>
        <w:rPr>
          <w:b/>
          <w:sz w:val="22"/>
          <w:lang w:val="en-US"/>
        </w:rPr>
      </w:pPr>
    </w:p>
    <w:p w:rsidR="00CF798D" w:rsidRPr="00AE5BE7" w:rsidRDefault="00CF798D" w:rsidP="00CF798D">
      <w:pPr>
        <w:rPr>
          <w:sz w:val="22"/>
          <w:lang w:val="en-GB"/>
        </w:rPr>
      </w:pPr>
      <w:r w:rsidRPr="00AE5BE7">
        <w:rPr>
          <w:b/>
          <w:sz w:val="22"/>
          <w:lang w:val="en-US"/>
        </w:rPr>
        <w:t>BACKGROUND INFORMATION</w:t>
      </w:r>
      <w:r w:rsidRPr="00AE5BE7">
        <w:rPr>
          <w:sz w:val="22"/>
          <w:lang w:val="en-GB"/>
        </w:rPr>
        <w:t xml:space="preserve">  </w:t>
      </w:r>
    </w:p>
    <w:p w:rsidR="00CF798D" w:rsidRPr="00AE5BE7" w:rsidRDefault="00CF798D" w:rsidP="00CF798D">
      <w:pPr>
        <w:rPr>
          <w:sz w:val="22"/>
          <w:lang w:val="en-GB"/>
        </w:rPr>
      </w:pPr>
    </w:p>
    <w:p w:rsidR="00CF798D" w:rsidRPr="00AE5BE7" w:rsidRDefault="00CF798D" w:rsidP="00CF798D">
      <w:pPr>
        <w:ind w:left="0" w:firstLine="0"/>
        <w:rPr>
          <w:sz w:val="22"/>
          <w:lang w:val="en-GB"/>
        </w:rPr>
      </w:pPr>
      <w:r w:rsidRPr="00AE5BE7">
        <w:rPr>
          <w:sz w:val="22"/>
          <w:lang w:val="en-GB"/>
        </w:rPr>
        <w:t xml:space="preserve">Leishmaniasis </w:t>
      </w:r>
      <w:r>
        <w:rPr>
          <w:sz w:val="22"/>
          <w:lang w:val="en-GB"/>
        </w:rPr>
        <w:t>has been</w:t>
      </w:r>
      <w:r w:rsidRPr="00AE5BE7">
        <w:rPr>
          <w:sz w:val="22"/>
          <w:lang w:val="en-GB"/>
        </w:rPr>
        <w:t xml:space="preserve"> an important public health problem in </w:t>
      </w:r>
      <w:smartTag w:uri="urn:schemas-microsoft-com:office:smarttags" w:element="country-region">
        <w:smartTag w:uri="urn:schemas-microsoft-com:office:smarttags" w:element="place">
          <w:r w:rsidRPr="00AE5BE7">
            <w:rPr>
              <w:sz w:val="22"/>
              <w:lang w:val="en-GB"/>
            </w:rPr>
            <w:t>Peru</w:t>
          </w:r>
        </w:smartTag>
      </w:smartTag>
      <w:r w:rsidRPr="00AE5BE7">
        <w:rPr>
          <w:sz w:val="22"/>
          <w:lang w:val="en-GB"/>
        </w:rPr>
        <w:t xml:space="preserve"> and transmission takes place in around 74% of the country surface </w:t>
      </w:r>
      <w:r>
        <w:rPr>
          <w:sz w:val="22"/>
          <w:lang w:val="en-GB"/>
        </w:rPr>
        <w:t>[1]</w:t>
      </w:r>
      <w:r w:rsidRPr="00AE5BE7">
        <w:rPr>
          <w:sz w:val="22"/>
          <w:lang w:val="en-GB"/>
        </w:rPr>
        <w:t>.</w:t>
      </w:r>
      <w:r>
        <w:rPr>
          <w:sz w:val="22"/>
          <w:lang w:val="en-GB"/>
        </w:rPr>
        <w:t xml:space="preserve"> </w:t>
      </w:r>
      <w:r w:rsidRPr="00AE5BE7">
        <w:rPr>
          <w:sz w:val="22"/>
          <w:lang w:val="en-GB"/>
        </w:rPr>
        <w:t>There are two forms of CL in Peru, mainly defined by geographical and clinical characte</w:t>
      </w:r>
      <w:r>
        <w:rPr>
          <w:sz w:val="22"/>
          <w:lang w:val="en-GB"/>
        </w:rPr>
        <w:t>ristics: Andean leishmaniasis (‘</w:t>
      </w:r>
      <w:proofErr w:type="spellStart"/>
      <w:r>
        <w:rPr>
          <w:sz w:val="22"/>
          <w:lang w:val="en-GB"/>
        </w:rPr>
        <w:t>uta</w:t>
      </w:r>
      <w:proofErr w:type="spellEnd"/>
      <w:r>
        <w:rPr>
          <w:sz w:val="22"/>
          <w:lang w:val="en-GB"/>
        </w:rPr>
        <w:t xml:space="preserve">’) and </w:t>
      </w:r>
      <w:proofErr w:type="spellStart"/>
      <w:r>
        <w:rPr>
          <w:sz w:val="22"/>
          <w:lang w:val="en-GB"/>
        </w:rPr>
        <w:t>sylvatic</w:t>
      </w:r>
      <w:proofErr w:type="spellEnd"/>
      <w:r>
        <w:rPr>
          <w:sz w:val="22"/>
          <w:lang w:val="en-GB"/>
        </w:rPr>
        <w:t xml:space="preserve"> leishmaniasis (‘</w:t>
      </w:r>
      <w:proofErr w:type="spellStart"/>
      <w:r w:rsidRPr="00AE5BE7">
        <w:rPr>
          <w:sz w:val="22"/>
          <w:lang w:val="en-GB"/>
        </w:rPr>
        <w:t>espundia</w:t>
      </w:r>
      <w:proofErr w:type="spellEnd"/>
      <w:r>
        <w:rPr>
          <w:iCs/>
          <w:sz w:val="22"/>
          <w:lang w:val="en-US"/>
        </w:rPr>
        <w:t>’</w:t>
      </w:r>
      <w:r w:rsidRPr="00AE5BE7">
        <w:rPr>
          <w:iCs/>
          <w:sz w:val="22"/>
          <w:lang w:val="en-US"/>
        </w:rPr>
        <w:t>)</w:t>
      </w:r>
      <w:r>
        <w:rPr>
          <w:sz w:val="22"/>
          <w:lang w:val="en-GB"/>
        </w:rPr>
        <w:t xml:space="preserve">. </w:t>
      </w:r>
      <w:proofErr w:type="spellStart"/>
      <w:r>
        <w:rPr>
          <w:sz w:val="22"/>
          <w:lang w:val="en-GB"/>
        </w:rPr>
        <w:t>Uta</w:t>
      </w:r>
      <w:proofErr w:type="spellEnd"/>
      <w:r w:rsidRPr="00AE5BE7">
        <w:rPr>
          <w:sz w:val="22"/>
          <w:lang w:val="en-GB"/>
        </w:rPr>
        <w:t xml:space="preserve"> occurs on the western slopes of the Andean and inter-Andean valleys, between 900 and </w:t>
      </w:r>
      <w:smartTag w:uri="urn:schemas-microsoft-com:office:smarttags" w:element="metricconverter">
        <w:smartTagPr>
          <w:attr w:name="ProductID" w:val="3000 m"/>
        </w:smartTagPr>
        <w:r w:rsidRPr="00AE5BE7">
          <w:rPr>
            <w:sz w:val="22"/>
            <w:lang w:val="en-GB"/>
          </w:rPr>
          <w:t>3000 m</w:t>
        </w:r>
      </w:smartTag>
      <w:r w:rsidRPr="00AE5BE7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and is </w:t>
      </w:r>
      <w:r w:rsidRPr="00AE5BE7">
        <w:rPr>
          <w:sz w:val="22"/>
          <w:lang w:val="en-GB"/>
        </w:rPr>
        <w:t>c</w:t>
      </w:r>
      <w:r w:rsidRPr="00AE5BE7">
        <w:rPr>
          <w:color w:val="000000"/>
          <w:sz w:val="22"/>
          <w:lang w:val="en-GB"/>
        </w:rPr>
        <w:t xml:space="preserve">aused by </w:t>
      </w:r>
      <w:proofErr w:type="spellStart"/>
      <w:r w:rsidRPr="00AE5BE7">
        <w:rPr>
          <w:i/>
          <w:iCs/>
          <w:sz w:val="22"/>
          <w:lang w:val="en-GB"/>
        </w:rPr>
        <w:t>L.peruviana</w:t>
      </w:r>
      <w:proofErr w:type="spellEnd"/>
      <w:r w:rsidRPr="00AE5BE7">
        <w:rPr>
          <w:sz w:val="22"/>
          <w:lang w:val="en-GB"/>
        </w:rPr>
        <w:t>. People are mainly engaged in agricultur</w:t>
      </w:r>
      <w:r>
        <w:rPr>
          <w:sz w:val="22"/>
          <w:lang w:val="en-GB"/>
        </w:rPr>
        <w:t>al</w:t>
      </w:r>
      <w:r w:rsidRPr="00AE5BE7">
        <w:rPr>
          <w:sz w:val="22"/>
          <w:lang w:val="en-GB"/>
        </w:rPr>
        <w:t xml:space="preserve"> activities</w:t>
      </w:r>
      <w:r>
        <w:rPr>
          <w:sz w:val="22"/>
          <w:lang w:val="en-GB"/>
        </w:rPr>
        <w:t>,</w:t>
      </w:r>
      <w:r w:rsidRPr="00AE5BE7">
        <w:rPr>
          <w:sz w:val="22"/>
          <w:lang w:val="en-GB"/>
        </w:rPr>
        <w:t xml:space="preserve"> with a high risk of becoming infected when sleeping in shelters in crop areas</w:t>
      </w:r>
      <w:r>
        <w:rPr>
          <w:sz w:val="22"/>
          <w:lang w:val="en-GB"/>
        </w:rPr>
        <w:t>,</w:t>
      </w:r>
      <w:r w:rsidRPr="00AE5BE7">
        <w:rPr>
          <w:sz w:val="22"/>
          <w:lang w:val="en-GB"/>
        </w:rPr>
        <w:t xml:space="preserve"> where the vector is abundant (</w:t>
      </w:r>
      <w:r w:rsidRPr="00AE5BE7">
        <w:rPr>
          <w:i/>
          <w:iCs/>
          <w:sz w:val="22"/>
          <w:lang w:val="en-GB"/>
        </w:rPr>
        <w:t xml:space="preserve">Lu. </w:t>
      </w:r>
      <w:proofErr w:type="spellStart"/>
      <w:r w:rsidRPr="00AE5BE7">
        <w:rPr>
          <w:i/>
          <w:iCs/>
          <w:sz w:val="22"/>
          <w:lang w:val="en-GB"/>
        </w:rPr>
        <w:t>peruensis</w:t>
      </w:r>
      <w:proofErr w:type="spellEnd"/>
      <w:r w:rsidRPr="00AE5BE7">
        <w:rPr>
          <w:i/>
          <w:iCs/>
          <w:sz w:val="22"/>
          <w:lang w:val="en-GB"/>
        </w:rPr>
        <w:t xml:space="preserve">, Lu. </w:t>
      </w:r>
      <w:proofErr w:type="spellStart"/>
      <w:r w:rsidRPr="00AE5BE7">
        <w:rPr>
          <w:i/>
          <w:iCs/>
          <w:sz w:val="22"/>
          <w:lang w:val="en-GB"/>
        </w:rPr>
        <w:t>verrucarum</w:t>
      </w:r>
      <w:proofErr w:type="spellEnd"/>
      <w:r w:rsidRPr="00AE5BE7">
        <w:rPr>
          <w:sz w:val="22"/>
          <w:lang w:val="en-GB"/>
        </w:rPr>
        <w:t>)</w:t>
      </w:r>
      <w:r>
        <w:rPr>
          <w:sz w:val="22"/>
          <w:lang w:val="en-GB"/>
        </w:rPr>
        <w:t xml:space="preserve"> [2]</w:t>
      </w:r>
      <w:r w:rsidRPr="00AE5BE7">
        <w:rPr>
          <w:sz w:val="22"/>
          <w:lang w:val="en-GB"/>
        </w:rPr>
        <w:t xml:space="preserve">. Dogs have been claimed to be the reservoir </w:t>
      </w:r>
      <w:r>
        <w:rPr>
          <w:sz w:val="22"/>
          <w:lang w:val="en-GB"/>
        </w:rPr>
        <w:t>[3]</w:t>
      </w:r>
      <w:r w:rsidRPr="00AE5BE7">
        <w:rPr>
          <w:sz w:val="22"/>
          <w:lang w:val="en-GB"/>
        </w:rPr>
        <w:t xml:space="preserve">, </w:t>
      </w:r>
      <w:r>
        <w:rPr>
          <w:sz w:val="22"/>
          <w:lang w:val="en-GB"/>
        </w:rPr>
        <w:t xml:space="preserve">with 8-45% </w:t>
      </w:r>
      <w:r w:rsidRPr="00AE5BE7">
        <w:rPr>
          <w:sz w:val="22"/>
          <w:lang w:val="en-GB"/>
        </w:rPr>
        <w:t>infected in some areas (</w:t>
      </w:r>
      <w:proofErr w:type="spellStart"/>
      <w:r w:rsidRPr="00AE5BE7">
        <w:rPr>
          <w:sz w:val="22"/>
          <w:lang w:val="en-GB"/>
        </w:rPr>
        <w:t>Huanuco</w:t>
      </w:r>
      <w:proofErr w:type="spellEnd"/>
      <w:r w:rsidRPr="00AE5BE7">
        <w:rPr>
          <w:sz w:val="22"/>
          <w:lang w:val="en-GB"/>
        </w:rPr>
        <w:t>)</w:t>
      </w:r>
      <w:r>
        <w:rPr>
          <w:sz w:val="22"/>
          <w:lang w:val="en-GB"/>
        </w:rPr>
        <w:t xml:space="preserve"> [4]</w:t>
      </w:r>
      <w:r w:rsidRPr="00AE5BE7">
        <w:rPr>
          <w:sz w:val="22"/>
          <w:lang w:val="en-GB"/>
        </w:rPr>
        <w:t xml:space="preserve">. Other wild mammals have </w:t>
      </w:r>
      <w:r>
        <w:rPr>
          <w:sz w:val="22"/>
          <w:lang w:val="en-GB"/>
        </w:rPr>
        <w:t xml:space="preserve">also </w:t>
      </w:r>
      <w:r w:rsidRPr="00AE5BE7">
        <w:rPr>
          <w:sz w:val="22"/>
          <w:lang w:val="en-GB"/>
        </w:rPr>
        <w:t>been found infected</w:t>
      </w:r>
      <w:r>
        <w:rPr>
          <w:sz w:val="22"/>
          <w:lang w:val="en-GB"/>
        </w:rPr>
        <w:t>,</w:t>
      </w:r>
      <w:r w:rsidRPr="00AE5BE7">
        <w:rPr>
          <w:sz w:val="22"/>
          <w:lang w:val="en-GB"/>
        </w:rPr>
        <w:t xml:space="preserve"> but in </w:t>
      </w:r>
      <w:r>
        <w:rPr>
          <w:sz w:val="22"/>
          <w:lang w:val="en-GB"/>
        </w:rPr>
        <w:t xml:space="preserve">a </w:t>
      </w:r>
      <w:r w:rsidRPr="00AE5BE7">
        <w:rPr>
          <w:sz w:val="22"/>
          <w:lang w:val="en-GB"/>
        </w:rPr>
        <w:t xml:space="preserve">much </w:t>
      </w:r>
      <w:r>
        <w:rPr>
          <w:sz w:val="22"/>
          <w:lang w:val="en-GB"/>
        </w:rPr>
        <w:t xml:space="preserve">smaller </w:t>
      </w:r>
      <w:r>
        <w:rPr>
          <w:sz w:val="22"/>
          <w:lang w:val="en-GB"/>
        </w:rPr>
        <w:t xml:space="preserve">proportion. Most </w:t>
      </w:r>
      <w:proofErr w:type="spellStart"/>
      <w:r>
        <w:rPr>
          <w:sz w:val="22"/>
          <w:lang w:val="en-GB"/>
        </w:rPr>
        <w:t>uta</w:t>
      </w:r>
      <w:proofErr w:type="spellEnd"/>
      <w:r w:rsidRPr="00AE5BE7">
        <w:rPr>
          <w:sz w:val="22"/>
          <w:lang w:val="en-GB"/>
        </w:rPr>
        <w:t xml:space="preserve"> cases are </w:t>
      </w:r>
      <w:r>
        <w:rPr>
          <w:sz w:val="22"/>
          <w:lang w:val="en-GB"/>
        </w:rPr>
        <w:t xml:space="preserve">in </w:t>
      </w:r>
      <w:r w:rsidRPr="00AE5BE7">
        <w:rPr>
          <w:sz w:val="22"/>
          <w:lang w:val="en-GB"/>
        </w:rPr>
        <w:t xml:space="preserve">children and more than 80% of the adult population exhibits scars. </w:t>
      </w:r>
    </w:p>
    <w:p w:rsidR="00CF798D" w:rsidRPr="00AE5BE7" w:rsidRDefault="00CF798D" w:rsidP="00CF798D">
      <w:pPr>
        <w:ind w:left="0" w:firstLine="0"/>
        <w:rPr>
          <w:sz w:val="22"/>
          <w:lang w:val="en-GB"/>
        </w:rPr>
      </w:pPr>
    </w:p>
    <w:p w:rsidR="00CF798D" w:rsidRPr="00AE5BE7" w:rsidRDefault="00CF798D" w:rsidP="00CF798D">
      <w:pPr>
        <w:ind w:left="0" w:firstLine="0"/>
        <w:rPr>
          <w:sz w:val="22"/>
          <w:lang w:val="en-GB"/>
        </w:rPr>
      </w:pPr>
      <w:proofErr w:type="spellStart"/>
      <w:r w:rsidRPr="00AE5BE7">
        <w:rPr>
          <w:sz w:val="22"/>
          <w:lang w:val="en-GB"/>
        </w:rPr>
        <w:t>Espundia</w:t>
      </w:r>
      <w:proofErr w:type="spellEnd"/>
      <w:r w:rsidRPr="00AE5BE7">
        <w:rPr>
          <w:sz w:val="22"/>
          <w:lang w:val="en-GB"/>
        </w:rPr>
        <w:t xml:space="preserve"> is caused m</w:t>
      </w:r>
      <w:r>
        <w:rPr>
          <w:sz w:val="22"/>
          <w:lang w:val="en-GB"/>
        </w:rPr>
        <w:t xml:space="preserve">ostly </w:t>
      </w:r>
      <w:r w:rsidRPr="00AE5BE7">
        <w:rPr>
          <w:sz w:val="22"/>
          <w:lang w:val="en-GB"/>
        </w:rPr>
        <w:t xml:space="preserve">by </w:t>
      </w:r>
      <w:proofErr w:type="spellStart"/>
      <w:r w:rsidRPr="00AE5BE7">
        <w:rPr>
          <w:i/>
          <w:iCs/>
          <w:sz w:val="22"/>
          <w:lang w:val="en-GB"/>
        </w:rPr>
        <w:t>L.braziliensis</w:t>
      </w:r>
      <w:proofErr w:type="spellEnd"/>
      <w:r w:rsidRPr="00AE5BE7">
        <w:rPr>
          <w:sz w:val="22"/>
          <w:lang w:val="en-GB"/>
        </w:rPr>
        <w:t xml:space="preserve"> in the primary tropical forest</w:t>
      </w:r>
      <w:r>
        <w:rPr>
          <w:sz w:val="22"/>
          <w:lang w:val="en-GB"/>
        </w:rPr>
        <w:t>,</w:t>
      </w:r>
      <w:r w:rsidRPr="00AE5BE7">
        <w:rPr>
          <w:sz w:val="22"/>
          <w:lang w:val="en-GB"/>
        </w:rPr>
        <w:t xml:space="preserve"> where close contact between</w:t>
      </w:r>
      <w:r>
        <w:rPr>
          <w:sz w:val="22"/>
          <w:lang w:val="en-GB"/>
        </w:rPr>
        <w:t xml:space="preserve"> humans and the </w:t>
      </w:r>
      <w:proofErr w:type="spellStart"/>
      <w:r>
        <w:rPr>
          <w:sz w:val="22"/>
          <w:lang w:val="en-GB"/>
        </w:rPr>
        <w:t>sylvatic</w:t>
      </w:r>
      <w:proofErr w:type="spellEnd"/>
      <w:r>
        <w:rPr>
          <w:sz w:val="22"/>
          <w:lang w:val="en-GB"/>
        </w:rPr>
        <w:t xml:space="preserve"> vector occurs. The risk of infection is associated with</w:t>
      </w:r>
      <w:r w:rsidRPr="00AE5BE7">
        <w:rPr>
          <w:sz w:val="22"/>
          <w:lang w:val="en-GB"/>
        </w:rPr>
        <w:t xml:space="preserve"> occupational activities</w:t>
      </w:r>
      <w:r w:rsidRPr="00AE5BE7">
        <w:rPr>
          <w:color w:val="FF00FF"/>
          <w:sz w:val="22"/>
          <w:lang w:val="en-GB"/>
        </w:rPr>
        <w:t xml:space="preserve"> </w:t>
      </w:r>
      <w:r>
        <w:rPr>
          <w:sz w:val="22"/>
          <w:lang w:val="en-GB"/>
        </w:rPr>
        <w:t>in the forest</w:t>
      </w:r>
      <w:r w:rsidRPr="00AE5BE7">
        <w:rPr>
          <w:sz w:val="22"/>
          <w:lang w:val="en-GB"/>
        </w:rPr>
        <w:t xml:space="preserve"> </w:t>
      </w:r>
      <w:r>
        <w:rPr>
          <w:sz w:val="22"/>
          <w:lang w:val="en-GB"/>
        </w:rPr>
        <w:t>[1]</w:t>
      </w:r>
      <w:r w:rsidRPr="00AE5BE7">
        <w:rPr>
          <w:sz w:val="22"/>
          <w:lang w:val="en-GB"/>
        </w:rPr>
        <w:t xml:space="preserve">. </w:t>
      </w:r>
      <w:r>
        <w:rPr>
          <w:sz w:val="22"/>
          <w:lang w:val="en-GB"/>
        </w:rPr>
        <w:t>Since</w:t>
      </w:r>
      <w:r w:rsidRPr="00AE5BE7">
        <w:rPr>
          <w:sz w:val="22"/>
          <w:lang w:val="en-GB"/>
        </w:rPr>
        <w:t xml:space="preserve"> 2000, the entire forest area has become an area of high leishmaniasis morbidity. The number of cases </w:t>
      </w:r>
      <w:r>
        <w:rPr>
          <w:sz w:val="22"/>
          <w:lang w:val="en-GB"/>
        </w:rPr>
        <w:t>has</w:t>
      </w:r>
      <w:r w:rsidRPr="00AE5BE7">
        <w:rPr>
          <w:sz w:val="22"/>
          <w:lang w:val="en-GB"/>
        </w:rPr>
        <w:t xml:space="preserve"> increas</w:t>
      </w:r>
      <w:r>
        <w:rPr>
          <w:sz w:val="22"/>
          <w:lang w:val="en-GB"/>
        </w:rPr>
        <w:t>ed</w:t>
      </w:r>
      <w:r w:rsidRPr="00AE5BE7">
        <w:rPr>
          <w:sz w:val="22"/>
          <w:lang w:val="en-GB"/>
        </w:rPr>
        <w:t xml:space="preserve"> rapidly because of the new settlement areas in the lowlands. MCL is common </w:t>
      </w:r>
      <w:r>
        <w:rPr>
          <w:sz w:val="22"/>
          <w:lang w:val="en-GB"/>
        </w:rPr>
        <w:t xml:space="preserve">and </w:t>
      </w:r>
      <w:r w:rsidRPr="00AE5BE7">
        <w:rPr>
          <w:sz w:val="22"/>
          <w:lang w:val="en-GB"/>
        </w:rPr>
        <w:t>represent</w:t>
      </w:r>
      <w:r>
        <w:rPr>
          <w:sz w:val="22"/>
          <w:lang w:val="en-GB"/>
        </w:rPr>
        <w:t>s</w:t>
      </w:r>
      <w:r w:rsidRPr="00AE5BE7">
        <w:rPr>
          <w:sz w:val="22"/>
          <w:lang w:val="en-GB"/>
        </w:rPr>
        <w:t xml:space="preserve"> 5% of all CL cases. </w:t>
      </w:r>
      <w:r>
        <w:rPr>
          <w:sz w:val="22"/>
          <w:lang w:val="en-GB"/>
        </w:rPr>
        <w:t xml:space="preserve">It is </w:t>
      </w:r>
      <w:r w:rsidRPr="00AE5BE7">
        <w:rPr>
          <w:sz w:val="22"/>
          <w:lang w:val="en-GB"/>
        </w:rPr>
        <w:t xml:space="preserve">caused by </w:t>
      </w:r>
      <w:r w:rsidRPr="00AE5BE7">
        <w:rPr>
          <w:i/>
          <w:sz w:val="22"/>
          <w:lang w:val="en-GB"/>
        </w:rPr>
        <w:t>L. braziliensis</w:t>
      </w:r>
      <w:r w:rsidRPr="00AE5BE7">
        <w:rPr>
          <w:sz w:val="22"/>
          <w:lang w:val="en-GB"/>
        </w:rPr>
        <w:t xml:space="preserve"> and mostly affects young male adults</w:t>
      </w:r>
      <w:r>
        <w:rPr>
          <w:sz w:val="22"/>
          <w:lang w:val="en-GB"/>
        </w:rPr>
        <w:t>.</w:t>
      </w:r>
      <w:r w:rsidRPr="00AE5BE7">
        <w:rPr>
          <w:sz w:val="22"/>
          <w:vertAlign w:val="superscript"/>
          <w:lang w:val="en-GB"/>
        </w:rPr>
        <w:t xml:space="preserve"> </w:t>
      </w:r>
      <w:r w:rsidRPr="00AE5BE7">
        <w:rPr>
          <w:sz w:val="22"/>
          <w:lang w:val="en-GB"/>
        </w:rPr>
        <w:t>98% of MCL cases w</w:t>
      </w:r>
      <w:r>
        <w:rPr>
          <w:sz w:val="22"/>
          <w:lang w:val="en-GB"/>
        </w:rPr>
        <w:t>ere</w:t>
      </w:r>
      <w:r w:rsidRPr="00AE5BE7">
        <w:rPr>
          <w:sz w:val="22"/>
          <w:lang w:val="en-GB"/>
        </w:rPr>
        <w:t xml:space="preserve"> found to occur in the tropical forests </w:t>
      </w:r>
      <w:r>
        <w:rPr>
          <w:sz w:val="22"/>
          <w:lang w:val="en-GB"/>
        </w:rPr>
        <w:t>[1]</w:t>
      </w:r>
      <w:r w:rsidRPr="00AE5BE7">
        <w:rPr>
          <w:sz w:val="22"/>
          <w:lang w:val="en-GB"/>
        </w:rPr>
        <w:t>. In 2007 alone, almost 12</w:t>
      </w:r>
      <w:r>
        <w:rPr>
          <w:sz w:val="22"/>
          <w:lang w:val="en-GB"/>
        </w:rPr>
        <w:t>,</w:t>
      </w:r>
      <w:r w:rsidRPr="00AE5BE7">
        <w:rPr>
          <w:sz w:val="22"/>
          <w:lang w:val="en-GB"/>
        </w:rPr>
        <w:t xml:space="preserve">000 CL cases were reported in </w:t>
      </w:r>
      <w:smartTag w:uri="urn:schemas-microsoft-com:office:smarttags" w:element="country-region">
        <w:smartTag w:uri="urn:schemas-microsoft-com:office:smarttags" w:element="place">
          <w:r w:rsidRPr="00AE5BE7">
            <w:rPr>
              <w:sz w:val="22"/>
              <w:lang w:val="en-GB"/>
            </w:rPr>
            <w:t>Peru</w:t>
          </w:r>
        </w:smartTag>
      </w:smartTag>
      <w:r>
        <w:rPr>
          <w:sz w:val="22"/>
          <w:lang w:val="en-GB"/>
        </w:rPr>
        <w:t>, 1,500</w:t>
      </w:r>
      <w:r w:rsidRPr="00AE5BE7">
        <w:rPr>
          <w:sz w:val="22"/>
          <w:lang w:val="en-GB"/>
        </w:rPr>
        <w:t xml:space="preserve"> of which were MCL.</w:t>
      </w:r>
    </w:p>
    <w:p w:rsidR="00CF798D" w:rsidRPr="00AE5BE7" w:rsidRDefault="00CF798D" w:rsidP="00CF798D">
      <w:pPr>
        <w:ind w:left="0" w:firstLine="0"/>
        <w:rPr>
          <w:sz w:val="22"/>
          <w:lang w:val="en-GB"/>
        </w:rPr>
      </w:pPr>
    </w:p>
    <w:p w:rsidR="00CF798D" w:rsidRPr="00AE5BE7" w:rsidRDefault="00CF798D" w:rsidP="00CF798D">
      <w:pPr>
        <w:ind w:left="0" w:firstLine="0"/>
        <w:rPr>
          <w:sz w:val="22"/>
          <w:lang w:val="en-GB"/>
        </w:rPr>
      </w:pPr>
      <w:r w:rsidRPr="00AE5BE7">
        <w:rPr>
          <w:sz w:val="22"/>
          <w:lang w:val="en-GB"/>
        </w:rPr>
        <w:lastRenderedPageBreak/>
        <w:t xml:space="preserve">Apart from </w:t>
      </w:r>
      <w:r w:rsidRPr="00AE5BE7">
        <w:rPr>
          <w:i/>
          <w:sz w:val="22"/>
          <w:lang w:val="en-GB"/>
        </w:rPr>
        <w:t>L braziliensis</w:t>
      </w:r>
      <w:r w:rsidRPr="00AE5BE7">
        <w:rPr>
          <w:sz w:val="22"/>
          <w:lang w:val="en-GB"/>
        </w:rPr>
        <w:t xml:space="preserve">, other species such as </w:t>
      </w:r>
      <w:r w:rsidRPr="00AE5BE7">
        <w:rPr>
          <w:i/>
          <w:sz w:val="22"/>
          <w:lang w:val="en-GB"/>
        </w:rPr>
        <w:t xml:space="preserve">L. amazonensis, L guyanensis </w:t>
      </w:r>
      <w:r w:rsidRPr="00AE5BE7">
        <w:rPr>
          <w:sz w:val="22"/>
          <w:lang w:val="en-GB"/>
        </w:rPr>
        <w:t xml:space="preserve">and </w:t>
      </w:r>
      <w:r w:rsidRPr="00AE5BE7">
        <w:rPr>
          <w:i/>
          <w:sz w:val="22"/>
          <w:lang w:val="en-GB"/>
        </w:rPr>
        <w:t xml:space="preserve">L. </w:t>
      </w:r>
      <w:proofErr w:type="spellStart"/>
      <w:r w:rsidRPr="00AE5BE7">
        <w:rPr>
          <w:i/>
          <w:sz w:val="22"/>
          <w:lang w:val="en-GB"/>
        </w:rPr>
        <w:t>lainsoni</w:t>
      </w:r>
      <w:proofErr w:type="spellEnd"/>
      <w:r w:rsidRPr="00AE5BE7">
        <w:rPr>
          <w:sz w:val="22"/>
          <w:lang w:val="en-GB"/>
        </w:rPr>
        <w:t xml:space="preserve"> are also present</w:t>
      </w:r>
      <w:r>
        <w:rPr>
          <w:sz w:val="22"/>
          <w:lang w:val="en-GB"/>
        </w:rPr>
        <w:t>,</w:t>
      </w:r>
      <w:r w:rsidRPr="00AE5BE7">
        <w:rPr>
          <w:sz w:val="22"/>
          <w:lang w:val="en-GB"/>
        </w:rPr>
        <w:t xml:space="preserve"> in </w:t>
      </w:r>
      <w:r>
        <w:rPr>
          <w:sz w:val="22"/>
          <w:lang w:val="en-GB"/>
        </w:rPr>
        <w:t xml:space="preserve">a </w:t>
      </w:r>
      <w:r w:rsidRPr="00AE5BE7">
        <w:rPr>
          <w:sz w:val="22"/>
          <w:lang w:val="en-GB"/>
        </w:rPr>
        <w:t>less</w:t>
      </w:r>
      <w:r>
        <w:rPr>
          <w:sz w:val="22"/>
          <w:lang w:val="en-GB"/>
        </w:rPr>
        <w:t>er</w:t>
      </w:r>
      <w:r w:rsidRPr="00AE5BE7">
        <w:rPr>
          <w:sz w:val="22"/>
          <w:lang w:val="en-GB"/>
        </w:rPr>
        <w:t xml:space="preserve"> degree</w:t>
      </w:r>
      <w:r>
        <w:rPr>
          <w:sz w:val="22"/>
          <w:lang w:val="en-GB"/>
        </w:rPr>
        <w:t>,</w:t>
      </w:r>
      <w:r w:rsidRPr="00AE5BE7">
        <w:rPr>
          <w:sz w:val="22"/>
          <w:lang w:val="en-GB"/>
        </w:rPr>
        <w:t xml:space="preserve"> in the rainforest</w:t>
      </w:r>
      <w:r>
        <w:rPr>
          <w:sz w:val="22"/>
          <w:lang w:val="en-GB"/>
        </w:rPr>
        <w:t>,</w:t>
      </w:r>
      <w:r w:rsidRPr="00AE5BE7">
        <w:rPr>
          <w:sz w:val="22"/>
          <w:lang w:val="en-GB"/>
        </w:rPr>
        <w:t xml:space="preserve"> with peculiar distributions </w:t>
      </w:r>
      <w:r>
        <w:rPr>
          <w:sz w:val="22"/>
          <w:lang w:val="en-GB"/>
        </w:rPr>
        <w:t>[1]</w:t>
      </w:r>
      <w:r w:rsidRPr="00AE5BE7">
        <w:rPr>
          <w:sz w:val="22"/>
          <w:lang w:val="en-GB"/>
        </w:rPr>
        <w:t>. DCL</w:t>
      </w:r>
      <w:r>
        <w:rPr>
          <w:sz w:val="22"/>
          <w:lang w:val="en-GB"/>
        </w:rPr>
        <w:t>,</w:t>
      </w:r>
      <w:r w:rsidRPr="00AE5BE7">
        <w:rPr>
          <w:sz w:val="22"/>
          <w:lang w:val="en-GB"/>
        </w:rPr>
        <w:t xml:space="preserve"> probably due to</w:t>
      </w:r>
      <w:r w:rsidRPr="00AE5BE7">
        <w:rPr>
          <w:i/>
          <w:iCs/>
          <w:sz w:val="22"/>
          <w:lang w:val="en-GB"/>
        </w:rPr>
        <w:t xml:space="preserve"> L. </w:t>
      </w:r>
      <w:r>
        <w:rPr>
          <w:i/>
          <w:iCs/>
          <w:sz w:val="22"/>
          <w:lang w:val="en-GB"/>
        </w:rPr>
        <w:t>a</w:t>
      </w:r>
      <w:r w:rsidRPr="00AE5BE7">
        <w:rPr>
          <w:i/>
          <w:iCs/>
          <w:sz w:val="22"/>
          <w:lang w:val="en-GB"/>
        </w:rPr>
        <w:t>mazonensis</w:t>
      </w:r>
      <w:r>
        <w:rPr>
          <w:i/>
          <w:iCs/>
          <w:sz w:val="22"/>
          <w:lang w:val="en-GB"/>
        </w:rPr>
        <w:t>,</w:t>
      </w:r>
      <w:r w:rsidRPr="00AE5BE7">
        <w:rPr>
          <w:sz w:val="22"/>
          <w:lang w:val="en-GB"/>
        </w:rPr>
        <w:t xml:space="preserve"> was reported in </w:t>
      </w:r>
      <w:proofErr w:type="spellStart"/>
      <w:r w:rsidRPr="00AE5BE7">
        <w:rPr>
          <w:sz w:val="22"/>
          <w:lang w:val="en-GB"/>
        </w:rPr>
        <w:t>northwest</w:t>
      </w:r>
      <w:r>
        <w:rPr>
          <w:sz w:val="22"/>
          <w:lang w:val="en-GB"/>
        </w:rPr>
        <w:t>ern</w:t>
      </w:r>
      <w:proofErr w:type="spellEnd"/>
      <w:r w:rsidRPr="00AE5BE7">
        <w:rPr>
          <w:sz w:val="22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AE5BE7">
            <w:rPr>
              <w:sz w:val="22"/>
              <w:lang w:val="en-GB"/>
            </w:rPr>
            <w:t>Peru</w:t>
          </w:r>
        </w:smartTag>
      </w:smartTag>
      <w:r w:rsidRPr="00AE5BE7">
        <w:rPr>
          <w:sz w:val="22"/>
          <w:lang w:val="en-GB"/>
        </w:rPr>
        <w:t>.</w:t>
      </w:r>
    </w:p>
    <w:p w:rsidR="00CF798D" w:rsidRPr="00AE5BE7" w:rsidRDefault="00CF798D" w:rsidP="00CF798D">
      <w:pPr>
        <w:rPr>
          <w:sz w:val="22"/>
          <w:lang w:val="en-GB"/>
        </w:rPr>
      </w:pPr>
    </w:p>
    <w:p w:rsidR="00CF798D" w:rsidRPr="00AE5BE7" w:rsidRDefault="00CF798D" w:rsidP="00CF798D">
      <w:pPr>
        <w:ind w:left="0" w:firstLine="0"/>
        <w:rPr>
          <w:sz w:val="22"/>
          <w:lang w:val="en-GB"/>
        </w:rPr>
      </w:pPr>
      <w:r w:rsidRPr="00AE5BE7">
        <w:rPr>
          <w:sz w:val="22"/>
          <w:lang w:val="en-GB"/>
        </w:rPr>
        <w:t>VL is unknown. There are very few reported cases of HIV/CL co</w:t>
      </w:r>
      <w:r>
        <w:rPr>
          <w:sz w:val="22"/>
          <w:lang w:val="en-GB"/>
        </w:rPr>
        <w:t>-</w:t>
      </w:r>
      <w:r w:rsidRPr="00AE5BE7">
        <w:rPr>
          <w:sz w:val="22"/>
          <w:lang w:val="en-GB"/>
        </w:rPr>
        <w:t xml:space="preserve">infection (estimated </w:t>
      </w:r>
      <w:r w:rsidRPr="00562689">
        <w:rPr>
          <w:sz w:val="22"/>
          <w:lang w:val="en-GB"/>
        </w:rPr>
        <w:t>0.0001%).</w:t>
      </w:r>
    </w:p>
    <w:p w:rsidR="00CF798D" w:rsidRPr="00AE5BE7" w:rsidRDefault="00CF798D" w:rsidP="00CF798D">
      <w:pPr>
        <w:rPr>
          <w:sz w:val="22"/>
          <w:lang w:val="en-GB"/>
        </w:rPr>
      </w:pPr>
    </w:p>
    <w:p w:rsidR="00CF798D" w:rsidRPr="00AE5BE7" w:rsidRDefault="00CF798D" w:rsidP="00CF798D">
      <w:pPr>
        <w:rPr>
          <w:sz w:val="22"/>
          <w:lang w:val="en-GB"/>
        </w:rPr>
      </w:pPr>
    </w:p>
    <w:p w:rsidR="00CF798D" w:rsidRPr="00AE5BE7" w:rsidRDefault="00CF798D" w:rsidP="00CF798D">
      <w:pPr>
        <w:rPr>
          <w:b/>
          <w:sz w:val="22"/>
          <w:lang w:val="en-US"/>
        </w:rPr>
      </w:pPr>
      <w:r w:rsidRPr="00AE5BE7">
        <w:rPr>
          <w:b/>
          <w:sz w:val="22"/>
          <w:lang w:val="en-US"/>
        </w:rPr>
        <w:t>CONTROL</w:t>
      </w:r>
    </w:p>
    <w:p w:rsidR="00CF798D" w:rsidRPr="00AE5BE7" w:rsidRDefault="00CF798D" w:rsidP="00CF798D">
      <w:pPr>
        <w:pStyle w:val="BodyText"/>
        <w:jc w:val="both"/>
        <w:rPr>
          <w:rFonts w:ascii="Arial" w:hAnsi="Arial" w:cs="Arial"/>
          <w:bCs/>
          <w:sz w:val="22"/>
          <w:szCs w:val="22"/>
        </w:rPr>
      </w:pPr>
    </w:p>
    <w:p w:rsidR="00CF798D" w:rsidRPr="00AE5BE7" w:rsidRDefault="00CF798D" w:rsidP="00CF798D">
      <w:pPr>
        <w:pStyle w:val="BodyTex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AE5BE7">
        <w:rPr>
          <w:rFonts w:ascii="Arial" w:hAnsi="Arial" w:cs="Arial"/>
          <w:bCs/>
          <w:sz w:val="22"/>
          <w:szCs w:val="22"/>
        </w:rPr>
        <w:t xml:space="preserve"> national </w:t>
      </w:r>
      <w:r>
        <w:rPr>
          <w:rFonts w:ascii="Arial" w:hAnsi="Arial" w:cs="Arial"/>
          <w:bCs/>
          <w:sz w:val="22"/>
          <w:szCs w:val="22"/>
        </w:rPr>
        <w:t>l</w:t>
      </w:r>
      <w:r w:rsidRPr="00AE5BE7">
        <w:rPr>
          <w:rFonts w:ascii="Arial" w:hAnsi="Arial" w:cs="Arial"/>
          <w:bCs/>
          <w:sz w:val="22"/>
          <w:szCs w:val="22"/>
        </w:rPr>
        <w:t xml:space="preserve">eishmaniasis control program for CL </w:t>
      </w:r>
      <w:r>
        <w:rPr>
          <w:rFonts w:ascii="Arial" w:hAnsi="Arial" w:cs="Arial"/>
          <w:bCs/>
          <w:sz w:val="22"/>
          <w:szCs w:val="22"/>
        </w:rPr>
        <w:t xml:space="preserve">has been in place </w:t>
      </w:r>
      <w:r w:rsidRPr="00AE5BE7">
        <w:rPr>
          <w:rFonts w:ascii="Arial" w:hAnsi="Arial" w:cs="Arial"/>
          <w:bCs/>
          <w:sz w:val="22"/>
          <w:szCs w:val="22"/>
        </w:rPr>
        <w:t xml:space="preserve">since 1985, and notification of </w:t>
      </w:r>
      <w:r>
        <w:rPr>
          <w:rFonts w:ascii="Arial" w:hAnsi="Arial" w:cs="Arial"/>
          <w:bCs/>
          <w:sz w:val="22"/>
          <w:szCs w:val="22"/>
        </w:rPr>
        <w:t>l</w:t>
      </w:r>
      <w:r w:rsidRPr="00AE5BE7">
        <w:rPr>
          <w:rFonts w:ascii="Arial" w:hAnsi="Arial" w:cs="Arial"/>
          <w:bCs/>
          <w:sz w:val="22"/>
          <w:szCs w:val="22"/>
        </w:rPr>
        <w:t xml:space="preserve">eishmaniasis is mandatory. Case detection is passive. There is no vector or reservoir control program, but insecticide spraying is done in places where </w:t>
      </w:r>
      <w:r>
        <w:rPr>
          <w:rFonts w:ascii="Arial" w:hAnsi="Arial" w:cs="Arial"/>
          <w:bCs/>
          <w:sz w:val="22"/>
          <w:szCs w:val="22"/>
        </w:rPr>
        <w:t xml:space="preserve">many cases are reported </w:t>
      </w:r>
      <w:r w:rsidRPr="00AE5BE7">
        <w:rPr>
          <w:rFonts w:ascii="Arial" w:hAnsi="Arial" w:cs="Arial"/>
          <w:bCs/>
          <w:sz w:val="22"/>
          <w:szCs w:val="22"/>
        </w:rPr>
        <w:t xml:space="preserve">and there is </w:t>
      </w:r>
      <w:proofErr w:type="spellStart"/>
      <w:r w:rsidRPr="00AE5BE7">
        <w:rPr>
          <w:rFonts w:ascii="Arial" w:hAnsi="Arial" w:cs="Arial"/>
          <w:bCs/>
          <w:sz w:val="22"/>
          <w:szCs w:val="22"/>
        </w:rPr>
        <w:t>bednet</w:t>
      </w:r>
      <w:proofErr w:type="spellEnd"/>
      <w:r w:rsidRPr="00AE5BE7">
        <w:rPr>
          <w:rFonts w:ascii="Arial" w:hAnsi="Arial" w:cs="Arial"/>
          <w:bCs/>
          <w:sz w:val="22"/>
          <w:szCs w:val="22"/>
        </w:rPr>
        <w:t xml:space="preserve"> distribution. </w:t>
      </w:r>
    </w:p>
    <w:p w:rsidR="00CF798D" w:rsidRPr="00AE5BE7" w:rsidRDefault="00CF798D" w:rsidP="00CF798D">
      <w:pPr>
        <w:rPr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PARASITOLOGICAL INFORMATION</w:t>
      </w: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tbl>
      <w:tblPr>
        <w:tblW w:w="9720" w:type="dxa"/>
        <w:tblCellSpacing w:w="0" w:type="dxa"/>
        <w:tblInd w:w="-165" w:type="dxa"/>
        <w:tblCellMar>
          <w:left w:w="0" w:type="dxa"/>
          <w:right w:w="0" w:type="dxa"/>
        </w:tblCellMar>
        <w:tblLook w:val="0000"/>
      </w:tblPr>
      <w:tblGrid>
        <w:gridCol w:w="1687"/>
        <w:gridCol w:w="1275"/>
        <w:gridCol w:w="2438"/>
        <w:gridCol w:w="4320"/>
      </w:tblGrid>
      <w:tr w:rsidR="00CF798D" w:rsidRPr="00AE5BE7" w:rsidTr="00A7768B">
        <w:trPr>
          <w:trHeight w:val="405"/>
          <w:tblCellSpacing w:w="0" w:type="dxa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jc w:val="center"/>
              <w:rPr>
                <w:b/>
                <w:bCs/>
                <w:sz w:val="22"/>
                <w:lang w:val="en-GB"/>
              </w:rPr>
            </w:pPr>
            <w:r w:rsidRPr="00AE5BE7">
              <w:rPr>
                <w:b/>
                <w:bCs/>
                <w:i/>
                <w:iCs/>
                <w:sz w:val="22"/>
                <w:lang w:val="en-GB"/>
              </w:rPr>
              <w:t>Leishmania</w:t>
            </w:r>
          </w:p>
          <w:p w:rsidR="00CF798D" w:rsidRPr="00AE5BE7" w:rsidRDefault="00CF798D" w:rsidP="00A7768B">
            <w:pPr>
              <w:jc w:val="center"/>
              <w:rPr>
                <w:b/>
                <w:bCs/>
                <w:sz w:val="22"/>
                <w:lang w:val="en-GB"/>
              </w:rPr>
            </w:pPr>
            <w:r w:rsidRPr="00AE5BE7">
              <w:rPr>
                <w:b/>
                <w:bCs/>
                <w:sz w:val="22"/>
                <w:lang w:val="en-GB"/>
              </w:rPr>
              <w:t>species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ind w:left="0" w:firstLine="0"/>
              <w:jc w:val="center"/>
              <w:rPr>
                <w:b/>
                <w:bCs/>
                <w:sz w:val="22"/>
                <w:lang w:val="en-GB"/>
              </w:rPr>
            </w:pPr>
            <w:r w:rsidRPr="00AE5BE7">
              <w:rPr>
                <w:b/>
                <w:bCs/>
                <w:sz w:val="22"/>
                <w:lang w:val="en-GB"/>
              </w:rPr>
              <w:t>Clinical form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rPr>
                <w:b/>
                <w:bCs/>
                <w:sz w:val="22"/>
                <w:lang w:val="en-GB"/>
              </w:rPr>
            </w:pPr>
            <w:r w:rsidRPr="00AE5BE7">
              <w:rPr>
                <w:b/>
                <w:bCs/>
                <w:sz w:val="22"/>
                <w:lang w:val="en-GB"/>
              </w:rPr>
              <w:t xml:space="preserve">  Vector species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rPr>
                <w:b/>
                <w:bCs/>
                <w:sz w:val="22"/>
                <w:lang w:val="en-GB"/>
              </w:rPr>
            </w:pPr>
            <w:r w:rsidRPr="00AE5BE7">
              <w:rPr>
                <w:b/>
                <w:bCs/>
                <w:sz w:val="22"/>
                <w:lang w:val="en-GB"/>
              </w:rPr>
              <w:t xml:space="preserve">     Reservoirs</w:t>
            </w:r>
          </w:p>
        </w:tc>
      </w:tr>
      <w:tr w:rsidR="00CF798D" w:rsidRPr="00AE5BE7" w:rsidTr="00A7768B">
        <w:trPr>
          <w:trHeight w:val="810"/>
          <w:tblCellSpacing w:w="0" w:type="dxa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jc w:val="left"/>
              <w:rPr>
                <w:sz w:val="22"/>
              </w:rPr>
            </w:pPr>
            <w:r w:rsidRPr="00AE5BE7">
              <w:rPr>
                <w:i/>
                <w:iCs/>
                <w:sz w:val="22"/>
                <w:lang w:val="en-US"/>
              </w:rPr>
              <w:t xml:space="preserve"> L. peruviana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jc w:val="left"/>
              <w:rPr>
                <w:sz w:val="22"/>
              </w:rPr>
            </w:pPr>
            <w:r w:rsidRPr="00AE5BE7">
              <w:rPr>
                <w:sz w:val="22"/>
                <w:lang w:val="en-US"/>
              </w:rPr>
              <w:t xml:space="preserve"> ZCL, MCL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jc w:val="lef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Lu. </w:t>
            </w:r>
            <w:proofErr w:type="spellStart"/>
            <w:r>
              <w:rPr>
                <w:i/>
                <w:iCs/>
                <w:sz w:val="22"/>
              </w:rPr>
              <w:t>peruensis</w:t>
            </w:r>
            <w:proofErr w:type="spellEnd"/>
            <w:r w:rsidRPr="00AE5BE7">
              <w:rPr>
                <w:i/>
                <w:iCs/>
                <w:sz w:val="22"/>
              </w:rPr>
              <w:t xml:space="preserve">, </w:t>
            </w:r>
          </w:p>
          <w:p w:rsidR="00CF798D" w:rsidRPr="00AE5BE7" w:rsidRDefault="00CF798D" w:rsidP="00A7768B">
            <w:pPr>
              <w:jc w:val="lef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Lu. </w:t>
            </w:r>
            <w:proofErr w:type="spellStart"/>
            <w:r>
              <w:rPr>
                <w:i/>
                <w:iCs/>
                <w:sz w:val="22"/>
              </w:rPr>
              <w:t>verrucarum</w:t>
            </w:r>
            <w:proofErr w:type="spellEnd"/>
          </w:p>
          <w:p w:rsidR="00CF798D" w:rsidRPr="00AE5BE7" w:rsidRDefault="00CF798D" w:rsidP="00A7768B">
            <w:pPr>
              <w:jc w:val="left"/>
              <w:rPr>
                <w:sz w:val="22"/>
              </w:rPr>
            </w:pPr>
            <w:r w:rsidRPr="00AE5BE7">
              <w:rPr>
                <w:i/>
                <w:iCs/>
                <w:sz w:val="22"/>
              </w:rPr>
              <w:t xml:space="preserve"> Lu. </w:t>
            </w:r>
            <w:proofErr w:type="spellStart"/>
            <w:r w:rsidRPr="00AE5BE7">
              <w:rPr>
                <w:i/>
                <w:iCs/>
                <w:sz w:val="22"/>
              </w:rPr>
              <w:t>ayacuchensis</w:t>
            </w:r>
            <w:proofErr w:type="spellEnd"/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ind w:left="165" w:firstLine="0"/>
              <w:jc w:val="left"/>
              <w:rPr>
                <w:sz w:val="22"/>
                <w:lang w:val="en-GB"/>
              </w:rPr>
            </w:pPr>
            <w:proofErr w:type="spellStart"/>
            <w:r w:rsidRPr="00AE5BE7">
              <w:rPr>
                <w:i/>
                <w:iCs/>
                <w:sz w:val="22"/>
                <w:lang w:val="en-US"/>
              </w:rPr>
              <w:t>Canis</w:t>
            </w:r>
            <w:proofErr w:type="spellEnd"/>
            <w:r w:rsidRPr="00AE5BE7">
              <w:rPr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AE5BE7">
              <w:rPr>
                <w:i/>
                <w:iCs/>
                <w:sz w:val="22"/>
                <w:lang w:val="en-US"/>
              </w:rPr>
              <w:t>familiaris</w:t>
            </w:r>
            <w:proofErr w:type="spellEnd"/>
            <w:r w:rsidRPr="00AE5BE7">
              <w:rPr>
                <w:i/>
                <w:iCs/>
                <w:sz w:val="22"/>
                <w:lang w:val="en-US"/>
              </w:rPr>
              <w:t xml:space="preserve">, </w:t>
            </w:r>
            <w:proofErr w:type="spellStart"/>
            <w:r w:rsidRPr="00AE5BE7">
              <w:rPr>
                <w:i/>
                <w:iCs/>
                <w:sz w:val="22"/>
                <w:lang w:val="en-US"/>
              </w:rPr>
              <w:t>Didelphis</w:t>
            </w:r>
            <w:proofErr w:type="spellEnd"/>
            <w:r w:rsidRPr="00AE5BE7">
              <w:rPr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AE5BE7">
              <w:rPr>
                <w:i/>
                <w:iCs/>
                <w:sz w:val="22"/>
                <w:lang w:val="en-US"/>
              </w:rPr>
              <w:t>albiventris</w:t>
            </w:r>
            <w:proofErr w:type="spellEnd"/>
            <w:r w:rsidRPr="00AE5BE7">
              <w:rPr>
                <w:i/>
                <w:iCs/>
                <w:sz w:val="22"/>
                <w:lang w:val="en-US"/>
              </w:rPr>
              <w:t>,</w:t>
            </w:r>
            <w:r w:rsidRPr="00AE5BE7">
              <w:rPr>
                <w:sz w:val="22"/>
                <w:lang w:val="en-US"/>
              </w:rPr>
              <w:t xml:space="preserve"> </w:t>
            </w:r>
            <w:proofErr w:type="spellStart"/>
            <w:r w:rsidRPr="00AE5BE7">
              <w:rPr>
                <w:i/>
                <w:iCs/>
                <w:sz w:val="22"/>
                <w:lang w:val="en-US"/>
              </w:rPr>
              <w:t>Phyllotis</w:t>
            </w:r>
            <w:proofErr w:type="spellEnd"/>
            <w:r w:rsidRPr="00AE5BE7">
              <w:rPr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AE5BE7">
              <w:rPr>
                <w:i/>
                <w:iCs/>
                <w:sz w:val="22"/>
                <w:lang w:val="en-US"/>
              </w:rPr>
              <w:t>andinum</w:t>
            </w:r>
            <w:proofErr w:type="spellEnd"/>
            <w:r w:rsidRPr="00AE5BE7">
              <w:rPr>
                <w:sz w:val="22"/>
                <w:lang w:val="en-US"/>
              </w:rPr>
              <w:t>,</w:t>
            </w:r>
            <w:r w:rsidRPr="00125FDE">
              <w:rPr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125FDE">
              <w:rPr>
                <w:i/>
                <w:iCs/>
                <w:sz w:val="22"/>
                <w:lang w:val="en-US"/>
              </w:rPr>
              <w:t>Akodon</w:t>
            </w:r>
            <w:proofErr w:type="spellEnd"/>
            <w:r w:rsidRPr="00AE5BE7">
              <w:rPr>
                <w:sz w:val="22"/>
                <w:lang w:val="en-US"/>
              </w:rPr>
              <w:t xml:space="preserve"> sp.</w:t>
            </w:r>
          </w:p>
        </w:tc>
      </w:tr>
      <w:tr w:rsidR="00CF798D" w:rsidRPr="00AE5BE7" w:rsidTr="00A7768B">
        <w:trPr>
          <w:trHeight w:val="405"/>
          <w:tblCellSpacing w:w="0" w:type="dxa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jc w:val="left"/>
              <w:rPr>
                <w:sz w:val="22"/>
              </w:rPr>
            </w:pPr>
            <w:r w:rsidRPr="00AE5BE7">
              <w:rPr>
                <w:i/>
                <w:iCs/>
                <w:sz w:val="22"/>
                <w:lang w:val="en-US"/>
              </w:rPr>
              <w:t xml:space="preserve"> L. </w:t>
            </w:r>
            <w:proofErr w:type="spellStart"/>
            <w:r w:rsidRPr="00AE5BE7">
              <w:rPr>
                <w:i/>
                <w:iCs/>
                <w:sz w:val="22"/>
                <w:lang w:val="en-US"/>
              </w:rPr>
              <w:t>lainsoni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jc w:val="left"/>
              <w:rPr>
                <w:sz w:val="22"/>
              </w:rPr>
            </w:pPr>
            <w:r w:rsidRPr="00AE5BE7">
              <w:rPr>
                <w:sz w:val="22"/>
                <w:lang w:val="en-US"/>
              </w:rPr>
              <w:t xml:space="preserve"> ZCL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jc w:val="left"/>
              <w:rPr>
                <w:sz w:val="22"/>
              </w:rPr>
            </w:pPr>
            <w:r w:rsidRPr="00AE5BE7">
              <w:rPr>
                <w:i/>
                <w:iCs/>
                <w:sz w:val="22"/>
                <w:lang w:val="en-US"/>
              </w:rPr>
              <w:t xml:space="preserve"> Lu. </w:t>
            </w:r>
            <w:proofErr w:type="spellStart"/>
            <w:r w:rsidRPr="00AE5BE7">
              <w:rPr>
                <w:i/>
                <w:iCs/>
                <w:sz w:val="22"/>
                <w:lang w:val="en-US"/>
              </w:rPr>
              <w:t>ubiquitalis</w:t>
            </w:r>
            <w:proofErr w:type="spellEnd"/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jc w:val="left"/>
              <w:rPr>
                <w:sz w:val="22"/>
              </w:rPr>
            </w:pPr>
            <w:r w:rsidRPr="00AE5BE7">
              <w:rPr>
                <w:sz w:val="22"/>
                <w:lang w:val="en-US"/>
              </w:rPr>
              <w:t xml:space="preserve">  unknown</w:t>
            </w:r>
          </w:p>
        </w:tc>
      </w:tr>
      <w:tr w:rsidR="00CF798D" w:rsidRPr="00AE5BE7" w:rsidTr="00A7768B">
        <w:trPr>
          <w:trHeight w:val="405"/>
          <w:tblCellSpacing w:w="0" w:type="dxa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jc w:val="left"/>
              <w:rPr>
                <w:sz w:val="22"/>
              </w:rPr>
            </w:pPr>
            <w:r w:rsidRPr="00AE5BE7">
              <w:rPr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AE5BE7">
              <w:rPr>
                <w:i/>
                <w:iCs/>
                <w:sz w:val="22"/>
                <w:lang w:val="en-US"/>
              </w:rPr>
              <w:t>L.amazonensis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jc w:val="left"/>
              <w:rPr>
                <w:sz w:val="22"/>
              </w:rPr>
            </w:pPr>
            <w:r w:rsidRPr="00AE5BE7">
              <w:rPr>
                <w:sz w:val="22"/>
                <w:lang w:val="en-US"/>
              </w:rPr>
              <w:t xml:space="preserve"> ZCL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jc w:val="left"/>
              <w:rPr>
                <w:sz w:val="22"/>
              </w:rPr>
            </w:pPr>
            <w:r w:rsidRPr="00AE5BE7">
              <w:rPr>
                <w:sz w:val="22"/>
                <w:lang w:val="en-US"/>
              </w:rPr>
              <w:t xml:space="preserve"> unknown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jc w:val="left"/>
              <w:rPr>
                <w:sz w:val="22"/>
              </w:rPr>
            </w:pPr>
            <w:r w:rsidRPr="00AE5BE7">
              <w:rPr>
                <w:sz w:val="22"/>
                <w:lang w:val="en-US"/>
              </w:rPr>
              <w:t xml:space="preserve">  unknown</w:t>
            </w:r>
          </w:p>
        </w:tc>
      </w:tr>
      <w:tr w:rsidR="00CF798D" w:rsidRPr="00AE5BE7" w:rsidTr="00A7768B">
        <w:trPr>
          <w:trHeight w:val="405"/>
          <w:tblCellSpacing w:w="0" w:type="dxa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jc w:val="left"/>
              <w:rPr>
                <w:sz w:val="22"/>
              </w:rPr>
            </w:pPr>
            <w:r w:rsidRPr="00AE5BE7">
              <w:rPr>
                <w:i/>
                <w:iCs/>
                <w:sz w:val="22"/>
                <w:lang w:val="en-US"/>
              </w:rPr>
              <w:t xml:space="preserve"> L. guyanensis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jc w:val="left"/>
              <w:rPr>
                <w:sz w:val="22"/>
              </w:rPr>
            </w:pPr>
            <w:r w:rsidRPr="00AE5BE7">
              <w:rPr>
                <w:sz w:val="22"/>
                <w:lang w:val="en-US"/>
              </w:rPr>
              <w:t xml:space="preserve"> ZCL  MCL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jc w:val="left"/>
              <w:rPr>
                <w:sz w:val="22"/>
              </w:rPr>
            </w:pPr>
            <w:r w:rsidRPr="00AE5BE7">
              <w:rPr>
                <w:sz w:val="22"/>
                <w:lang w:val="en-US"/>
              </w:rPr>
              <w:t xml:space="preserve"> unknown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jc w:val="left"/>
              <w:rPr>
                <w:sz w:val="22"/>
              </w:rPr>
            </w:pPr>
            <w:r w:rsidRPr="00AE5BE7">
              <w:rPr>
                <w:sz w:val="22"/>
                <w:lang w:val="en-US"/>
              </w:rPr>
              <w:t xml:space="preserve">  unknown</w:t>
            </w:r>
          </w:p>
        </w:tc>
      </w:tr>
      <w:tr w:rsidR="00CF798D" w:rsidRPr="00AE5BE7" w:rsidTr="00A7768B">
        <w:trPr>
          <w:trHeight w:val="540"/>
          <w:tblCellSpacing w:w="0" w:type="dxa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jc w:val="left"/>
              <w:rPr>
                <w:sz w:val="22"/>
              </w:rPr>
            </w:pPr>
            <w:r w:rsidRPr="00AE5BE7">
              <w:rPr>
                <w:i/>
                <w:iCs/>
                <w:sz w:val="22"/>
                <w:lang w:val="en-US"/>
              </w:rPr>
              <w:t xml:space="preserve"> L. braziliensis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jc w:val="left"/>
              <w:rPr>
                <w:sz w:val="22"/>
              </w:rPr>
            </w:pPr>
            <w:r w:rsidRPr="00AE5BE7">
              <w:rPr>
                <w:sz w:val="22"/>
                <w:lang w:val="en-US"/>
              </w:rPr>
              <w:t xml:space="preserve"> ZCL  MCL</w:t>
            </w:r>
          </w:p>
          <w:p w:rsidR="00CF798D" w:rsidRPr="00AE5BE7" w:rsidRDefault="00CF798D" w:rsidP="00A7768B">
            <w:pPr>
              <w:jc w:val="left"/>
              <w:rPr>
                <w:sz w:val="22"/>
              </w:rPr>
            </w:pPr>
            <w:r w:rsidRPr="00AE5BE7">
              <w:rPr>
                <w:sz w:val="22"/>
                <w:lang w:val="en-US"/>
              </w:rPr>
              <w:t xml:space="preserve"> DCL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jc w:val="left"/>
              <w:rPr>
                <w:sz w:val="22"/>
              </w:rPr>
            </w:pPr>
            <w:r w:rsidRPr="00AE5BE7">
              <w:rPr>
                <w:i/>
                <w:iCs/>
                <w:sz w:val="22"/>
                <w:lang w:val="en-US"/>
              </w:rPr>
              <w:t xml:space="preserve"> Lu. </w:t>
            </w:r>
            <w:proofErr w:type="spellStart"/>
            <w:proofErr w:type="gramStart"/>
            <w:r w:rsidRPr="00AE5BE7">
              <w:rPr>
                <w:i/>
                <w:iCs/>
                <w:sz w:val="22"/>
                <w:lang w:val="en-US"/>
              </w:rPr>
              <w:t>tejadai</w:t>
            </w:r>
            <w:proofErr w:type="spellEnd"/>
            <w:proofErr w:type="gramEnd"/>
            <w:r w:rsidRPr="00AE5BE7">
              <w:rPr>
                <w:i/>
                <w:iCs/>
                <w:sz w:val="22"/>
                <w:lang w:val="en-US"/>
              </w:rPr>
              <w:t xml:space="preserve">, Lu. </w:t>
            </w:r>
            <w:proofErr w:type="spellStart"/>
            <w:r w:rsidRPr="00AE5BE7">
              <w:rPr>
                <w:i/>
                <w:iCs/>
                <w:sz w:val="22"/>
                <w:lang w:val="en-US"/>
              </w:rPr>
              <w:t>pescei</w:t>
            </w:r>
            <w:proofErr w:type="spellEnd"/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98D" w:rsidRPr="00AE5BE7" w:rsidRDefault="00CF798D" w:rsidP="00A7768B">
            <w:pPr>
              <w:jc w:val="left"/>
              <w:rPr>
                <w:sz w:val="22"/>
              </w:rPr>
            </w:pPr>
            <w:r w:rsidRPr="00AE5BE7">
              <w:rPr>
                <w:sz w:val="22"/>
                <w:lang w:val="en-US"/>
              </w:rPr>
              <w:t xml:space="preserve">  unknown</w:t>
            </w:r>
          </w:p>
        </w:tc>
      </w:tr>
    </w:tbl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MAPS AND </w:t>
      </w:r>
      <w:r w:rsidRPr="00AE5BE7">
        <w:rPr>
          <w:b/>
          <w:bCs/>
          <w:sz w:val="22"/>
          <w:lang w:val="en-US"/>
        </w:rPr>
        <w:t>TREND</w:t>
      </w:r>
      <w:r>
        <w:rPr>
          <w:b/>
          <w:bCs/>
          <w:sz w:val="22"/>
          <w:lang w:val="en-US"/>
        </w:rPr>
        <w:t>S</w:t>
      </w: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Cutaneous leishmaniasis</w:t>
      </w: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32385</wp:posOffset>
            </wp:positionV>
            <wp:extent cx="3314700" cy="2342515"/>
            <wp:effectExtent l="19050" t="0" r="0" b="0"/>
            <wp:wrapNone/>
            <wp:docPr id="6" name="Picture 6" descr="PECL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CL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4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32385</wp:posOffset>
            </wp:positionV>
            <wp:extent cx="3334385" cy="2356485"/>
            <wp:effectExtent l="19050" t="0" r="0" b="0"/>
            <wp:wrapNone/>
            <wp:docPr id="5" name="Picture 5" descr="PEC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CLmo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35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Mucocutaneous leishmaniasis</w:t>
      </w:r>
    </w:p>
    <w:p w:rsidR="00CF798D" w:rsidRDefault="00CF798D" w:rsidP="00CF798D">
      <w:pPr>
        <w:rPr>
          <w:b/>
          <w:bCs/>
          <w:sz w:val="22"/>
          <w:lang w:val="en-US"/>
        </w:rPr>
      </w:pPr>
      <w:proofErr w:type="spellStart"/>
      <w:r>
        <w:rPr>
          <w:b/>
          <w:bCs/>
          <w:sz w:val="22"/>
          <w:lang w:val="en-US"/>
        </w:rPr>
        <w:lastRenderedPageBreak/>
        <w:t>Mucotaneous</w:t>
      </w:r>
      <w:proofErr w:type="spellEnd"/>
      <w:r>
        <w:rPr>
          <w:b/>
          <w:bCs/>
          <w:sz w:val="22"/>
          <w:lang w:val="en-US"/>
        </w:rPr>
        <w:t xml:space="preserve"> leishmaniasis</w:t>
      </w: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21590</wp:posOffset>
            </wp:positionV>
            <wp:extent cx="3429000" cy="2424430"/>
            <wp:effectExtent l="19050" t="0" r="0" b="0"/>
            <wp:wrapNone/>
            <wp:docPr id="8" name="Picture 8" descr="PEM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MLIRm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2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45720</wp:posOffset>
            </wp:positionV>
            <wp:extent cx="3406775" cy="2395855"/>
            <wp:effectExtent l="19050" t="0" r="3175" b="0"/>
            <wp:wrapNone/>
            <wp:docPr id="7" name="Picture 7" descr="PEM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MLmod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  <w:r w:rsidRPr="00AE5BE7">
        <w:rPr>
          <w:b/>
          <w:bCs/>
          <w:sz w:val="22"/>
          <w:lang w:val="en-US"/>
        </w:rPr>
        <w:t xml:space="preserve">Cutaneous </w:t>
      </w:r>
      <w:r>
        <w:rPr>
          <w:b/>
          <w:bCs/>
          <w:sz w:val="22"/>
          <w:lang w:val="en-US"/>
        </w:rPr>
        <w:t>l</w:t>
      </w:r>
      <w:r w:rsidRPr="00AE5BE7">
        <w:rPr>
          <w:b/>
          <w:bCs/>
          <w:sz w:val="22"/>
          <w:lang w:val="en-US"/>
        </w:rPr>
        <w:t>eishmaniasis trend</w:t>
      </w:r>
    </w:p>
    <w:p w:rsidR="00CF798D" w:rsidRPr="00AE5BE7" w:rsidRDefault="00CF798D" w:rsidP="00CF798D">
      <w:pPr>
        <w:rPr>
          <w:b/>
          <w:bCs/>
          <w:sz w:val="22"/>
          <w:lang w:val="en-US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0</wp:posOffset>
            </wp:positionV>
            <wp:extent cx="8343900" cy="2583180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  <w:r w:rsidRPr="00AE5BE7">
        <w:rPr>
          <w:b/>
          <w:bCs/>
          <w:sz w:val="22"/>
          <w:lang w:val="en-US"/>
        </w:rPr>
        <w:t xml:space="preserve">Mucocutaneous </w:t>
      </w:r>
      <w:r>
        <w:rPr>
          <w:b/>
          <w:bCs/>
          <w:sz w:val="22"/>
          <w:lang w:val="en-US"/>
        </w:rPr>
        <w:t>l</w:t>
      </w:r>
      <w:r w:rsidRPr="00AE5BE7">
        <w:rPr>
          <w:b/>
          <w:bCs/>
          <w:sz w:val="22"/>
          <w:lang w:val="en-US"/>
        </w:rPr>
        <w:t>eishmaniasis trend</w:t>
      </w: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21590</wp:posOffset>
            </wp:positionV>
            <wp:extent cx="3877945" cy="1563370"/>
            <wp:effectExtent l="0" t="0" r="0" b="0"/>
            <wp:wrapNone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Default="00CF798D" w:rsidP="00CF798D">
      <w:pPr>
        <w:rPr>
          <w:b/>
          <w:bCs/>
          <w:sz w:val="22"/>
          <w:lang w:val="en-US"/>
        </w:rPr>
      </w:pPr>
      <w:r w:rsidRPr="00AE5BE7">
        <w:rPr>
          <w:b/>
          <w:bCs/>
          <w:sz w:val="22"/>
          <w:lang w:val="en-US"/>
        </w:rPr>
        <w:t>DIAGNOSIS</w:t>
      </w:r>
      <w:r>
        <w:rPr>
          <w:b/>
          <w:bCs/>
          <w:sz w:val="22"/>
          <w:lang w:val="en-US"/>
        </w:rPr>
        <w:t>, TREATMENT</w:t>
      </w: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Diagnosis</w:t>
      </w:r>
    </w:p>
    <w:p w:rsidR="00CF798D" w:rsidRPr="00562689" w:rsidRDefault="00CF798D" w:rsidP="00CF798D">
      <w:pPr>
        <w:rPr>
          <w:bCs/>
          <w:sz w:val="22"/>
          <w:lang w:val="en-US"/>
        </w:rPr>
      </w:pPr>
      <w:r w:rsidRPr="00562689">
        <w:rPr>
          <w:bCs/>
          <w:sz w:val="22"/>
          <w:lang w:val="en-GB"/>
        </w:rPr>
        <w:t>CL</w:t>
      </w:r>
      <w:r w:rsidRPr="00562689">
        <w:rPr>
          <w:sz w:val="22"/>
          <w:lang w:val="en-GB"/>
        </w:rPr>
        <w:t xml:space="preserve">: on clinical grounds, confirmation by </w:t>
      </w:r>
      <w:r w:rsidRPr="00562689">
        <w:rPr>
          <w:color w:val="632423"/>
          <w:sz w:val="22"/>
          <w:lang w:val="en-GB"/>
        </w:rPr>
        <w:t>m</w:t>
      </w:r>
      <w:proofErr w:type="spellStart"/>
      <w:r w:rsidRPr="00562689">
        <w:rPr>
          <w:bCs/>
          <w:sz w:val="22"/>
          <w:lang w:val="en-US"/>
        </w:rPr>
        <w:t>icroscopic</w:t>
      </w:r>
      <w:proofErr w:type="spellEnd"/>
      <w:r w:rsidRPr="00562689">
        <w:rPr>
          <w:bCs/>
          <w:sz w:val="22"/>
          <w:lang w:val="en-US"/>
        </w:rPr>
        <w:t xml:space="preserve"> examination of skin lesion sample. </w:t>
      </w:r>
    </w:p>
    <w:p w:rsidR="00CF798D" w:rsidRPr="00562689" w:rsidRDefault="00CF798D" w:rsidP="00CF798D">
      <w:pPr>
        <w:rPr>
          <w:sz w:val="22"/>
          <w:lang w:val="en-GB"/>
        </w:rPr>
      </w:pPr>
    </w:p>
    <w:p w:rsidR="00CF798D" w:rsidRPr="00AE5BE7" w:rsidRDefault="00CF798D" w:rsidP="00CF798D">
      <w:pPr>
        <w:rPr>
          <w:b/>
          <w:bCs/>
          <w:sz w:val="22"/>
          <w:lang w:val="en-GB"/>
        </w:rPr>
      </w:pPr>
      <w:r w:rsidRPr="00AE5BE7">
        <w:rPr>
          <w:b/>
          <w:bCs/>
          <w:sz w:val="22"/>
          <w:lang w:val="en-GB"/>
        </w:rPr>
        <w:t>T</w:t>
      </w:r>
      <w:r>
        <w:rPr>
          <w:b/>
          <w:bCs/>
          <w:sz w:val="22"/>
          <w:lang w:val="en-GB"/>
        </w:rPr>
        <w:t>reatment</w:t>
      </w:r>
    </w:p>
    <w:p w:rsidR="00CF798D" w:rsidRPr="00AE5BE7" w:rsidRDefault="00CF798D" w:rsidP="00CF798D">
      <w:pPr>
        <w:ind w:left="0" w:firstLine="0"/>
        <w:rPr>
          <w:sz w:val="22"/>
          <w:lang w:val="en-GB"/>
        </w:rPr>
      </w:pPr>
      <w:r w:rsidRPr="00562689">
        <w:rPr>
          <w:bCs/>
          <w:sz w:val="22"/>
          <w:lang w:val="en-GB"/>
        </w:rPr>
        <w:t>CL</w:t>
      </w:r>
      <w:r w:rsidRPr="00562689">
        <w:rPr>
          <w:sz w:val="22"/>
          <w:lang w:val="en-GB"/>
        </w:rPr>
        <w:t xml:space="preserve">: antimonials 20 mg </w:t>
      </w:r>
      <w:proofErr w:type="spellStart"/>
      <w:r w:rsidRPr="00562689">
        <w:rPr>
          <w:sz w:val="22"/>
          <w:lang w:val="en-US"/>
        </w:rPr>
        <w:t>Sb</w:t>
      </w:r>
      <w:r w:rsidRPr="00562689">
        <w:rPr>
          <w:sz w:val="22"/>
          <w:vertAlign w:val="superscript"/>
          <w:lang w:val="en-US"/>
        </w:rPr>
        <w:t>v</w:t>
      </w:r>
      <w:proofErr w:type="spellEnd"/>
      <w:r w:rsidRPr="00562689">
        <w:rPr>
          <w:sz w:val="22"/>
          <w:lang w:val="en-US"/>
        </w:rPr>
        <w:t>/kg/day. Cure rate is 100%. Second line treatment is with Amphotericin</w:t>
      </w:r>
      <w:r w:rsidRPr="00AE5BE7">
        <w:rPr>
          <w:sz w:val="22"/>
          <w:lang w:val="en-US"/>
        </w:rPr>
        <w:t xml:space="preserve"> B</w:t>
      </w:r>
      <w:r>
        <w:rPr>
          <w:sz w:val="22"/>
          <w:lang w:val="en-US"/>
        </w:rPr>
        <w:t>,</w:t>
      </w:r>
      <w:r w:rsidRPr="00AE5BE7">
        <w:rPr>
          <w:sz w:val="22"/>
          <w:lang w:val="en-US"/>
        </w:rPr>
        <w:t xml:space="preserve"> 1 mg/kg/day until a total dose of </w:t>
      </w:r>
      <w:smartTag w:uri="urn:schemas-microsoft-com:office:smarttags" w:element="metricconverter">
        <w:smartTagPr>
          <w:attr w:name="ProductID" w:val="3 g"/>
        </w:smartTagPr>
        <w:r w:rsidRPr="00AE5BE7">
          <w:rPr>
            <w:sz w:val="22"/>
            <w:lang w:val="en-US"/>
          </w:rPr>
          <w:t>3 g</w:t>
        </w:r>
      </w:smartTag>
      <w:r w:rsidRPr="00AE5BE7">
        <w:rPr>
          <w:sz w:val="22"/>
          <w:lang w:val="en-US"/>
        </w:rPr>
        <w:t xml:space="preserve"> is reached. </w:t>
      </w:r>
    </w:p>
    <w:p w:rsidR="00CF798D" w:rsidRPr="00AE5BE7" w:rsidRDefault="00CF798D" w:rsidP="00CF798D">
      <w:pPr>
        <w:rPr>
          <w:sz w:val="22"/>
          <w:lang w:val="en-US"/>
        </w:rPr>
      </w:pPr>
    </w:p>
    <w:p w:rsidR="00CF798D" w:rsidRPr="00AE5BE7" w:rsidRDefault="00CF798D" w:rsidP="00CF798D">
      <w:pPr>
        <w:rPr>
          <w:b/>
          <w:sz w:val="22"/>
          <w:lang w:val="en-US"/>
        </w:rPr>
      </w:pPr>
    </w:p>
    <w:p w:rsidR="00CF798D" w:rsidRPr="00AE5BE7" w:rsidRDefault="00CF798D" w:rsidP="00CF798D">
      <w:pPr>
        <w:rPr>
          <w:b/>
          <w:sz w:val="22"/>
          <w:lang w:val="en-US"/>
        </w:rPr>
      </w:pPr>
      <w:r w:rsidRPr="00AE5BE7">
        <w:rPr>
          <w:b/>
          <w:sz w:val="22"/>
          <w:lang w:val="en-US"/>
        </w:rPr>
        <w:t>ACCESS TO CARE</w:t>
      </w:r>
    </w:p>
    <w:p w:rsidR="00CF798D" w:rsidRPr="00AE5BE7" w:rsidRDefault="00CF798D" w:rsidP="00CF798D">
      <w:pPr>
        <w:rPr>
          <w:b/>
          <w:sz w:val="22"/>
          <w:lang w:val="en-US"/>
        </w:rPr>
      </w:pPr>
    </w:p>
    <w:p w:rsidR="00CF798D" w:rsidRPr="00CF798D" w:rsidRDefault="00CF798D" w:rsidP="00CF798D">
      <w:pPr>
        <w:pStyle w:val="ListParagraph"/>
        <w:tabs>
          <w:tab w:val="left" w:pos="1230"/>
        </w:tabs>
        <w:ind w:left="0" w:firstLine="0"/>
        <w:rPr>
          <w:sz w:val="22"/>
        </w:rPr>
      </w:pPr>
      <w:r w:rsidRPr="00CF798D">
        <w:rPr>
          <w:sz w:val="22"/>
          <w:lang w:val="en-US"/>
        </w:rPr>
        <w:t xml:space="preserve">Care of leishmaniasis is provided for free. The government purchased generic SSG from </w:t>
      </w:r>
      <w:smartTag w:uri="urn:schemas-microsoft-com:office:smarttags" w:element="country-region">
        <w:r w:rsidRPr="00CF798D">
          <w:rPr>
            <w:sz w:val="22"/>
            <w:lang w:val="en-US"/>
          </w:rPr>
          <w:t>India</w:t>
        </w:r>
      </w:smartTag>
      <w:r w:rsidRPr="00CF798D">
        <w:rPr>
          <w:sz w:val="22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CF798D">
            <w:rPr>
              <w:sz w:val="22"/>
              <w:lang w:val="en-US"/>
            </w:rPr>
            <w:t>China</w:t>
          </w:r>
        </w:smartTag>
      </w:smartTag>
      <w:r w:rsidRPr="00CF798D">
        <w:rPr>
          <w:sz w:val="22"/>
          <w:lang w:val="en-US"/>
        </w:rPr>
        <w:t xml:space="preserve"> and treatment and diagnosis is provided at outreach level. An unknown percentage of people </w:t>
      </w:r>
      <w:proofErr w:type="gramStart"/>
      <w:r w:rsidRPr="00CF798D">
        <w:rPr>
          <w:sz w:val="22"/>
          <w:lang w:val="en-US"/>
        </w:rPr>
        <w:t>uses</w:t>
      </w:r>
      <w:proofErr w:type="gramEnd"/>
      <w:r w:rsidRPr="00CF798D">
        <w:rPr>
          <w:sz w:val="22"/>
          <w:lang w:val="en-US"/>
        </w:rPr>
        <w:t xml:space="preserve"> the private sector for treatment of CL. Access to treatment is poor. There is a lack of awareness of the serious nature of the disease and patients often first seek care from traditional healers. </w:t>
      </w:r>
      <w:proofErr w:type="spellStart"/>
      <w:r w:rsidRPr="00CF798D">
        <w:rPr>
          <w:sz w:val="22"/>
        </w:rPr>
        <w:t>Patients</w:t>
      </w:r>
      <w:proofErr w:type="spellEnd"/>
      <w:r w:rsidRPr="00CF798D">
        <w:rPr>
          <w:sz w:val="22"/>
        </w:rPr>
        <w:t xml:space="preserve"> </w:t>
      </w:r>
      <w:proofErr w:type="spellStart"/>
      <w:r w:rsidRPr="00CF798D">
        <w:rPr>
          <w:sz w:val="22"/>
        </w:rPr>
        <w:t>live</w:t>
      </w:r>
      <w:proofErr w:type="spellEnd"/>
      <w:r w:rsidRPr="00CF798D">
        <w:rPr>
          <w:sz w:val="22"/>
        </w:rPr>
        <w:t xml:space="preserve"> in </w:t>
      </w:r>
      <w:proofErr w:type="spellStart"/>
      <w:r w:rsidRPr="00CF798D">
        <w:rPr>
          <w:sz w:val="22"/>
        </w:rPr>
        <w:t>very</w:t>
      </w:r>
      <w:proofErr w:type="spellEnd"/>
      <w:r w:rsidRPr="00CF798D">
        <w:rPr>
          <w:sz w:val="22"/>
        </w:rPr>
        <w:t xml:space="preserve"> </w:t>
      </w:r>
      <w:proofErr w:type="spellStart"/>
      <w:r w:rsidRPr="00CF798D">
        <w:rPr>
          <w:sz w:val="22"/>
        </w:rPr>
        <w:t>remote</w:t>
      </w:r>
      <w:proofErr w:type="spellEnd"/>
      <w:r w:rsidRPr="00CF798D">
        <w:rPr>
          <w:sz w:val="22"/>
        </w:rPr>
        <w:t xml:space="preserve"> </w:t>
      </w:r>
      <w:proofErr w:type="spellStart"/>
      <w:r w:rsidRPr="00CF798D">
        <w:rPr>
          <w:sz w:val="22"/>
        </w:rPr>
        <w:t>areas</w:t>
      </w:r>
      <w:proofErr w:type="spellEnd"/>
      <w:r w:rsidRPr="00CF798D">
        <w:rPr>
          <w:sz w:val="22"/>
        </w:rPr>
        <w:t xml:space="preserve"> </w:t>
      </w:r>
      <w:proofErr w:type="spellStart"/>
      <w:r w:rsidRPr="00CF798D">
        <w:rPr>
          <w:sz w:val="22"/>
        </w:rPr>
        <w:t>with</w:t>
      </w:r>
      <w:proofErr w:type="spellEnd"/>
      <w:r w:rsidRPr="00CF798D">
        <w:rPr>
          <w:sz w:val="22"/>
        </w:rPr>
        <w:t xml:space="preserve"> no </w:t>
      </w:r>
      <w:proofErr w:type="spellStart"/>
      <w:r w:rsidRPr="00CF798D">
        <w:rPr>
          <w:sz w:val="22"/>
        </w:rPr>
        <w:t>health</w:t>
      </w:r>
      <w:proofErr w:type="spellEnd"/>
      <w:r w:rsidRPr="00CF798D">
        <w:rPr>
          <w:sz w:val="22"/>
        </w:rPr>
        <w:t xml:space="preserve"> </w:t>
      </w:r>
      <w:proofErr w:type="spellStart"/>
      <w:r w:rsidRPr="00CF798D">
        <w:rPr>
          <w:sz w:val="22"/>
        </w:rPr>
        <w:t>facilities</w:t>
      </w:r>
      <w:proofErr w:type="spellEnd"/>
      <w:r w:rsidRPr="00CF798D">
        <w:rPr>
          <w:sz w:val="22"/>
        </w:rPr>
        <w:t xml:space="preserve"> and no </w:t>
      </w:r>
      <w:proofErr w:type="spellStart"/>
      <w:r w:rsidRPr="00CF798D">
        <w:rPr>
          <w:sz w:val="22"/>
        </w:rPr>
        <w:t>transport</w:t>
      </w:r>
      <w:proofErr w:type="spellEnd"/>
      <w:r w:rsidRPr="00CF798D">
        <w:rPr>
          <w:sz w:val="22"/>
        </w:rPr>
        <w:t xml:space="preserve"> and </w:t>
      </w:r>
      <w:proofErr w:type="spellStart"/>
      <w:r w:rsidRPr="00CF798D">
        <w:rPr>
          <w:sz w:val="22"/>
        </w:rPr>
        <w:t>suffer</w:t>
      </w:r>
      <w:proofErr w:type="spellEnd"/>
      <w:r w:rsidRPr="00CF798D">
        <w:rPr>
          <w:sz w:val="22"/>
        </w:rPr>
        <w:t xml:space="preserve"> </w:t>
      </w:r>
      <w:proofErr w:type="spellStart"/>
      <w:r w:rsidRPr="00CF798D">
        <w:rPr>
          <w:sz w:val="22"/>
        </w:rPr>
        <w:t>major</w:t>
      </w:r>
      <w:proofErr w:type="spellEnd"/>
      <w:r w:rsidRPr="00CF798D">
        <w:rPr>
          <w:sz w:val="22"/>
        </w:rPr>
        <w:t xml:space="preserve"> </w:t>
      </w:r>
      <w:proofErr w:type="spellStart"/>
      <w:r w:rsidRPr="00CF798D">
        <w:rPr>
          <w:sz w:val="22"/>
        </w:rPr>
        <w:t>economic</w:t>
      </w:r>
      <w:proofErr w:type="spellEnd"/>
      <w:r w:rsidRPr="00CF798D">
        <w:rPr>
          <w:sz w:val="22"/>
        </w:rPr>
        <w:t xml:space="preserve"> </w:t>
      </w:r>
      <w:proofErr w:type="spellStart"/>
      <w:r w:rsidRPr="00CF798D">
        <w:rPr>
          <w:sz w:val="22"/>
        </w:rPr>
        <w:t>loss</w:t>
      </w:r>
      <w:proofErr w:type="spellEnd"/>
      <w:r w:rsidRPr="00CF798D">
        <w:rPr>
          <w:sz w:val="22"/>
        </w:rPr>
        <w:t xml:space="preserve"> </w:t>
      </w:r>
      <w:proofErr w:type="spellStart"/>
      <w:r w:rsidRPr="00CF798D">
        <w:rPr>
          <w:sz w:val="22"/>
        </w:rPr>
        <w:t>when</w:t>
      </w:r>
      <w:proofErr w:type="spellEnd"/>
      <w:r w:rsidRPr="00CF798D">
        <w:rPr>
          <w:sz w:val="22"/>
        </w:rPr>
        <w:t xml:space="preserve"> </w:t>
      </w:r>
      <w:proofErr w:type="spellStart"/>
      <w:r w:rsidRPr="00CF798D">
        <w:rPr>
          <w:sz w:val="22"/>
        </w:rPr>
        <w:t>they</w:t>
      </w:r>
      <w:proofErr w:type="spellEnd"/>
      <w:r w:rsidRPr="00CF798D">
        <w:rPr>
          <w:sz w:val="22"/>
        </w:rPr>
        <w:t xml:space="preserve"> </w:t>
      </w:r>
      <w:proofErr w:type="spellStart"/>
      <w:r w:rsidRPr="00CF798D">
        <w:rPr>
          <w:sz w:val="22"/>
        </w:rPr>
        <w:t>spend</w:t>
      </w:r>
      <w:proofErr w:type="spellEnd"/>
      <w:r w:rsidRPr="00CF798D">
        <w:rPr>
          <w:sz w:val="22"/>
        </w:rPr>
        <w:t xml:space="preserve"> time </w:t>
      </w:r>
      <w:proofErr w:type="spellStart"/>
      <w:r w:rsidRPr="00CF798D">
        <w:rPr>
          <w:sz w:val="22"/>
        </w:rPr>
        <w:t>away</w:t>
      </w:r>
      <w:proofErr w:type="spellEnd"/>
      <w:r w:rsidRPr="00CF798D">
        <w:rPr>
          <w:sz w:val="22"/>
        </w:rPr>
        <w:t xml:space="preserve"> </w:t>
      </w:r>
      <w:proofErr w:type="spellStart"/>
      <w:r w:rsidRPr="00CF798D">
        <w:rPr>
          <w:sz w:val="22"/>
        </w:rPr>
        <w:t>from</w:t>
      </w:r>
      <w:proofErr w:type="spellEnd"/>
      <w:r w:rsidRPr="00CF798D">
        <w:rPr>
          <w:sz w:val="22"/>
        </w:rPr>
        <w:t xml:space="preserve"> home. </w:t>
      </w:r>
      <w:proofErr w:type="spellStart"/>
      <w:r w:rsidRPr="00CF798D">
        <w:rPr>
          <w:sz w:val="22"/>
        </w:rPr>
        <w:t>Often</w:t>
      </w:r>
      <w:proofErr w:type="spellEnd"/>
      <w:r w:rsidRPr="00CF798D">
        <w:rPr>
          <w:sz w:val="22"/>
        </w:rPr>
        <w:t xml:space="preserve">, </w:t>
      </w:r>
      <w:proofErr w:type="spellStart"/>
      <w:r w:rsidRPr="00CF798D">
        <w:rPr>
          <w:sz w:val="22"/>
        </w:rPr>
        <w:t>there</w:t>
      </w:r>
      <w:proofErr w:type="spellEnd"/>
      <w:r w:rsidRPr="00CF798D">
        <w:rPr>
          <w:sz w:val="22"/>
        </w:rPr>
        <w:t xml:space="preserve"> </w:t>
      </w:r>
      <w:proofErr w:type="spellStart"/>
      <w:r w:rsidRPr="00CF798D">
        <w:rPr>
          <w:sz w:val="22"/>
        </w:rPr>
        <w:t>is</w:t>
      </w:r>
      <w:proofErr w:type="spellEnd"/>
      <w:r w:rsidRPr="00CF798D">
        <w:rPr>
          <w:sz w:val="22"/>
        </w:rPr>
        <w:t xml:space="preserve"> </w:t>
      </w:r>
      <w:proofErr w:type="spellStart"/>
      <w:r w:rsidRPr="00CF798D">
        <w:rPr>
          <w:sz w:val="22"/>
        </w:rPr>
        <w:t>also</w:t>
      </w:r>
      <w:proofErr w:type="spellEnd"/>
      <w:r w:rsidRPr="00CF798D">
        <w:rPr>
          <w:sz w:val="22"/>
        </w:rPr>
        <w:t xml:space="preserve"> a </w:t>
      </w:r>
      <w:proofErr w:type="spellStart"/>
      <w:r w:rsidRPr="00CF798D">
        <w:rPr>
          <w:sz w:val="22"/>
        </w:rPr>
        <w:t>shortage</w:t>
      </w:r>
      <w:proofErr w:type="spellEnd"/>
      <w:r w:rsidRPr="00CF798D">
        <w:rPr>
          <w:sz w:val="22"/>
        </w:rPr>
        <w:t xml:space="preserve"> of </w:t>
      </w:r>
      <w:proofErr w:type="spellStart"/>
      <w:r w:rsidRPr="00CF798D">
        <w:rPr>
          <w:sz w:val="22"/>
        </w:rPr>
        <w:t>drugs</w:t>
      </w:r>
      <w:proofErr w:type="spellEnd"/>
      <w:r w:rsidRPr="00CF798D">
        <w:rPr>
          <w:sz w:val="22"/>
        </w:rPr>
        <w:t xml:space="preserve"> at </w:t>
      </w:r>
      <w:proofErr w:type="spellStart"/>
      <w:r w:rsidRPr="00CF798D">
        <w:rPr>
          <w:sz w:val="22"/>
        </w:rPr>
        <w:t>health</w:t>
      </w:r>
      <w:proofErr w:type="spellEnd"/>
      <w:r w:rsidRPr="00CF798D">
        <w:rPr>
          <w:sz w:val="22"/>
        </w:rPr>
        <w:t xml:space="preserve"> </w:t>
      </w:r>
      <w:proofErr w:type="spellStart"/>
      <w:r w:rsidRPr="00CF798D">
        <w:rPr>
          <w:sz w:val="22"/>
        </w:rPr>
        <w:t>facilities</w:t>
      </w:r>
      <w:proofErr w:type="spellEnd"/>
      <w:r w:rsidRPr="00CF798D">
        <w:rPr>
          <w:sz w:val="22"/>
        </w:rPr>
        <w:t xml:space="preserve">. </w:t>
      </w:r>
    </w:p>
    <w:p w:rsidR="00CF798D" w:rsidRDefault="00CF798D" w:rsidP="00CF798D">
      <w:pPr>
        <w:rPr>
          <w:b/>
          <w:sz w:val="22"/>
          <w:lang w:val="en-US"/>
        </w:rPr>
      </w:pPr>
      <w:r w:rsidRPr="00AE5BE7">
        <w:rPr>
          <w:b/>
          <w:sz w:val="22"/>
          <w:lang w:val="en-US"/>
        </w:rPr>
        <w:tab/>
      </w:r>
    </w:p>
    <w:p w:rsidR="00CF798D" w:rsidRDefault="00CF798D" w:rsidP="00CF798D">
      <w:pPr>
        <w:rPr>
          <w:b/>
          <w:bCs/>
          <w:sz w:val="22"/>
          <w:lang w:val="en-US"/>
        </w:rPr>
      </w:pPr>
    </w:p>
    <w:p w:rsidR="00CF798D" w:rsidRPr="00AE5BE7" w:rsidRDefault="00CF798D" w:rsidP="00CF798D">
      <w:pPr>
        <w:rPr>
          <w:sz w:val="22"/>
          <w:lang w:val="en-US"/>
        </w:rPr>
      </w:pPr>
      <w:r w:rsidRPr="00AE5BE7">
        <w:rPr>
          <w:b/>
          <w:bCs/>
          <w:sz w:val="22"/>
          <w:lang w:val="en-US"/>
        </w:rPr>
        <w:t xml:space="preserve">DRUG ACCESS </w:t>
      </w:r>
    </w:p>
    <w:p w:rsidR="00CF798D" w:rsidRPr="00AE5BE7" w:rsidRDefault="00CF798D" w:rsidP="00CF798D">
      <w:pPr>
        <w:rPr>
          <w:sz w:val="22"/>
          <w:lang w:val="en-US"/>
        </w:rPr>
      </w:pPr>
    </w:p>
    <w:p w:rsidR="00CF798D" w:rsidRPr="00AE5BE7" w:rsidRDefault="00CF798D" w:rsidP="00CF798D">
      <w:pPr>
        <w:ind w:left="0" w:firstLine="0"/>
        <w:rPr>
          <w:bCs/>
          <w:sz w:val="22"/>
          <w:lang w:val="en-US"/>
        </w:rPr>
      </w:pPr>
      <w:r w:rsidRPr="00AE5BE7">
        <w:rPr>
          <w:bCs/>
          <w:sz w:val="22"/>
          <w:lang w:val="en-GB"/>
        </w:rPr>
        <w:t xml:space="preserve">Sodium stibogluconate and amphotericin B are included in the National Essential Drug List. Meglumine antimoniate (Glucantime, </w:t>
      </w:r>
      <w:proofErr w:type="spellStart"/>
      <w:r>
        <w:rPr>
          <w:bCs/>
          <w:sz w:val="22"/>
          <w:lang w:val="en-GB"/>
        </w:rPr>
        <w:t>Sanofi</w:t>
      </w:r>
      <w:proofErr w:type="spellEnd"/>
      <w:r w:rsidRPr="00AE5BE7">
        <w:rPr>
          <w:bCs/>
          <w:sz w:val="22"/>
          <w:lang w:val="en-GB"/>
        </w:rPr>
        <w:t xml:space="preserve">) is sold in private pharmacies. </w:t>
      </w:r>
      <w:r w:rsidRPr="00AE5BE7">
        <w:rPr>
          <w:bCs/>
          <w:sz w:val="22"/>
          <w:lang w:val="en-US"/>
        </w:rPr>
        <w:t>One vial of Glucantime costs 7 USD</w:t>
      </w:r>
      <w:r>
        <w:rPr>
          <w:bCs/>
          <w:sz w:val="22"/>
          <w:lang w:val="en-US"/>
        </w:rPr>
        <w:t>,</w:t>
      </w:r>
      <w:r w:rsidRPr="00AE5BE7">
        <w:rPr>
          <w:bCs/>
          <w:sz w:val="22"/>
          <w:lang w:val="en-US"/>
        </w:rPr>
        <w:t xml:space="preserve"> leading to a treatment cost of 77 USD for intralesional treatment. </w:t>
      </w:r>
    </w:p>
    <w:p w:rsidR="00CF798D" w:rsidRPr="00AE5BE7" w:rsidRDefault="00CF798D" w:rsidP="00CF798D">
      <w:pPr>
        <w:rPr>
          <w:b/>
          <w:sz w:val="22"/>
          <w:lang w:val="en-US"/>
        </w:rPr>
      </w:pPr>
    </w:p>
    <w:p w:rsidR="00CF798D" w:rsidRPr="00AE5BE7" w:rsidRDefault="00CF798D" w:rsidP="00CF798D">
      <w:pPr>
        <w:rPr>
          <w:sz w:val="22"/>
          <w:lang w:val="en-US"/>
        </w:rPr>
      </w:pPr>
    </w:p>
    <w:p w:rsidR="00CF798D" w:rsidRPr="00AE5BE7" w:rsidRDefault="00CF798D" w:rsidP="00CF798D">
      <w:pPr>
        <w:rPr>
          <w:b/>
          <w:sz w:val="22"/>
        </w:rPr>
      </w:pPr>
      <w:r w:rsidRPr="00AE5BE7">
        <w:rPr>
          <w:b/>
          <w:sz w:val="22"/>
        </w:rPr>
        <w:t>SOURCES OF INFORMATION</w:t>
      </w:r>
    </w:p>
    <w:p w:rsidR="00CF798D" w:rsidRPr="00AE5BE7" w:rsidRDefault="00CF798D" w:rsidP="00CF798D">
      <w:pPr>
        <w:rPr>
          <w:b/>
          <w:sz w:val="22"/>
        </w:rPr>
      </w:pPr>
    </w:p>
    <w:p w:rsidR="00CF798D" w:rsidRPr="00AE5BE7" w:rsidRDefault="00CF798D" w:rsidP="00CF798D">
      <w:pPr>
        <w:numPr>
          <w:ilvl w:val="0"/>
          <w:numId w:val="5"/>
        </w:numPr>
        <w:jc w:val="left"/>
        <w:rPr>
          <w:sz w:val="22"/>
        </w:rPr>
      </w:pP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 </w:t>
      </w:r>
      <w:proofErr w:type="spellStart"/>
      <w:r w:rsidRPr="00AE5BE7">
        <w:rPr>
          <w:sz w:val="22"/>
        </w:rPr>
        <w:t>Yeni</w:t>
      </w:r>
      <w:proofErr w:type="spellEnd"/>
      <w:r w:rsidRPr="00AE5BE7">
        <w:rPr>
          <w:sz w:val="22"/>
        </w:rPr>
        <w:t xml:space="preserve"> Otilia Herrera Hurtado. Ministerio de Salud</w:t>
      </w:r>
      <w:r>
        <w:rPr>
          <w:sz w:val="22"/>
        </w:rPr>
        <w:t>, Perú.</w:t>
      </w:r>
      <w:r w:rsidRPr="00AE5BE7">
        <w:rPr>
          <w:sz w:val="22"/>
        </w:rPr>
        <w:t xml:space="preserve"> </w:t>
      </w:r>
    </w:p>
    <w:p w:rsidR="00CF798D" w:rsidRPr="00CD201F" w:rsidRDefault="00CF798D" w:rsidP="00CF798D">
      <w:pPr>
        <w:numPr>
          <w:ilvl w:val="0"/>
          <w:numId w:val="5"/>
        </w:numPr>
        <w:autoSpaceDE w:val="0"/>
        <w:autoSpaceDN w:val="0"/>
        <w:adjustRightInd w:val="0"/>
        <w:rPr>
          <w:lang w:val="es-ES"/>
        </w:rPr>
      </w:pPr>
      <w:r w:rsidRPr="00AE5BE7">
        <w:rPr>
          <w:sz w:val="22"/>
        </w:rPr>
        <w:t>Dr. Abelardo Tejada Valencia. Instituto de Med</w:t>
      </w:r>
      <w:r>
        <w:rPr>
          <w:sz w:val="22"/>
        </w:rPr>
        <w:t>icina Tropical “Daniel A. Carrió</w:t>
      </w:r>
      <w:r w:rsidRPr="00AE5BE7">
        <w:rPr>
          <w:sz w:val="22"/>
        </w:rPr>
        <w:t xml:space="preserve">n”. </w:t>
      </w:r>
      <w:r w:rsidRPr="00A96C4C">
        <w:rPr>
          <w:bCs/>
          <w:color w:val="000000"/>
          <w:sz w:val="22"/>
          <w:lang w:val="es-ES"/>
        </w:rPr>
        <w:t>Universidad Nacional Mayor de San Marcos</w:t>
      </w:r>
      <w:r>
        <w:rPr>
          <w:bCs/>
          <w:color w:val="000000"/>
          <w:sz w:val="22"/>
          <w:lang w:val="es-ES"/>
        </w:rPr>
        <w:t>, Lima.</w:t>
      </w:r>
      <w:r w:rsidRPr="003A1C5E">
        <w:rPr>
          <w:bCs/>
          <w:i/>
          <w:iCs/>
          <w:color w:val="000000"/>
          <w:sz w:val="22"/>
          <w:lang w:val="es-ES"/>
        </w:rPr>
        <w:t xml:space="preserve"> </w:t>
      </w:r>
      <w:r w:rsidRPr="00CD201F">
        <w:rPr>
          <w:bCs/>
          <w:i/>
          <w:iCs/>
          <w:color w:val="000000"/>
          <w:sz w:val="22"/>
          <w:lang w:val="es-ES"/>
        </w:rPr>
        <w:t xml:space="preserve">Leishmaniasis en la Región de las Américas. </w:t>
      </w:r>
      <w:r w:rsidRPr="00CD201F">
        <w:rPr>
          <w:bCs/>
          <w:i/>
          <w:iCs/>
          <w:sz w:val="22"/>
          <w:lang w:val="es-ES"/>
        </w:rPr>
        <w:t>Reuni</w:t>
      </w:r>
      <w:r w:rsidRPr="00CD201F">
        <w:rPr>
          <w:bCs/>
          <w:i/>
          <w:iCs/>
          <w:color w:val="000000"/>
          <w:sz w:val="22"/>
          <w:lang w:val="es-ES"/>
        </w:rPr>
        <w:t>ó</w:t>
      </w:r>
      <w:r w:rsidRPr="00CD201F">
        <w:rPr>
          <w:bCs/>
          <w:i/>
          <w:iCs/>
          <w:sz w:val="22"/>
          <w:lang w:val="es-ES"/>
        </w:rPr>
        <w:t>n de coordinadores de Programa Nacional de Leishmaniasis. OPS/OMS. Medell</w:t>
      </w:r>
      <w:r w:rsidRPr="00CD201F">
        <w:rPr>
          <w:bCs/>
          <w:i/>
          <w:iCs/>
          <w:color w:val="000000"/>
          <w:sz w:val="22"/>
          <w:lang w:val="es-ES"/>
        </w:rPr>
        <w:t>í</w:t>
      </w:r>
      <w:r w:rsidRPr="00CD201F">
        <w:rPr>
          <w:bCs/>
          <w:i/>
          <w:iCs/>
          <w:sz w:val="22"/>
          <w:lang w:val="es-ES"/>
        </w:rPr>
        <w:t>n, Colombia. 4-6 junio 2008</w:t>
      </w:r>
      <w:r>
        <w:rPr>
          <w:bCs/>
          <w:i/>
          <w:iCs/>
          <w:sz w:val="22"/>
          <w:lang w:val="es-ES"/>
        </w:rPr>
        <w:t>.</w:t>
      </w:r>
    </w:p>
    <w:p w:rsidR="00CF798D" w:rsidRPr="00AE5BE7" w:rsidRDefault="00CF798D" w:rsidP="00CF798D">
      <w:pPr>
        <w:ind w:left="0" w:firstLine="0"/>
        <w:jc w:val="left"/>
        <w:rPr>
          <w:sz w:val="22"/>
        </w:rPr>
      </w:pPr>
    </w:p>
    <w:p w:rsidR="00CF798D" w:rsidRDefault="00CF798D" w:rsidP="00CF798D">
      <w:pPr>
        <w:pStyle w:val="title1"/>
        <w:shd w:val="clear" w:color="auto" w:fill="FFFFFF"/>
        <w:jc w:val="both"/>
        <w:rPr>
          <w:rFonts w:ascii="Arial" w:hAnsi="Arial" w:cs="Arial"/>
          <w:sz w:val="22"/>
          <w:szCs w:val="22"/>
          <w:lang w:val="es-CO"/>
        </w:rPr>
      </w:pPr>
    </w:p>
    <w:p w:rsidR="00CF798D" w:rsidRPr="00EF4E84" w:rsidRDefault="00CF798D" w:rsidP="00CF798D">
      <w:pPr>
        <w:pStyle w:val="title1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E5BE7">
        <w:rPr>
          <w:rFonts w:ascii="Arial" w:hAnsi="Arial" w:cs="Arial"/>
          <w:sz w:val="22"/>
          <w:szCs w:val="22"/>
          <w:lang w:val="es-CO"/>
        </w:rPr>
        <w:t xml:space="preserve">1. Lucas CM, </w:t>
      </w:r>
      <w:proofErr w:type="spellStart"/>
      <w:r w:rsidRPr="00AE5BE7">
        <w:rPr>
          <w:rFonts w:ascii="Arial" w:hAnsi="Arial" w:cs="Arial"/>
          <w:sz w:val="22"/>
          <w:szCs w:val="22"/>
          <w:lang w:val="es-CO"/>
        </w:rPr>
        <w:t>Franke</w:t>
      </w:r>
      <w:proofErr w:type="spellEnd"/>
      <w:r w:rsidRPr="00AE5BE7">
        <w:rPr>
          <w:rFonts w:ascii="Arial" w:hAnsi="Arial" w:cs="Arial"/>
          <w:sz w:val="22"/>
          <w:szCs w:val="22"/>
          <w:lang w:val="es-CO"/>
        </w:rPr>
        <w:t xml:space="preserve"> ED, Cachay MI, Tejada A, Cruz ME, </w:t>
      </w:r>
      <w:r>
        <w:rPr>
          <w:rFonts w:ascii="Arial" w:hAnsi="Arial" w:cs="Arial"/>
          <w:sz w:val="22"/>
          <w:szCs w:val="22"/>
          <w:lang w:val="es-CO"/>
        </w:rPr>
        <w:t>et al (1998)</w:t>
      </w:r>
      <w:r w:rsidRPr="00AE5BE7">
        <w:rPr>
          <w:rFonts w:ascii="Arial" w:hAnsi="Arial" w:cs="Arial"/>
          <w:sz w:val="22"/>
          <w:szCs w:val="22"/>
          <w:lang w:val="es-CO"/>
        </w:rPr>
        <w:t xml:space="preserve">. </w:t>
      </w:r>
      <w:hyperlink r:id="rId12" w:history="1">
        <w:proofErr w:type="gramStart"/>
        <w:r w:rsidRPr="00AE5BE7">
          <w:rPr>
            <w:rFonts w:ascii="Arial" w:hAnsi="Arial" w:cs="Arial"/>
            <w:sz w:val="22"/>
            <w:szCs w:val="22"/>
          </w:rPr>
          <w:t>Geographic distribution and clinical description of leishmaniasis cases in Peru.</w:t>
        </w:r>
        <w:proofErr w:type="gramEnd"/>
      </w:hyperlink>
      <w:r w:rsidRPr="00AE5BE7">
        <w:rPr>
          <w:rFonts w:ascii="Arial" w:hAnsi="Arial" w:cs="Arial"/>
          <w:sz w:val="22"/>
          <w:szCs w:val="22"/>
        </w:rPr>
        <w:t xml:space="preserve"> </w:t>
      </w:r>
      <w:r w:rsidRPr="00EF4E84">
        <w:rPr>
          <w:rFonts w:ascii="Arial" w:hAnsi="Arial" w:cs="Arial"/>
          <w:sz w:val="22"/>
          <w:szCs w:val="22"/>
        </w:rPr>
        <w:t xml:space="preserve">Am J </w:t>
      </w:r>
      <w:proofErr w:type="spellStart"/>
      <w:r w:rsidRPr="00EF4E84">
        <w:rPr>
          <w:rFonts w:ascii="Arial" w:hAnsi="Arial" w:cs="Arial"/>
          <w:sz w:val="22"/>
          <w:szCs w:val="22"/>
        </w:rPr>
        <w:t>Trop</w:t>
      </w:r>
      <w:proofErr w:type="spellEnd"/>
      <w:r w:rsidRPr="00EF4E84">
        <w:rPr>
          <w:rFonts w:ascii="Arial" w:hAnsi="Arial" w:cs="Arial"/>
          <w:sz w:val="22"/>
          <w:szCs w:val="22"/>
        </w:rPr>
        <w:t xml:space="preserve"> Med </w:t>
      </w:r>
      <w:proofErr w:type="spellStart"/>
      <w:r w:rsidRPr="00EF4E84">
        <w:rPr>
          <w:rFonts w:ascii="Arial" w:hAnsi="Arial" w:cs="Arial"/>
          <w:sz w:val="22"/>
          <w:szCs w:val="22"/>
        </w:rPr>
        <w:t>Hyg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F4E84">
        <w:rPr>
          <w:rFonts w:ascii="Arial" w:hAnsi="Arial" w:cs="Arial"/>
          <w:sz w:val="22"/>
          <w:szCs w:val="22"/>
        </w:rPr>
        <w:t>59(2):312-</w:t>
      </w:r>
      <w:proofErr w:type="gramStart"/>
      <w:r w:rsidRPr="00EF4E8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CF798D" w:rsidRPr="00EF4E84" w:rsidRDefault="00CF798D" w:rsidP="00CF798D">
      <w:pPr>
        <w:pStyle w:val="title1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F798D" w:rsidRPr="00AE5BE7" w:rsidRDefault="00CF798D" w:rsidP="00CF798D">
      <w:pPr>
        <w:shd w:val="clear" w:color="auto" w:fill="FFFFFF"/>
        <w:ind w:left="0" w:firstLine="0"/>
        <w:rPr>
          <w:rFonts w:eastAsia="SimSun"/>
          <w:color w:val="000000"/>
          <w:sz w:val="22"/>
          <w:lang w:val="en-GB" w:eastAsia="zh-CN"/>
        </w:rPr>
      </w:pPr>
      <w:r w:rsidRPr="00EF4E84">
        <w:rPr>
          <w:rFonts w:eastAsia="SimSun"/>
          <w:color w:val="000000"/>
          <w:sz w:val="22"/>
          <w:lang w:val="en-GB" w:eastAsia="zh-CN"/>
        </w:rPr>
        <w:t>2. Davies CR, Llanos-</w:t>
      </w:r>
      <w:proofErr w:type="spellStart"/>
      <w:r w:rsidRPr="00EF4E84">
        <w:rPr>
          <w:rFonts w:eastAsia="SimSun"/>
          <w:color w:val="000000"/>
          <w:sz w:val="22"/>
          <w:lang w:val="en-GB" w:eastAsia="zh-CN"/>
        </w:rPr>
        <w:t>Cuentas</w:t>
      </w:r>
      <w:proofErr w:type="spellEnd"/>
      <w:r w:rsidRPr="00EF4E84">
        <w:rPr>
          <w:rFonts w:eastAsia="SimSun"/>
          <w:color w:val="000000"/>
          <w:sz w:val="22"/>
          <w:lang w:val="en-GB" w:eastAsia="zh-CN"/>
        </w:rPr>
        <w:t xml:space="preserve"> EA, Campos P, </w:t>
      </w:r>
      <w:proofErr w:type="spellStart"/>
      <w:r w:rsidRPr="00EF4E84">
        <w:rPr>
          <w:rFonts w:eastAsia="SimSun"/>
          <w:color w:val="000000"/>
          <w:sz w:val="22"/>
          <w:lang w:val="en-GB" w:eastAsia="zh-CN"/>
        </w:rPr>
        <w:t>Monge</w:t>
      </w:r>
      <w:proofErr w:type="spellEnd"/>
      <w:r w:rsidRPr="00EF4E84">
        <w:rPr>
          <w:rFonts w:eastAsia="SimSun"/>
          <w:color w:val="000000"/>
          <w:sz w:val="22"/>
          <w:lang w:val="en-GB" w:eastAsia="zh-CN"/>
        </w:rPr>
        <w:t xml:space="preserve"> J, </w:t>
      </w:r>
      <w:proofErr w:type="spellStart"/>
      <w:r w:rsidRPr="00EF4E84">
        <w:rPr>
          <w:rFonts w:eastAsia="SimSun"/>
          <w:color w:val="000000"/>
          <w:sz w:val="22"/>
          <w:lang w:val="en-GB" w:eastAsia="zh-CN"/>
        </w:rPr>
        <w:t>Villaseca</w:t>
      </w:r>
      <w:proofErr w:type="spellEnd"/>
      <w:r w:rsidRPr="00EF4E84">
        <w:rPr>
          <w:rFonts w:eastAsia="SimSun"/>
          <w:color w:val="000000"/>
          <w:sz w:val="22"/>
          <w:lang w:val="en-GB" w:eastAsia="zh-CN"/>
        </w:rPr>
        <w:t xml:space="preserve"> P </w:t>
      </w:r>
      <w:r>
        <w:rPr>
          <w:rFonts w:eastAsia="SimSun"/>
          <w:color w:val="000000"/>
          <w:sz w:val="22"/>
          <w:lang w:val="en-GB" w:eastAsia="zh-CN"/>
        </w:rPr>
        <w:t>et al (1997)</w:t>
      </w:r>
      <w:r w:rsidRPr="00EF4E84">
        <w:rPr>
          <w:rFonts w:eastAsia="SimSun"/>
          <w:color w:val="000000"/>
          <w:sz w:val="22"/>
          <w:lang w:val="en-GB" w:eastAsia="zh-CN"/>
        </w:rPr>
        <w:t xml:space="preserve">. </w:t>
      </w:r>
      <w:hyperlink r:id="rId13" w:history="1">
        <w:r w:rsidRPr="00AE5BE7">
          <w:rPr>
            <w:rFonts w:eastAsia="SimSun"/>
            <w:color w:val="000000"/>
            <w:sz w:val="22"/>
            <w:lang w:val="en-GB" w:eastAsia="zh-CN"/>
          </w:rPr>
          <w:t>Cutaneous leishmaniasis in the Peruvian Andes: risk factors identified from a village cohort study.</w:t>
        </w:r>
      </w:hyperlink>
      <w:r w:rsidRPr="00AE5BE7">
        <w:rPr>
          <w:rFonts w:eastAsia="SimSun"/>
          <w:color w:val="000000"/>
          <w:sz w:val="22"/>
          <w:lang w:val="en-GB" w:eastAsia="zh-CN"/>
        </w:rPr>
        <w:t xml:space="preserve"> Am J </w:t>
      </w:r>
      <w:proofErr w:type="spellStart"/>
      <w:r w:rsidRPr="00AE5BE7">
        <w:rPr>
          <w:rFonts w:eastAsia="SimSun"/>
          <w:color w:val="000000"/>
          <w:sz w:val="22"/>
          <w:lang w:val="en-GB" w:eastAsia="zh-CN"/>
        </w:rPr>
        <w:t>Trop</w:t>
      </w:r>
      <w:proofErr w:type="spellEnd"/>
      <w:r w:rsidRPr="00AE5BE7">
        <w:rPr>
          <w:rFonts w:eastAsia="SimSun"/>
          <w:color w:val="000000"/>
          <w:sz w:val="22"/>
          <w:lang w:val="en-GB" w:eastAsia="zh-CN"/>
        </w:rPr>
        <w:t xml:space="preserve"> Med </w:t>
      </w:r>
      <w:proofErr w:type="spellStart"/>
      <w:r w:rsidRPr="00AE5BE7">
        <w:rPr>
          <w:rFonts w:eastAsia="SimSun"/>
          <w:color w:val="000000"/>
          <w:sz w:val="22"/>
          <w:lang w:val="en-GB" w:eastAsia="zh-CN"/>
        </w:rPr>
        <w:t>Hyg</w:t>
      </w:r>
      <w:proofErr w:type="spellEnd"/>
      <w:r>
        <w:rPr>
          <w:rFonts w:eastAsia="SimSun"/>
          <w:color w:val="000000"/>
          <w:sz w:val="22"/>
          <w:lang w:val="en-GB" w:eastAsia="zh-CN"/>
        </w:rPr>
        <w:t xml:space="preserve"> </w:t>
      </w:r>
      <w:r w:rsidRPr="00AE5BE7">
        <w:rPr>
          <w:rFonts w:eastAsia="SimSun"/>
          <w:color w:val="000000"/>
          <w:sz w:val="22"/>
          <w:lang w:val="en-GB" w:eastAsia="zh-CN"/>
        </w:rPr>
        <w:t>56(1):85-</w:t>
      </w:r>
      <w:proofErr w:type="gramStart"/>
      <w:r w:rsidRPr="00AE5BE7">
        <w:rPr>
          <w:rFonts w:eastAsia="SimSun"/>
          <w:color w:val="000000"/>
          <w:sz w:val="22"/>
          <w:lang w:val="en-GB" w:eastAsia="zh-CN"/>
        </w:rPr>
        <w:t>95</w:t>
      </w:r>
      <w:r>
        <w:rPr>
          <w:rFonts w:eastAsia="SimSun"/>
          <w:color w:val="000000"/>
          <w:sz w:val="22"/>
          <w:lang w:val="en-GB" w:eastAsia="zh-CN"/>
        </w:rPr>
        <w:t>.</w:t>
      </w:r>
      <w:proofErr w:type="gramEnd"/>
    </w:p>
    <w:p w:rsidR="00CF798D" w:rsidRPr="00AE5BE7" w:rsidRDefault="00CF798D" w:rsidP="00CF798D">
      <w:pPr>
        <w:shd w:val="clear" w:color="auto" w:fill="FFFFFF"/>
        <w:ind w:left="0" w:firstLine="0"/>
        <w:rPr>
          <w:rFonts w:eastAsia="SimSun"/>
          <w:color w:val="000000"/>
          <w:sz w:val="22"/>
          <w:lang w:val="en-GB" w:eastAsia="zh-CN"/>
        </w:rPr>
      </w:pPr>
    </w:p>
    <w:p w:rsidR="00CF798D" w:rsidRPr="00AE5BE7" w:rsidRDefault="00CF798D" w:rsidP="00CF798D">
      <w:pPr>
        <w:shd w:val="clear" w:color="auto" w:fill="FFFFFF"/>
        <w:ind w:left="0" w:firstLine="0"/>
        <w:rPr>
          <w:rFonts w:eastAsia="SimSun"/>
          <w:color w:val="000000"/>
          <w:sz w:val="22"/>
          <w:lang w:val="en-GB" w:eastAsia="zh-CN"/>
        </w:rPr>
      </w:pPr>
      <w:r w:rsidRPr="00AE5BE7">
        <w:rPr>
          <w:rFonts w:eastAsia="SimSun"/>
          <w:color w:val="000000"/>
          <w:sz w:val="22"/>
          <w:lang w:val="en-GB" w:eastAsia="zh-CN"/>
        </w:rPr>
        <w:t>3. Llanos-</w:t>
      </w:r>
      <w:proofErr w:type="spellStart"/>
      <w:r w:rsidRPr="00AE5BE7">
        <w:rPr>
          <w:rFonts w:eastAsia="SimSun"/>
          <w:color w:val="000000"/>
          <w:sz w:val="22"/>
          <w:lang w:val="en-GB" w:eastAsia="zh-CN"/>
        </w:rPr>
        <w:t>Cuentas</w:t>
      </w:r>
      <w:proofErr w:type="spellEnd"/>
      <w:r w:rsidRPr="00AE5BE7">
        <w:rPr>
          <w:rFonts w:eastAsia="SimSun"/>
          <w:color w:val="000000"/>
          <w:sz w:val="22"/>
          <w:lang w:val="en-GB" w:eastAsia="zh-CN"/>
        </w:rPr>
        <w:t xml:space="preserve"> EA, </w:t>
      </w:r>
      <w:proofErr w:type="spellStart"/>
      <w:r w:rsidRPr="00AE5BE7">
        <w:rPr>
          <w:rFonts w:eastAsia="SimSun"/>
          <w:color w:val="000000"/>
          <w:sz w:val="22"/>
          <w:lang w:val="en-GB" w:eastAsia="zh-CN"/>
        </w:rPr>
        <w:t>Roncal</w:t>
      </w:r>
      <w:proofErr w:type="spellEnd"/>
      <w:r w:rsidRPr="00AE5BE7">
        <w:rPr>
          <w:rFonts w:eastAsia="SimSun"/>
          <w:color w:val="000000"/>
          <w:sz w:val="22"/>
          <w:lang w:val="en-GB" w:eastAsia="zh-CN"/>
        </w:rPr>
        <w:t xml:space="preserve"> N, </w:t>
      </w:r>
      <w:proofErr w:type="spellStart"/>
      <w:r w:rsidRPr="00AE5BE7">
        <w:rPr>
          <w:rFonts w:eastAsia="SimSun"/>
          <w:color w:val="000000"/>
          <w:sz w:val="22"/>
          <w:lang w:val="en-GB" w:eastAsia="zh-CN"/>
        </w:rPr>
        <w:t>Villaseca</w:t>
      </w:r>
      <w:proofErr w:type="spellEnd"/>
      <w:r w:rsidRPr="00AE5BE7">
        <w:rPr>
          <w:rFonts w:eastAsia="SimSun"/>
          <w:color w:val="000000"/>
          <w:sz w:val="22"/>
          <w:lang w:val="en-GB" w:eastAsia="zh-CN"/>
        </w:rPr>
        <w:t xml:space="preserve"> P, Paz L, </w:t>
      </w:r>
      <w:proofErr w:type="spellStart"/>
      <w:r w:rsidRPr="00AE5BE7">
        <w:rPr>
          <w:rFonts w:eastAsia="SimSun"/>
          <w:color w:val="000000"/>
          <w:sz w:val="22"/>
          <w:lang w:val="en-GB" w:eastAsia="zh-CN"/>
        </w:rPr>
        <w:t>Ogusuku</w:t>
      </w:r>
      <w:proofErr w:type="spellEnd"/>
      <w:r w:rsidRPr="00AE5BE7">
        <w:rPr>
          <w:rFonts w:eastAsia="SimSun"/>
          <w:color w:val="000000"/>
          <w:sz w:val="22"/>
          <w:lang w:val="en-GB" w:eastAsia="zh-CN"/>
        </w:rPr>
        <w:t xml:space="preserve"> E </w:t>
      </w:r>
      <w:r>
        <w:rPr>
          <w:rFonts w:eastAsia="SimSun"/>
          <w:color w:val="000000"/>
          <w:sz w:val="22"/>
          <w:lang w:val="en-GB" w:eastAsia="zh-CN"/>
        </w:rPr>
        <w:t>et al (1999)</w:t>
      </w:r>
      <w:r w:rsidRPr="00AE5BE7">
        <w:rPr>
          <w:rFonts w:eastAsia="SimSun"/>
          <w:color w:val="000000"/>
          <w:sz w:val="22"/>
          <w:lang w:val="en-GB" w:eastAsia="zh-CN"/>
        </w:rPr>
        <w:t xml:space="preserve">. </w:t>
      </w:r>
      <w:hyperlink r:id="rId14" w:history="1">
        <w:proofErr w:type="gramStart"/>
        <w:r w:rsidRPr="00AE5BE7">
          <w:rPr>
            <w:rFonts w:eastAsia="SimSun"/>
            <w:color w:val="000000"/>
            <w:sz w:val="22"/>
            <w:lang w:val="en-GB" w:eastAsia="zh-CN"/>
          </w:rPr>
          <w:t>Natural infections of Leishmania peruviana in animals in the Peruvian Andes.</w:t>
        </w:r>
        <w:proofErr w:type="gramEnd"/>
      </w:hyperlink>
      <w:r w:rsidRPr="00AE5BE7">
        <w:rPr>
          <w:rFonts w:eastAsia="SimSun"/>
          <w:color w:val="000000"/>
          <w:sz w:val="22"/>
          <w:lang w:val="en-GB" w:eastAsia="zh-CN"/>
        </w:rPr>
        <w:t xml:space="preserve"> Trans R Soc </w:t>
      </w:r>
      <w:proofErr w:type="spellStart"/>
      <w:r w:rsidRPr="00AE5BE7">
        <w:rPr>
          <w:rFonts w:eastAsia="SimSun"/>
          <w:color w:val="000000"/>
          <w:sz w:val="22"/>
          <w:lang w:val="en-GB" w:eastAsia="zh-CN"/>
        </w:rPr>
        <w:t>Trop</w:t>
      </w:r>
      <w:proofErr w:type="spellEnd"/>
      <w:r w:rsidRPr="00AE5BE7">
        <w:rPr>
          <w:rFonts w:eastAsia="SimSun"/>
          <w:color w:val="000000"/>
          <w:sz w:val="22"/>
          <w:lang w:val="en-GB" w:eastAsia="zh-CN"/>
        </w:rPr>
        <w:t xml:space="preserve"> Med </w:t>
      </w:r>
      <w:proofErr w:type="spellStart"/>
      <w:r w:rsidRPr="00AE5BE7">
        <w:rPr>
          <w:rFonts w:eastAsia="SimSun"/>
          <w:color w:val="000000"/>
          <w:sz w:val="22"/>
          <w:lang w:val="en-GB" w:eastAsia="zh-CN"/>
        </w:rPr>
        <w:t>Hyg</w:t>
      </w:r>
      <w:proofErr w:type="spellEnd"/>
      <w:r>
        <w:rPr>
          <w:rFonts w:eastAsia="SimSun"/>
          <w:color w:val="000000"/>
          <w:sz w:val="22"/>
          <w:lang w:val="en-GB" w:eastAsia="zh-CN"/>
        </w:rPr>
        <w:t xml:space="preserve"> </w:t>
      </w:r>
      <w:r w:rsidRPr="00AE5BE7">
        <w:rPr>
          <w:rFonts w:eastAsia="SimSun"/>
          <w:color w:val="000000"/>
          <w:sz w:val="22"/>
          <w:lang w:val="en-GB" w:eastAsia="zh-CN"/>
        </w:rPr>
        <w:t>93(1):15-20</w:t>
      </w:r>
      <w:r>
        <w:rPr>
          <w:rFonts w:eastAsia="SimSun"/>
          <w:color w:val="000000"/>
          <w:sz w:val="22"/>
          <w:lang w:val="en-GB" w:eastAsia="zh-CN"/>
        </w:rPr>
        <w:t>.</w:t>
      </w:r>
    </w:p>
    <w:p w:rsidR="00CF798D" w:rsidRPr="00AE5BE7" w:rsidRDefault="00CF798D" w:rsidP="00CF798D">
      <w:pPr>
        <w:shd w:val="clear" w:color="auto" w:fill="FFFFFF"/>
        <w:ind w:left="0" w:firstLine="0"/>
        <w:rPr>
          <w:rFonts w:eastAsia="SimSun"/>
          <w:color w:val="000000"/>
          <w:sz w:val="22"/>
          <w:lang w:val="en-GB" w:eastAsia="zh-CN"/>
        </w:rPr>
      </w:pPr>
    </w:p>
    <w:p w:rsidR="00CF798D" w:rsidRDefault="00CF798D" w:rsidP="00CF798D">
      <w:pPr>
        <w:shd w:val="clear" w:color="auto" w:fill="FFFFFF"/>
        <w:ind w:left="0" w:firstLine="0"/>
        <w:rPr>
          <w:rFonts w:eastAsia="SimSun"/>
          <w:color w:val="000000"/>
          <w:sz w:val="22"/>
          <w:lang w:val="en-GB" w:eastAsia="zh-CN"/>
        </w:rPr>
      </w:pPr>
      <w:r w:rsidRPr="00AE5BE7">
        <w:rPr>
          <w:rFonts w:eastAsia="SimSun"/>
          <w:color w:val="000000"/>
          <w:sz w:val="22"/>
          <w:lang w:val="en-GB" w:eastAsia="zh-CN"/>
        </w:rPr>
        <w:lastRenderedPageBreak/>
        <w:t xml:space="preserve">4. </w:t>
      </w:r>
      <w:proofErr w:type="spellStart"/>
      <w:r w:rsidRPr="00AE5BE7">
        <w:rPr>
          <w:rFonts w:eastAsia="SimSun"/>
          <w:color w:val="000000"/>
          <w:sz w:val="22"/>
          <w:lang w:val="en-GB" w:eastAsia="zh-CN"/>
        </w:rPr>
        <w:t>Reithinger</w:t>
      </w:r>
      <w:proofErr w:type="spellEnd"/>
      <w:r w:rsidRPr="00AE5BE7">
        <w:rPr>
          <w:rFonts w:eastAsia="SimSun"/>
          <w:color w:val="000000"/>
          <w:sz w:val="22"/>
          <w:lang w:val="en-GB" w:eastAsia="zh-CN"/>
        </w:rPr>
        <w:t xml:space="preserve"> R, Canales Espinoza J, Llanos-</w:t>
      </w:r>
      <w:proofErr w:type="spellStart"/>
      <w:r w:rsidRPr="00AE5BE7">
        <w:rPr>
          <w:rFonts w:eastAsia="SimSun"/>
          <w:color w:val="000000"/>
          <w:sz w:val="22"/>
          <w:lang w:val="en-GB" w:eastAsia="zh-CN"/>
        </w:rPr>
        <w:t>Cuentas</w:t>
      </w:r>
      <w:proofErr w:type="spellEnd"/>
      <w:r w:rsidRPr="00AE5BE7">
        <w:rPr>
          <w:rFonts w:eastAsia="SimSun"/>
          <w:color w:val="000000"/>
          <w:sz w:val="22"/>
          <w:lang w:val="en-GB" w:eastAsia="zh-CN"/>
        </w:rPr>
        <w:t xml:space="preserve"> A, Davies CR</w:t>
      </w:r>
      <w:r>
        <w:rPr>
          <w:rFonts w:eastAsia="SimSun"/>
          <w:color w:val="000000"/>
          <w:sz w:val="22"/>
          <w:lang w:val="en-GB" w:eastAsia="zh-CN"/>
        </w:rPr>
        <w:t xml:space="preserve"> (2003)</w:t>
      </w:r>
      <w:r w:rsidRPr="00AE5BE7">
        <w:rPr>
          <w:rFonts w:eastAsia="SimSun"/>
          <w:color w:val="000000"/>
          <w:sz w:val="22"/>
          <w:lang w:val="en-GB" w:eastAsia="zh-CN"/>
        </w:rPr>
        <w:t xml:space="preserve">. </w:t>
      </w:r>
      <w:hyperlink r:id="rId15" w:history="1">
        <w:r w:rsidRPr="00AE5BE7">
          <w:rPr>
            <w:rFonts w:eastAsia="SimSun"/>
            <w:color w:val="000000"/>
            <w:sz w:val="22"/>
            <w:lang w:val="en-GB" w:eastAsia="zh-CN"/>
          </w:rPr>
          <w:t>Domestic dog ownership: a risk factor for human infection with Leishmania (Viannia) species.</w:t>
        </w:r>
      </w:hyperlink>
      <w:r w:rsidRPr="00AE5BE7">
        <w:rPr>
          <w:rFonts w:eastAsia="SimSun"/>
          <w:color w:val="000000"/>
          <w:sz w:val="22"/>
          <w:lang w:val="en-GB" w:eastAsia="zh-CN"/>
        </w:rPr>
        <w:t xml:space="preserve"> Trans R Soc </w:t>
      </w:r>
      <w:proofErr w:type="spellStart"/>
      <w:r w:rsidRPr="00AE5BE7">
        <w:rPr>
          <w:rFonts w:eastAsia="SimSun"/>
          <w:color w:val="000000"/>
          <w:sz w:val="22"/>
          <w:lang w:val="en-GB" w:eastAsia="zh-CN"/>
        </w:rPr>
        <w:t>Trop</w:t>
      </w:r>
      <w:proofErr w:type="spellEnd"/>
      <w:r w:rsidRPr="00AE5BE7">
        <w:rPr>
          <w:rFonts w:eastAsia="SimSun"/>
          <w:color w:val="000000"/>
          <w:sz w:val="22"/>
          <w:lang w:val="en-GB" w:eastAsia="zh-CN"/>
        </w:rPr>
        <w:t xml:space="preserve"> Med </w:t>
      </w:r>
      <w:proofErr w:type="spellStart"/>
      <w:r w:rsidRPr="00AE5BE7">
        <w:rPr>
          <w:rFonts w:eastAsia="SimSun"/>
          <w:color w:val="000000"/>
          <w:sz w:val="22"/>
          <w:lang w:val="en-GB" w:eastAsia="zh-CN"/>
        </w:rPr>
        <w:t>Hyg</w:t>
      </w:r>
      <w:proofErr w:type="spellEnd"/>
      <w:r>
        <w:rPr>
          <w:rFonts w:eastAsia="SimSun"/>
          <w:color w:val="000000"/>
          <w:sz w:val="22"/>
          <w:lang w:val="en-GB" w:eastAsia="zh-CN"/>
        </w:rPr>
        <w:t xml:space="preserve"> </w:t>
      </w:r>
      <w:r w:rsidRPr="00AE5BE7">
        <w:rPr>
          <w:rFonts w:eastAsia="SimSun"/>
          <w:color w:val="000000"/>
          <w:sz w:val="22"/>
          <w:lang w:val="en-GB" w:eastAsia="zh-CN"/>
        </w:rPr>
        <w:t>97(2):141-5</w:t>
      </w:r>
      <w:r>
        <w:rPr>
          <w:rFonts w:eastAsia="SimSun"/>
          <w:color w:val="000000"/>
          <w:sz w:val="22"/>
          <w:lang w:val="en-GB" w:eastAsia="zh-CN"/>
        </w:rPr>
        <w:t>.</w:t>
      </w:r>
    </w:p>
    <w:sectPr w:rsidR="00CF798D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38B2"/>
    <w:multiLevelType w:val="hybridMultilevel"/>
    <w:tmpl w:val="A90A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798D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065A8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CF798D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8D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title1">
    <w:name w:val="title1"/>
    <w:basedOn w:val="Normal"/>
    <w:rsid w:val="00CF798D"/>
    <w:pPr>
      <w:ind w:left="0" w:firstLine="0"/>
      <w:jc w:val="left"/>
    </w:pPr>
    <w:rPr>
      <w:rFonts w:ascii="Times New Roman" w:eastAsia="SimSun" w:hAnsi="Times New Roman" w:cs="Times New Roman"/>
      <w:sz w:val="29"/>
      <w:szCs w:val="29"/>
      <w:lang w:val="en-GB" w:eastAsia="zh-CN"/>
    </w:rPr>
  </w:style>
  <w:style w:type="paragraph" w:styleId="BodyText">
    <w:name w:val="Body Text"/>
    <w:basedOn w:val="Normal"/>
    <w:link w:val="BodyTextChar"/>
    <w:rsid w:val="00CF798D"/>
    <w:pPr>
      <w:spacing w:after="120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F79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8D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ncbi.nlm.nih.gov/pubmed/90633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ncbi.nlm.nih.gov/pubmed/971595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2.xml"/><Relationship Id="rId5" Type="http://schemas.openxmlformats.org/officeDocument/2006/relationships/image" Target="media/image1.jpeg"/><Relationship Id="rId15" Type="http://schemas.openxmlformats.org/officeDocument/2006/relationships/hyperlink" Target="http://www.ncbi.nlm.nih.gov/pubmed/14584365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ncbi.nlm.nih.gov/pubmed/1049277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5819861431870699E-2"/>
          <c:y val="7.6335877862595422E-2"/>
          <c:w val="0.92263279445727486"/>
          <c:h val="0.729007633587786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0066CC"/>
            </a:solidFill>
            <a:ln w="12662">
              <a:solidFill>
                <a:srgbClr val="000000"/>
              </a:solidFill>
              <a:prstDash val="solid"/>
            </a:ln>
          </c:spPr>
          <c:cat>
            <c:numRef>
              <c:f>Sheet1!$B$1:$W$1</c:f>
              <c:numCache>
                <c:formatCode>General</c:formatCode>
                <c:ptCount val="21"/>
                <c:pt idx="0">
                  <c:v>1950</c:v>
                </c:pt>
                <c:pt idx="1">
                  <c:v>1955</c:v>
                </c:pt>
                <c:pt idx="2">
                  <c:v>1960</c:v>
                </c:pt>
                <c:pt idx="3">
                  <c:v>1965</c:v>
                </c:pt>
                <c:pt idx="4">
                  <c:v>1970</c:v>
                </c:pt>
                <c:pt idx="5">
                  <c:v>1975</c:v>
                </c:pt>
                <c:pt idx="6">
                  <c:v>1980</c:v>
                </c:pt>
                <c:pt idx="7">
                  <c:v>1985</c:v>
                </c:pt>
                <c:pt idx="8">
                  <c:v>1990</c:v>
                </c:pt>
                <c:pt idx="10">
                  <c:v>1994</c:v>
                </c:pt>
                <c:pt idx="11">
                  <c:v>1995</c:v>
                </c:pt>
                <c:pt idx="12">
                  <c:v>1996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numCache>
            </c:numRef>
          </c:cat>
          <c:val>
            <c:numRef>
              <c:f>Sheet1!$B$2:$W$2</c:f>
              <c:numCache>
                <c:formatCode>General</c:formatCode>
                <c:ptCount val="21"/>
                <c:pt idx="0">
                  <c:v>541</c:v>
                </c:pt>
                <c:pt idx="1">
                  <c:v>527</c:v>
                </c:pt>
                <c:pt idx="2">
                  <c:v>935</c:v>
                </c:pt>
                <c:pt idx="3">
                  <c:v>907</c:v>
                </c:pt>
                <c:pt idx="4">
                  <c:v>1132</c:v>
                </c:pt>
                <c:pt idx="5">
                  <c:v>1246</c:v>
                </c:pt>
                <c:pt idx="6">
                  <c:v>737</c:v>
                </c:pt>
                <c:pt idx="7">
                  <c:v>2410</c:v>
                </c:pt>
                <c:pt idx="8">
                  <c:v>5082</c:v>
                </c:pt>
                <c:pt idx="10">
                  <c:v>9017</c:v>
                </c:pt>
                <c:pt idx="11">
                  <c:v>7343</c:v>
                </c:pt>
                <c:pt idx="12">
                  <c:v>7756</c:v>
                </c:pt>
                <c:pt idx="14">
                  <c:v>5870</c:v>
                </c:pt>
                <c:pt idx="15">
                  <c:v>6984</c:v>
                </c:pt>
                <c:pt idx="16">
                  <c:v>9022</c:v>
                </c:pt>
                <c:pt idx="17">
                  <c:v>10182</c:v>
                </c:pt>
                <c:pt idx="18">
                  <c:v>9650</c:v>
                </c:pt>
                <c:pt idx="19">
                  <c:v>8148</c:v>
                </c:pt>
                <c:pt idx="20">
                  <c:v>8232</c:v>
                </c:pt>
              </c:numCache>
            </c:numRef>
          </c:val>
        </c:ser>
        <c:gapDepth val="0"/>
        <c:shape val="box"/>
        <c:axId val="285530752"/>
        <c:axId val="372769536"/>
        <c:axId val="0"/>
      </c:bar3DChart>
      <c:catAx>
        <c:axId val="285530752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72769536"/>
        <c:crosses val="autoZero"/>
        <c:auto val="1"/>
        <c:lblAlgn val="ctr"/>
        <c:lblOffset val="100"/>
        <c:tickLblSkip val="2"/>
        <c:tickMarkSkip val="1"/>
      </c:catAx>
      <c:valAx>
        <c:axId val="372769536"/>
        <c:scaling>
          <c:orientation val="minMax"/>
        </c:scaling>
        <c:axPos val="l"/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55307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4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2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2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4357682619647361"/>
          <c:y val="8.4415584415584416E-2"/>
          <c:w val="0.83123425692695219"/>
          <c:h val="0.5844155844155843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0066CC"/>
            </a:solidFill>
            <a:ln w="12704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Sheet1!$B$2:$V$2</c:f>
              <c:numCache>
                <c:formatCode>General</c:formatCode>
                <c:ptCount val="5"/>
                <c:pt idx="0">
                  <c:v>546</c:v>
                </c:pt>
                <c:pt idx="1">
                  <c:v>541</c:v>
                </c:pt>
                <c:pt idx="2">
                  <c:v>461</c:v>
                </c:pt>
                <c:pt idx="3">
                  <c:v>483</c:v>
                </c:pt>
                <c:pt idx="4">
                  <c:v>448</c:v>
                </c:pt>
              </c:numCache>
            </c:numRef>
          </c:val>
        </c:ser>
        <c:gapDepth val="0"/>
        <c:shape val="box"/>
        <c:axId val="386066304"/>
        <c:axId val="386067840"/>
        <c:axId val="0"/>
      </c:bar3DChart>
      <c:catAx>
        <c:axId val="386066304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86067840"/>
        <c:crosses val="autoZero"/>
        <c:auto val="1"/>
        <c:lblAlgn val="ctr"/>
        <c:lblOffset val="100"/>
        <c:tickLblSkip val="1"/>
        <c:tickMarkSkip val="1"/>
      </c:catAx>
      <c:valAx>
        <c:axId val="386067840"/>
        <c:scaling>
          <c:orientation val="minMax"/>
        </c:scaling>
        <c:axPos val="l"/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860663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40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6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2012-04-02T12:52:00Z</dcterms:created>
  <dcterms:modified xsi:type="dcterms:W3CDTF">2012-04-02T12:55:00Z</dcterms:modified>
</cp:coreProperties>
</file>