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80" w:rsidRPr="002C75B8" w:rsidRDefault="00E92380" w:rsidP="00E92380">
      <w:pPr>
        <w:spacing w:line="480" w:lineRule="auto"/>
        <w:ind w:left="0" w:firstLine="0"/>
        <w:rPr>
          <w:b/>
          <w:sz w:val="22"/>
          <w:u w:val="single"/>
          <w:lang w:val="en-US"/>
        </w:rPr>
      </w:pPr>
      <w:smartTag w:uri="urn:schemas-microsoft-com:office:smarttags" w:element="place">
        <w:smartTag w:uri="urn:schemas-microsoft-com:office:smarttags" w:element="country-region">
          <w:r w:rsidRPr="002C75B8">
            <w:rPr>
              <w:b/>
              <w:sz w:val="22"/>
              <w:u w:val="single"/>
              <w:lang w:val="en-US"/>
            </w:rPr>
            <w:t>JORDAN</w:t>
          </w:r>
        </w:smartTag>
      </w:smartTag>
      <w:r w:rsidRPr="002C75B8">
        <w:rPr>
          <w:b/>
          <w:sz w:val="22"/>
          <w:u w:val="single"/>
          <w:lang w:val="en-US"/>
        </w:rPr>
        <w:t xml:space="preserve"> </w:t>
      </w:r>
    </w:p>
    <w:p w:rsidR="00E92380" w:rsidRPr="002C75B8" w:rsidRDefault="00E92380" w:rsidP="00E92380">
      <w:pPr>
        <w:ind w:left="0" w:firstLine="0"/>
        <w:rPr>
          <w:b/>
          <w:sz w:val="22"/>
          <w:lang w:val="en-US"/>
        </w:rPr>
      </w:pPr>
      <w:r>
        <w:rPr>
          <w:b/>
          <w:noProof/>
          <w:sz w:val="22"/>
          <w:lang w:val="en-US"/>
        </w:rPr>
        <w:drawing>
          <wp:inline distT="0" distB="0" distL="0" distR="0">
            <wp:extent cx="2971800" cy="19913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71800" cy="1991360"/>
                    </a:xfrm>
                    <a:prstGeom prst="rect">
                      <a:avLst/>
                    </a:prstGeom>
                    <a:noFill/>
                    <a:ln w="9525">
                      <a:noFill/>
                      <a:miter lim="800000"/>
                      <a:headEnd/>
                      <a:tailEnd/>
                    </a:ln>
                  </pic:spPr>
                </pic:pic>
              </a:graphicData>
            </a:graphic>
          </wp:inline>
        </w:drawing>
      </w:r>
    </w:p>
    <w:p w:rsidR="00E92380" w:rsidRDefault="00E92380" w:rsidP="00E92380">
      <w:pPr>
        <w:ind w:left="0" w:firstLine="0"/>
        <w:rPr>
          <w:b/>
          <w:sz w:val="22"/>
          <w:lang w:val="en-US"/>
        </w:rPr>
      </w:pPr>
    </w:p>
    <w:p w:rsidR="00E92380" w:rsidRDefault="00E92380" w:rsidP="00E92380">
      <w:pPr>
        <w:ind w:left="0" w:firstLine="0"/>
        <w:rPr>
          <w:b/>
          <w:sz w:val="22"/>
          <w:lang w:val="en-US"/>
        </w:rPr>
      </w:pPr>
    </w:p>
    <w:p w:rsidR="00E92380" w:rsidRPr="002C75B8" w:rsidRDefault="00E92380" w:rsidP="00E92380">
      <w:pPr>
        <w:ind w:left="0" w:firstLine="0"/>
        <w:rPr>
          <w:b/>
          <w:sz w:val="22"/>
          <w:lang w:val="en-US"/>
        </w:rPr>
      </w:pPr>
      <w:r w:rsidRPr="002C75B8">
        <w:rPr>
          <w:b/>
          <w:sz w:val="22"/>
          <w:lang w:val="en-US"/>
        </w:rPr>
        <w:t>BASIC COUNTRY DATA</w:t>
      </w:r>
    </w:p>
    <w:p w:rsidR="00E92380" w:rsidRPr="002C75B8" w:rsidRDefault="00E92380" w:rsidP="00E92380">
      <w:pPr>
        <w:ind w:left="0" w:firstLine="0"/>
        <w:rPr>
          <w:sz w:val="22"/>
          <w:lang w:val="en-US"/>
        </w:rPr>
      </w:pPr>
    </w:p>
    <w:p w:rsidR="00E92380" w:rsidRPr="002C75B8" w:rsidRDefault="00E92380" w:rsidP="00E92380">
      <w:pPr>
        <w:ind w:left="0" w:firstLine="0"/>
        <w:rPr>
          <w:sz w:val="22"/>
          <w:lang w:val="en-US"/>
        </w:rPr>
      </w:pPr>
      <w:r w:rsidRPr="002C75B8">
        <w:rPr>
          <w:sz w:val="22"/>
          <w:lang w:val="en-US"/>
        </w:rPr>
        <w:t xml:space="preserve">Total Population: </w:t>
      </w:r>
      <w:r>
        <w:rPr>
          <w:sz w:val="22"/>
          <w:lang w:val="en-US"/>
        </w:rPr>
        <w:t>6,047,0</w:t>
      </w:r>
      <w:r w:rsidRPr="002C75B8">
        <w:rPr>
          <w:sz w:val="22"/>
          <w:lang w:val="en-US"/>
        </w:rPr>
        <w:t xml:space="preserve">00 </w:t>
      </w:r>
    </w:p>
    <w:p w:rsidR="00E92380" w:rsidRPr="002C75B8" w:rsidRDefault="00E92380" w:rsidP="00E92380">
      <w:pPr>
        <w:ind w:left="0" w:firstLine="0"/>
        <w:rPr>
          <w:sz w:val="22"/>
          <w:lang w:val="en-US"/>
        </w:rPr>
      </w:pPr>
      <w:r w:rsidRPr="002C75B8">
        <w:rPr>
          <w:sz w:val="22"/>
          <w:lang w:val="en-US"/>
        </w:rPr>
        <w:t>Population 0-14 years: 3</w:t>
      </w:r>
      <w:r>
        <w:rPr>
          <w:sz w:val="22"/>
          <w:lang w:val="en-US"/>
        </w:rPr>
        <w:t>8</w:t>
      </w:r>
      <w:r w:rsidRPr="002C75B8">
        <w:rPr>
          <w:sz w:val="22"/>
          <w:lang w:val="en-US"/>
        </w:rPr>
        <w:t xml:space="preserve">% </w:t>
      </w:r>
    </w:p>
    <w:p w:rsidR="00E92380" w:rsidRPr="002C75B8" w:rsidRDefault="00E92380" w:rsidP="00E92380">
      <w:pPr>
        <w:ind w:left="0" w:firstLine="0"/>
        <w:rPr>
          <w:sz w:val="22"/>
          <w:lang w:val="en-US"/>
        </w:rPr>
      </w:pPr>
      <w:r w:rsidRPr="002C75B8">
        <w:rPr>
          <w:sz w:val="22"/>
          <w:lang w:val="en-US"/>
        </w:rPr>
        <w:t xml:space="preserve">Rural population: </w:t>
      </w:r>
      <w:r>
        <w:rPr>
          <w:sz w:val="22"/>
          <w:lang w:val="en-US"/>
        </w:rPr>
        <w:t>22</w:t>
      </w:r>
      <w:r w:rsidRPr="002C75B8">
        <w:rPr>
          <w:sz w:val="22"/>
          <w:lang w:val="en-US"/>
        </w:rPr>
        <w:t xml:space="preserve">% </w:t>
      </w:r>
    </w:p>
    <w:p w:rsidR="00E92380" w:rsidRPr="002C75B8" w:rsidRDefault="00E92380" w:rsidP="00E92380">
      <w:pPr>
        <w:ind w:left="0" w:firstLine="0"/>
        <w:rPr>
          <w:sz w:val="22"/>
          <w:lang w:val="en-US"/>
        </w:rPr>
      </w:pPr>
      <w:r w:rsidRPr="002C75B8">
        <w:rPr>
          <w:sz w:val="22"/>
          <w:lang w:val="en-US"/>
        </w:rPr>
        <w:t>Population living under USD 1</w:t>
      </w:r>
      <w:r>
        <w:rPr>
          <w:sz w:val="22"/>
          <w:lang w:val="en-US"/>
        </w:rPr>
        <w:t>.</w:t>
      </w:r>
      <w:r w:rsidRPr="002C75B8">
        <w:rPr>
          <w:sz w:val="22"/>
          <w:lang w:val="en-US"/>
        </w:rPr>
        <w:t xml:space="preserve">25 a day: </w:t>
      </w:r>
      <w:r>
        <w:rPr>
          <w:sz w:val="22"/>
          <w:lang w:val="en-US"/>
        </w:rPr>
        <w:t>0.4%</w:t>
      </w:r>
    </w:p>
    <w:p w:rsidR="00E92380" w:rsidRPr="002C75B8" w:rsidRDefault="00E92380" w:rsidP="00E92380">
      <w:pPr>
        <w:ind w:left="0" w:firstLine="0"/>
        <w:rPr>
          <w:sz w:val="22"/>
          <w:lang w:val="en-US"/>
        </w:rPr>
      </w:pPr>
      <w:r w:rsidRPr="002C75B8">
        <w:rPr>
          <w:sz w:val="22"/>
          <w:lang w:val="en-US"/>
        </w:rPr>
        <w:t>Population living under the national poverty line: 1</w:t>
      </w:r>
      <w:r>
        <w:rPr>
          <w:sz w:val="22"/>
          <w:lang w:val="en-US"/>
        </w:rPr>
        <w:t>3.3</w:t>
      </w:r>
      <w:r w:rsidRPr="002C75B8">
        <w:rPr>
          <w:sz w:val="22"/>
          <w:lang w:val="en-US"/>
        </w:rPr>
        <w:t xml:space="preserve">% </w:t>
      </w:r>
    </w:p>
    <w:p w:rsidR="00E92380" w:rsidRPr="002C75B8" w:rsidRDefault="00E92380" w:rsidP="00E92380">
      <w:pPr>
        <w:tabs>
          <w:tab w:val="left" w:pos="1905"/>
        </w:tabs>
        <w:ind w:left="0" w:firstLine="0"/>
        <w:rPr>
          <w:sz w:val="22"/>
          <w:vertAlign w:val="superscript"/>
          <w:lang w:val="en-US"/>
        </w:rPr>
      </w:pPr>
      <w:r w:rsidRPr="002C75B8">
        <w:rPr>
          <w:sz w:val="22"/>
          <w:lang w:val="en-US"/>
        </w:rPr>
        <w:t xml:space="preserve">Income status: </w:t>
      </w:r>
      <w:r>
        <w:rPr>
          <w:sz w:val="22"/>
          <w:lang w:val="en-US"/>
        </w:rPr>
        <w:t>Upper</w:t>
      </w:r>
      <w:r w:rsidRPr="002C75B8">
        <w:rPr>
          <w:sz w:val="22"/>
          <w:lang w:val="en-US"/>
        </w:rPr>
        <w:t xml:space="preserve"> middle income economy </w:t>
      </w:r>
    </w:p>
    <w:p w:rsidR="00E92380" w:rsidRPr="002C75B8" w:rsidRDefault="00E92380" w:rsidP="00E92380">
      <w:pPr>
        <w:ind w:left="0" w:firstLine="0"/>
        <w:rPr>
          <w:sz w:val="22"/>
          <w:lang w:val="en-US"/>
        </w:rPr>
      </w:pPr>
      <w:r w:rsidRPr="002C75B8">
        <w:rPr>
          <w:sz w:val="22"/>
          <w:lang w:val="en-US"/>
        </w:rPr>
        <w:t>Ranking: Medium human development (ranking 9</w:t>
      </w:r>
      <w:r>
        <w:rPr>
          <w:sz w:val="22"/>
          <w:lang w:val="en-US"/>
        </w:rPr>
        <w:t>5</w:t>
      </w:r>
      <w:r w:rsidRPr="002C75B8">
        <w:rPr>
          <w:sz w:val="22"/>
          <w:lang w:val="en-US"/>
        </w:rPr>
        <w:t>)</w:t>
      </w:r>
    </w:p>
    <w:p w:rsidR="00E92380" w:rsidRPr="002C75B8" w:rsidRDefault="00E92380" w:rsidP="00E92380">
      <w:pPr>
        <w:ind w:left="0" w:firstLine="0"/>
        <w:rPr>
          <w:sz w:val="22"/>
          <w:lang w:val="en-US"/>
        </w:rPr>
      </w:pPr>
      <w:r w:rsidRPr="002C75B8">
        <w:rPr>
          <w:sz w:val="22"/>
          <w:lang w:val="en-US"/>
        </w:rPr>
        <w:t>Per capita total expenditure on health at average exchange rate (US dollar): 3</w:t>
      </w:r>
      <w:r>
        <w:rPr>
          <w:sz w:val="22"/>
          <w:lang w:val="en-US"/>
        </w:rPr>
        <w:t>36</w:t>
      </w:r>
      <w:r w:rsidRPr="002C75B8">
        <w:rPr>
          <w:sz w:val="22"/>
          <w:lang w:val="en-US"/>
        </w:rPr>
        <w:t xml:space="preserve"> </w:t>
      </w:r>
    </w:p>
    <w:p w:rsidR="00E92380" w:rsidRPr="002C75B8" w:rsidRDefault="00E92380" w:rsidP="00E92380">
      <w:pPr>
        <w:ind w:left="0" w:firstLine="0"/>
        <w:rPr>
          <w:sz w:val="22"/>
          <w:lang w:val="en-US"/>
        </w:rPr>
      </w:pPr>
      <w:r w:rsidRPr="002C75B8">
        <w:rPr>
          <w:sz w:val="22"/>
          <w:lang w:val="en-US"/>
        </w:rPr>
        <w:t>Life expectancy at birth (years): 7</w:t>
      </w:r>
      <w:r>
        <w:rPr>
          <w:sz w:val="22"/>
          <w:lang w:val="en-US"/>
        </w:rPr>
        <w:t>3</w:t>
      </w:r>
    </w:p>
    <w:p w:rsidR="00E92380" w:rsidRPr="002C75B8" w:rsidRDefault="00E92380" w:rsidP="00E92380">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61 </w:t>
      </w:r>
    </w:p>
    <w:p w:rsidR="00E92380" w:rsidRPr="002C75B8" w:rsidRDefault="00E92380" w:rsidP="00E92380">
      <w:pPr>
        <w:ind w:left="0" w:firstLine="0"/>
        <w:rPr>
          <w:sz w:val="22"/>
          <w:lang w:val="en-US"/>
        </w:rPr>
      </w:pPr>
    </w:p>
    <w:p w:rsidR="00E92380" w:rsidRPr="002C75B8" w:rsidRDefault="00E92380" w:rsidP="00E92380">
      <w:pPr>
        <w:ind w:left="0" w:firstLine="0"/>
        <w:rPr>
          <w:b/>
          <w:sz w:val="22"/>
          <w:lang w:val="en-US"/>
        </w:rPr>
      </w:pPr>
    </w:p>
    <w:p w:rsidR="00E92380" w:rsidRPr="002C75B8" w:rsidRDefault="00E92380" w:rsidP="00E92380">
      <w:pPr>
        <w:ind w:left="0" w:firstLine="0"/>
        <w:rPr>
          <w:b/>
          <w:sz w:val="22"/>
          <w:lang w:val="en-US"/>
        </w:rPr>
      </w:pPr>
      <w:r w:rsidRPr="002C75B8">
        <w:rPr>
          <w:b/>
          <w:sz w:val="22"/>
          <w:lang w:val="en-US"/>
        </w:rPr>
        <w:t xml:space="preserve">BACKGROUND INFORMATION </w:t>
      </w:r>
    </w:p>
    <w:p w:rsidR="00E92380" w:rsidRPr="002C75B8" w:rsidRDefault="00E92380" w:rsidP="00E92380">
      <w:pPr>
        <w:ind w:left="0" w:firstLine="0"/>
        <w:rPr>
          <w:sz w:val="22"/>
          <w:lang w:val="en-GB"/>
        </w:rPr>
      </w:pPr>
    </w:p>
    <w:p w:rsidR="00E92380" w:rsidRPr="002C75B8" w:rsidRDefault="00E92380" w:rsidP="00E92380">
      <w:pPr>
        <w:ind w:left="0" w:firstLine="0"/>
        <w:rPr>
          <w:bCs/>
          <w:sz w:val="22"/>
          <w:lang w:val="en-US"/>
        </w:rPr>
      </w:pPr>
      <w:r w:rsidRPr="002C75B8">
        <w:rPr>
          <w:bCs/>
          <w:sz w:val="22"/>
          <w:lang w:val="en-US"/>
        </w:rPr>
        <w:t xml:space="preserve">VL is a rare disease in Jordan, </w:t>
      </w:r>
      <w:r>
        <w:rPr>
          <w:bCs/>
          <w:sz w:val="22"/>
          <w:lang w:val="en-US"/>
        </w:rPr>
        <w:t xml:space="preserve">and </w:t>
      </w:r>
      <w:r w:rsidRPr="002C75B8">
        <w:rPr>
          <w:bCs/>
          <w:sz w:val="22"/>
          <w:lang w:val="en-US"/>
        </w:rPr>
        <w:t xml:space="preserve">only about 15 cases </w:t>
      </w:r>
      <w:r>
        <w:rPr>
          <w:bCs/>
          <w:sz w:val="22"/>
          <w:lang w:val="en-US"/>
        </w:rPr>
        <w:t xml:space="preserve">have been </w:t>
      </w:r>
      <w:r w:rsidRPr="002C75B8">
        <w:rPr>
          <w:bCs/>
          <w:sz w:val="22"/>
          <w:lang w:val="en-US"/>
        </w:rPr>
        <w:t>reported since 1960</w:t>
      </w:r>
      <w:r>
        <w:rPr>
          <w:bCs/>
          <w:sz w:val="22"/>
          <w:lang w:val="en-US"/>
        </w:rPr>
        <w:t>;</w:t>
      </w:r>
      <w:r w:rsidRPr="002C75B8">
        <w:rPr>
          <w:bCs/>
          <w:sz w:val="22"/>
          <w:lang w:val="en-US"/>
        </w:rPr>
        <w:t xml:space="preserve"> the last two </w:t>
      </w:r>
      <w:r>
        <w:rPr>
          <w:bCs/>
          <w:sz w:val="22"/>
          <w:lang w:val="en-US"/>
        </w:rPr>
        <w:t xml:space="preserve">of which </w:t>
      </w:r>
      <w:r w:rsidRPr="002C75B8">
        <w:rPr>
          <w:bCs/>
          <w:sz w:val="22"/>
          <w:lang w:val="en-US"/>
        </w:rPr>
        <w:t>in 2003</w:t>
      </w:r>
      <w:r>
        <w:rPr>
          <w:bCs/>
          <w:sz w:val="22"/>
          <w:lang w:val="en-US"/>
        </w:rPr>
        <w:t xml:space="preserve"> [1]</w:t>
      </w:r>
      <w:r w:rsidRPr="002C75B8">
        <w:rPr>
          <w:bCs/>
          <w:sz w:val="22"/>
          <w:lang w:val="en-US"/>
        </w:rPr>
        <w:t xml:space="preserve">. VL is most likely underreported. </w:t>
      </w:r>
    </w:p>
    <w:p w:rsidR="00E92380" w:rsidRPr="002C75B8" w:rsidRDefault="00E92380" w:rsidP="00E92380">
      <w:pPr>
        <w:ind w:left="0" w:firstLine="0"/>
        <w:rPr>
          <w:bCs/>
          <w:sz w:val="22"/>
          <w:lang w:val="en-US"/>
        </w:rPr>
      </w:pPr>
    </w:p>
    <w:p w:rsidR="00E92380" w:rsidRPr="002C75B8" w:rsidRDefault="00E92380" w:rsidP="00E92380">
      <w:pPr>
        <w:ind w:left="0" w:firstLine="0"/>
        <w:rPr>
          <w:sz w:val="22"/>
          <w:lang w:val="en-GB"/>
        </w:rPr>
      </w:pPr>
      <w:r w:rsidRPr="002C75B8">
        <w:rPr>
          <w:sz w:val="22"/>
          <w:lang w:val="en-GB"/>
        </w:rPr>
        <w:t xml:space="preserve">CL due to </w:t>
      </w:r>
      <w:r w:rsidRPr="00F11814">
        <w:rPr>
          <w:i/>
          <w:iCs/>
          <w:sz w:val="22"/>
          <w:lang w:val="en-GB"/>
        </w:rPr>
        <w:t>L</w:t>
      </w:r>
      <w:r>
        <w:rPr>
          <w:i/>
          <w:iCs/>
          <w:sz w:val="22"/>
          <w:lang w:val="en-GB"/>
        </w:rPr>
        <w:t>.</w:t>
      </w:r>
      <w:r w:rsidRPr="00F11814">
        <w:rPr>
          <w:i/>
          <w:iCs/>
          <w:sz w:val="22"/>
          <w:lang w:val="en-GB"/>
        </w:rPr>
        <w:t xml:space="preserve"> major</w:t>
      </w:r>
      <w:r w:rsidRPr="002C75B8">
        <w:rPr>
          <w:sz w:val="22"/>
          <w:lang w:val="en-GB"/>
        </w:rPr>
        <w:t xml:space="preserve"> is endemic</w:t>
      </w:r>
      <w:r>
        <w:rPr>
          <w:sz w:val="22"/>
          <w:lang w:val="en-GB"/>
        </w:rPr>
        <w:t xml:space="preserve"> and used to be</w:t>
      </w:r>
      <w:r w:rsidRPr="002C75B8">
        <w:rPr>
          <w:sz w:val="22"/>
          <w:lang w:val="en-GB"/>
        </w:rPr>
        <w:t xml:space="preserve"> known as </w:t>
      </w:r>
      <w:r>
        <w:rPr>
          <w:sz w:val="22"/>
          <w:lang w:val="en-GB"/>
        </w:rPr>
        <w:t>"</w:t>
      </w:r>
      <w:smartTag w:uri="urn:schemas-microsoft-com:office:smarttags" w:element="City">
        <w:smartTag w:uri="urn:schemas-microsoft-com:office:smarttags" w:element="place">
          <w:r w:rsidRPr="002C75B8">
            <w:rPr>
              <w:sz w:val="22"/>
              <w:lang w:val="en-GB"/>
            </w:rPr>
            <w:t>Jericho</w:t>
          </w:r>
        </w:smartTag>
      </w:smartTag>
      <w:r w:rsidRPr="002C75B8">
        <w:rPr>
          <w:sz w:val="22"/>
          <w:lang w:val="en-GB"/>
        </w:rPr>
        <w:t xml:space="preserve"> boil</w:t>
      </w:r>
      <w:r>
        <w:rPr>
          <w:sz w:val="22"/>
          <w:lang w:val="en-GB"/>
        </w:rPr>
        <w:t>"</w:t>
      </w:r>
      <w:r w:rsidRPr="002C75B8">
        <w:rPr>
          <w:sz w:val="22"/>
          <w:lang w:val="en-GB"/>
        </w:rPr>
        <w:t xml:space="preserve">. </w:t>
      </w:r>
      <w:r>
        <w:rPr>
          <w:sz w:val="22"/>
          <w:lang w:val="en-GB"/>
        </w:rPr>
        <w:t>Since 1985, o</w:t>
      </w:r>
      <w:r w:rsidRPr="002C75B8">
        <w:rPr>
          <w:sz w:val="22"/>
          <w:lang w:val="en-GB"/>
        </w:rPr>
        <w:t>utbreaks have appeared in areas where CL was previously unknown</w:t>
      </w:r>
      <w:r>
        <w:rPr>
          <w:sz w:val="22"/>
          <w:lang w:val="en-GB"/>
        </w:rPr>
        <w:t xml:space="preserve"> [2</w:t>
      </w:r>
      <w:proofErr w:type="gramStart"/>
      <w:r>
        <w:rPr>
          <w:sz w:val="22"/>
          <w:lang w:val="en-GB"/>
        </w:rPr>
        <w:t>,3,4</w:t>
      </w:r>
      <w:proofErr w:type="gramEnd"/>
      <w:r>
        <w:rPr>
          <w:sz w:val="22"/>
          <w:lang w:val="en-GB"/>
        </w:rPr>
        <w:t>]</w:t>
      </w:r>
      <w:r w:rsidRPr="002C75B8">
        <w:rPr>
          <w:sz w:val="22"/>
          <w:lang w:val="en-GB"/>
        </w:rPr>
        <w:t xml:space="preserve">. The </w:t>
      </w:r>
      <w:smartTag w:uri="urn:schemas-microsoft-com:office:smarttags" w:element="place">
        <w:smartTag w:uri="urn:schemas-microsoft-com:office:smarttags" w:element="country-region">
          <w:r w:rsidRPr="002C75B8">
            <w:rPr>
              <w:sz w:val="22"/>
              <w:lang w:val="en-GB"/>
            </w:rPr>
            <w:t>Jordan</w:t>
          </w:r>
        </w:smartTag>
      </w:smartTag>
      <w:r w:rsidRPr="002C75B8">
        <w:rPr>
          <w:sz w:val="22"/>
          <w:lang w:val="en-GB"/>
        </w:rPr>
        <w:t xml:space="preserve"> valley is home to endemic areas with very high infection rates. In the </w:t>
      </w:r>
      <w:proofErr w:type="spellStart"/>
      <w:r w:rsidRPr="002C75B8">
        <w:rPr>
          <w:sz w:val="22"/>
          <w:lang w:val="en-GB"/>
        </w:rPr>
        <w:t>hyperendemic</w:t>
      </w:r>
      <w:proofErr w:type="spellEnd"/>
      <w:r w:rsidRPr="002C75B8">
        <w:rPr>
          <w:sz w:val="22"/>
          <w:lang w:val="en-GB"/>
        </w:rPr>
        <w:t xml:space="preserve"> area of </w:t>
      </w:r>
      <w:proofErr w:type="spellStart"/>
      <w:r w:rsidRPr="002C75B8">
        <w:rPr>
          <w:sz w:val="22"/>
          <w:lang w:val="en-GB"/>
        </w:rPr>
        <w:t>Swaimeh</w:t>
      </w:r>
      <w:proofErr w:type="spellEnd"/>
      <w:r w:rsidRPr="00BA3ACA">
        <w:rPr>
          <w:sz w:val="22"/>
          <w:lang w:val="en-GB"/>
        </w:rPr>
        <w:t>, 100% of individuals over 5</w:t>
      </w:r>
      <w:r w:rsidRPr="002C75B8">
        <w:rPr>
          <w:sz w:val="22"/>
          <w:lang w:val="en-GB"/>
        </w:rPr>
        <w:t xml:space="preserve"> years old were found positive in a </w:t>
      </w:r>
      <w:proofErr w:type="spellStart"/>
      <w:r w:rsidRPr="002C75B8">
        <w:rPr>
          <w:sz w:val="22"/>
          <w:lang w:val="en-GB"/>
        </w:rPr>
        <w:t>leishmanin</w:t>
      </w:r>
      <w:proofErr w:type="spellEnd"/>
      <w:r w:rsidRPr="002C75B8">
        <w:rPr>
          <w:sz w:val="22"/>
          <w:lang w:val="en-GB"/>
        </w:rPr>
        <w:t xml:space="preserve"> skin test survey in 1992. Higher infection rates (72.4%) are recorded in males </w:t>
      </w:r>
      <w:r>
        <w:rPr>
          <w:sz w:val="22"/>
          <w:lang w:val="en-GB"/>
        </w:rPr>
        <w:t>than</w:t>
      </w:r>
      <w:r w:rsidRPr="002C75B8">
        <w:rPr>
          <w:sz w:val="22"/>
          <w:lang w:val="en-GB"/>
        </w:rPr>
        <w:t xml:space="preserve"> females (27.6%) in all age groups. Disease is more prevalent in children under 5 years (24%) than in those </w:t>
      </w:r>
      <w:r>
        <w:rPr>
          <w:sz w:val="22"/>
          <w:lang w:val="en-GB"/>
        </w:rPr>
        <w:t>older than</w:t>
      </w:r>
      <w:r w:rsidRPr="002C75B8">
        <w:rPr>
          <w:sz w:val="22"/>
          <w:lang w:val="en-GB"/>
        </w:rPr>
        <w:t xml:space="preserve"> 50 (8%)</w:t>
      </w:r>
      <w:r>
        <w:rPr>
          <w:sz w:val="22"/>
          <w:lang w:val="en-GB"/>
        </w:rPr>
        <w:t xml:space="preserve"> [5]</w:t>
      </w:r>
      <w:r w:rsidRPr="002C75B8">
        <w:rPr>
          <w:sz w:val="22"/>
          <w:lang w:val="en-GB"/>
        </w:rPr>
        <w:t xml:space="preserve">. </w:t>
      </w:r>
    </w:p>
    <w:p w:rsidR="00E92380" w:rsidRPr="002C75B8" w:rsidRDefault="00E92380" w:rsidP="00E92380">
      <w:pPr>
        <w:ind w:left="0" w:firstLine="0"/>
        <w:rPr>
          <w:sz w:val="22"/>
          <w:lang w:val="en-GB"/>
        </w:rPr>
      </w:pPr>
    </w:p>
    <w:p w:rsidR="00E92380" w:rsidRPr="002C75B8" w:rsidRDefault="00E92380" w:rsidP="00E92380">
      <w:pPr>
        <w:ind w:left="0" w:firstLine="0"/>
        <w:rPr>
          <w:sz w:val="22"/>
          <w:lang w:val="en-GB"/>
        </w:rPr>
      </w:pPr>
      <w:r w:rsidRPr="002C75B8">
        <w:rPr>
          <w:sz w:val="22"/>
          <w:lang w:val="en-GB"/>
        </w:rPr>
        <w:t xml:space="preserve">CL due to </w:t>
      </w:r>
      <w:r w:rsidRPr="00F11814">
        <w:rPr>
          <w:i/>
          <w:iCs/>
          <w:sz w:val="22"/>
          <w:lang w:val="en-GB"/>
        </w:rPr>
        <w:t>L</w:t>
      </w:r>
      <w:r>
        <w:rPr>
          <w:i/>
          <w:iCs/>
          <w:sz w:val="22"/>
          <w:lang w:val="en-GB"/>
        </w:rPr>
        <w:t>.</w:t>
      </w:r>
      <w:r w:rsidRPr="00F11814">
        <w:rPr>
          <w:i/>
          <w:iCs/>
          <w:sz w:val="22"/>
          <w:lang w:val="en-GB"/>
        </w:rPr>
        <w:t xml:space="preserve"> tropica</w:t>
      </w:r>
      <w:r w:rsidRPr="002C75B8">
        <w:rPr>
          <w:sz w:val="22"/>
          <w:lang w:val="en-GB"/>
        </w:rPr>
        <w:t xml:space="preserve"> is less common. It occurs in the northern border area, where it is sporadic in rural villages</w:t>
      </w:r>
      <w:r>
        <w:rPr>
          <w:sz w:val="22"/>
          <w:lang w:val="en-GB"/>
        </w:rPr>
        <w:t xml:space="preserve"> [6]</w:t>
      </w:r>
      <w:r w:rsidRPr="002C75B8">
        <w:rPr>
          <w:sz w:val="22"/>
          <w:lang w:val="en-GB"/>
        </w:rPr>
        <w:t>. Imported cases from Saudi Arab</w:t>
      </w:r>
      <w:r>
        <w:rPr>
          <w:sz w:val="22"/>
          <w:lang w:val="en-GB"/>
        </w:rPr>
        <w:t>i</w:t>
      </w:r>
      <w:r w:rsidRPr="002C75B8">
        <w:rPr>
          <w:sz w:val="22"/>
          <w:lang w:val="en-GB"/>
        </w:rPr>
        <w:t xml:space="preserve">a have been found. </w:t>
      </w:r>
    </w:p>
    <w:p w:rsidR="00E92380" w:rsidRPr="002C75B8" w:rsidRDefault="00E92380" w:rsidP="00E92380">
      <w:pPr>
        <w:ind w:left="0" w:firstLine="0"/>
        <w:rPr>
          <w:sz w:val="22"/>
          <w:lang w:val="en-GB"/>
        </w:rPr>
      </w:pPr>
    </w:p>
    <w:p w:rsidR="00E92380" w:rsidRPr="002C75B8" w:rsidRDefault="00E92380" w:rsidP="00E92380">
      <w:pPr>
        <w:ind w:left="0" w:firstLine="0"/>
        <w:rPr>
          <w:sz w:val="22"/>
          <w:lang w:val="en-GB"/>
        </w:rPr>
      </w:pPr>
      <w:r w:rsidRPr="002C75B8">
        <w:rPr>
          <w:sz w:val="22"/>
          <w:lang w:val="en-US"/>
        </w:rPr>
        <w:t xml:space="preserve">Outbreaks of CL </w:t>
      </w:r>
      <w:r>
        <w:rPr>
          <w:sz w:val="22"/>
          <w:lang w:val="en-US"/>
        </w:rPr>
        <w:t>have been</w:t>
      </w:r>
      <w:r w:rsidRPr="002C75B8">
        <w:rPr>
          <w:sz w:val="22"/>
          <w:lang w:val="en-US"/>
        </w:rPr>
        <w:t xml:space="preserve"> reported </w:t>
      </w:r>
      <w:r>
        <w:rPr>
          <w:sz w:val="22"/>
          <w:lang w:val="en-US"/>
        </w:rPr>
        <w:t xml:space="preserve">every </w:t>
      </w:r>
      <w:r w:rsidRPr="002C75B8">
        <w:rPr>
          <w:sz w:val="22"/>
          <w:lang w:val="en-US"/>
        </w:rPr>
        <w:t xml:space="preserve">year </w:t>
      </w:r>
      <w:r>
        <w:rPr>
          <w:sz w:val="22"/>
          <w:lang w:val="en-US"/>
        </w:rPr>
        <w:t>for</w:t>
      </w:r>
      <w:r w:rsidRPr="002C75B8">
        <w:rPr>
          <w:sz w:val="22"/>
          <w:lang w:val="en-US"/>
        </w:rPr>
        <w:t xml:space="preserve"> the </w:t>
      </w:r>
      <w:r>
        <w:rPr>
          <w:sz w:val="22"/>
          <w:lang w:val="en-US"/>
        </w:rPr>
        <w:t>p</w:t>
      </w:r>
      <w:r w:rsidRPr="002C75B8">
        <w:rPr>
          <w:sz w:val="22"/>
          <w:lang w:val="en-US"/>
        </w:rPr>
        <w:t>ast 5 years</w:t>
      </w:r>
      <w:r>
        <w:rPr>
          <w:sz w:val="22"/>
          <w:lang w:val="en-US"/>
        </w:rPr>
        <w:t xml:space="preserve">: </w:t>
      </w:r>
      <w:r w:rsidRPr="002C75B8">
        <w:rPr>
          <w:sz w:val="22"/>
          <w:lang w:val="en-US"/>
        </w:rPr>
        <w:t xml:space="preserve">in Aqaba (2006 and 2007), </w:t>
      </w:r>
      <w:smartTag w:uri="urn:schemas-microsoft-com:office:smarttags" w:element="place">
        <w:r w:rsidRPr="002C75B8">
          <w:rPr>
            <w:sz w:val="22"/>
            <w:lang w:val="en-US"/>
          </w:rPr>
          <w:t xml:space="preserve">North </w:t>
        </w:r>
        <w:proofErr w:type="spellStart"/>
        <w:r w:rsidRPr="002C75B8">
          <w:rPr>
            <w:sz w:val="22"/>
            <w:lang w:val="en-US"/>
          </w:rPr>
          <w:t>Agwar</w:t>
        </w:r>
      </w:smartTag>
      <w:proofErr w:type="spellEnd"/>
      <w:r w:rsidRPr="002C75B8">
        <w:rPr>
          <w:sz w:val="22"/>
          <w:lang w:val="en-US"/>
        </w:rPr>
        <w:t xml:space="preserve"> (2008) and S</w:t>
      </w:r>
      <w:r>
        <w:rPr>
          <w:sz w:val="22"/>
          <w:lang w:val="en-US"/>
        </w:rPr>
        <w:t>outh</w:t>
      </w:r>
      <w:r w:rsidRPr="002C75B8">
        <w:rPr>
          <w:sz w:val="22"/>
          <w:lang w:val="en-US"/>
        </w:rPr>
        <w:t xml:space="preserve"> </w:t>
      </w:r>
      <w:proofErr w:type="spellStart"/>
      <w:r w:rsidRPr="002C75B8">
        <w:rPr>
          <w:sz w:val="22"/>
          <w:lang w:val="en-US"/>
        </w:rPr>
        <w:t>Shuneh</w:t>
      </w:r>
      <w:proofErr w:type="spellEnd"/>
      <w:r w:rsidRPr="002C75B8">
        <w:rPr>
          <w:sz w:val="22"/>
          <w:lang w:val="en-US"/>
        </w:rPr>
        <w:t xml:space="preserve"> (2004 and 2005) with 100-200 cases. </w:t>
      </w:r>
      <w:r w:rsidRPr="002C75B8">
        <w:rPr>
          <w:sz w:val="22"/>
          <w:lang w:val="en-GB"/>
        </w:rPr>
        <w:t>Severe underreporting of CL is suspected</w:t>
      </w:r>
      <w:r>
        <w:rPr>
          <w:sz w:val="22"/>
          <w:lang w:val="en-GB"/>
        </w:rPr>
        <w:t>;</w:t>
      </w:r>
      <w:r w:rsidRPr="002C75B8">
        <w:rPr>
          <w:sz w:val="22"/>
          <w:lang w:val="en-GB"/>
        </w:rPr>
        <w:t xml:space="preserve"> </w:t>
      </w:r>
      <w:r>
        <w:rPr>
          <w:sz w:val="22"/>
          <w:lang w:val="en-GB"/>
        </w:rPr>
        <w:t>b</w:t>
      </w:r>
      <w:r w:rsidRPr="002C75B8">
        <w:rPr>
          <w:sz w:val="22"/>
          <w:lang w:val="en-GB"/>
        </w:rPr>
        <w:t>etween 2001 and 2003</w:t>
      </w:r>
      <w:r>
        <w:rPr>
          <w:sz w:val="22"/>
          <w:lang w:val="en-GB"/>
        </w:rPr>
        <w:t>,</w:t>
      </w:r>
      <w:r w:rsidRPr="002C75B8">
        <w:rPr>
          <w:sz w:val="22"/>
          <w:lang w:val="en-GB"/>
        </w:rPr>
        <w:t xml:space="preserve"> an estimated incidence was 47 times higher than the officially reported </w:t>
      </w:r>
      <w:r>
        <w:rPr>
          <w:sz w:val="22"/>
          <w:lang w:val="en-GB"/>
        </w:rPr>
        <w:t xml:space="preserve">number of </w:t>
      </w:r>
      <w:r w:rsidRPr="002C75B8">
        <w:rPr>
          <w:sz w:val="22"/>
          <w:lang w:val="en-GB"/>
        </w:rPr>
        <w:t>cases</w:t>
      </w:r>
      <w:r>
        <w:rPr>
          <w:sz w:val="22"/>
          <w:lang w:val="en-GB"/>
        </w:rPr>
        <w:t xml:space="preserve"> [7]</w:t>
      </w:r>
      <w:r w:rsidRPr="002C75B8">
        <w:rPr>
          <w:sz w:val="22"/>
          <w:lang w:val="en-GB"/>
        </w:rPr>
        <w:t xml:space="preserve">. Among the </w:t>
      </w:r>
      <w:r w:rsidRPr="002C75B8">
        <w:rPr>
          <w:sz w:val="22"/>
          <w:lang w:val="en-GB" w:eastAsia="en-GB"/>
        </w:rPr>
        <w:t xml:space="preserve">factors causing </w:t>
      </w:r>
      <w:r w:rsidRPr="002C75B8">
        <w:rPr>
          <w:sz w:val="22"/>
          <w:lang w:val="en-GB" w:eastAsia="en-GB"/>
        </w:rPr>
        <w:lastRenderedPageBreak/>
        <w:t>underreporting were a lack of</w:t>
      </w:r>
      <w:r>
        <w:rPr>
          <w:sz w:val="22"/>
          <w:lang w:val="en-GB" w:eastAsia="en-GB"/>
        </w:rPr>
        <w:t xml:space="preserve"> physicians'</w:t>
      </w:r>
      <w:r w:rsidRPr="002C75B8">
        <w:rPr>
          <w:sz w:val="22"/>
          <w:lang w:val="en-GB" w:eastAsia="en-GB"/>
        </w:rPr>
        <w:t xml:space="preserve"> awareness of the importance of notification and lack of treatment. </w:t>
      </w:r>
    </w:p>
    <w:p w:rsidR="00E92380" w:rsidRDefault="00E92380" w:rsidP="00E92380">
      <w:pPr>
        <w:ind w:left="0" w:firstLine="0"/>
        <w:rPr>
          <w:sz w:val="22"/>
          <w:lang w:val="en-GB"/>
        </w:rPr>
      </w:pPr>
    </w:p>
    <w:p w:rsidR="00E92380" w:rsidRPr="002C75B8" w:rsidRDefault="00E92380" w:rsidP="00E92380">
      <w:pPr>
        <w:ind w:left="0" w:firstLine="0"/>
        <w:rPr>
          <w:sz w:val="22"/>
          <w:lang w:val="en-GB"/>
        </w:rPr>
      </w:pPr>
      <w:r>
        <w:rPr>
          <w:sz w:val="22"/>
          <w:lang w:val="en-GB"/>
        </w:rPr>
        <w:t>N</w:t>
      </w:r>
      <w:r w:rsidRPr="002C75B8">
        <w:rPr>
          <w:sz w:val="22"/>
          <w:lang w:val="en-GB"/>
        </w:rPr>
        <w:t>o c</w:t>
      </w:r>
      <w:proofErr w:type="spellStart"/>
      <w:r w:rsidRPr="002C75B8">
        <w:rPr>
          <w:sz w:val="22"/>
          <w:lang w:val="en-US"/>
        </w:rPr>
        <w:t>ases</w:t>
      </w:r>
      <w:proofErr w:type="spellEnd"/>
      <w:r w:rsidRPr="002C75B8">
        <w:rPr>
          <w:sz w:val="22"/>
          <w:lang w:val="en-US"/>
        </w:rPr>
        <w:t xml:space="preserve"> of HIV</w:t>
      </w:r>
      <w:r w:rsidRPr="002C75B8">
        <w:rPr>
          <w:i/>
          <w:iCs/>
          <w:sz w:val="22"/>
          <w:lang w:val="en-US"/>
        </w:rPr>
        <w:t>-Leis</w:t>
      </w:r>
      <w:proofErr w:type="spellStart"/>
      <w:r w:rsidRPr="002C75B8">
        <w:rPr>
          <w:i/>
          <w:iCs/>
          <w:sz w:val="22"/>
          <w:lang w:val="en-GB"/>
        </w:rPr>
        <w:t>hmani</w:t>
      </w:r>
      <w:r w:rsidRPr="002C75B8">
        <w:rPr>
          <w:sz w:val="22"/>
          <w:lang w:val="en-GB"/>
        </w:rPr>
        <w:t>a</w:t>
      </w:r>
      <w:proofErr w:type="spellEnd"/>
      <w:r w:rsidRPr="002C75B8">
        <w:rPr>
          <w:sz w:val="22"/>
          <w:lang w:val="en-GB"/>
        </w:rPr>
        <w:t xml:space="preserve"> co-infection </w:t>
      </w:r>
      <w:r>
        <w:rPr>
          <w:sz w:val="22"/>
          <w:lang w:val="en-GB"/>
        </w:rPr>
        <w:t xml:space="preserve">have been </w:t>
      </w:r>
      <w:r w:rsidRPr="002C75B8">
        <w:rPr>
          <w:sz w:val="22"/>
          <w:lang w:val="en-GB"/>
        </w:rPr>
        <w:t xml:space="preserve">reported. </w:t>
      </w:r>
    </w:p>
    <w:p w:rsidR="00E92380" w:rsidRPr="002C75B8" w:rsidRDefault="00E92380" w:rsidP="00E92380">
      <w:pPr>
        <w:ind w:left="0" w:firstLine="0"/>
        <w:rPr>
          <w:sz w:val="22"/>
          <w:lang w:val="en-GB"/>
        </w:rPr>
      </w:pPr>
    </w:p>
    <w:p w:rsidR="00E92380" w:rsidRPr="002C75B8" w:rsidRDefault="00E92380" w:rsidP="00E92380">
      <w:pPr>
        <w:ind w:left="0" w:firstLine="0"/>
        <w:rPr>
          <w:sz w:val="22"/>
          <w:lang w:val="en-GB"/>
        </w:rPr>
      </w:pPr>
      <w:r w:rsidRPr="002C75B8">
        <w:rPr>
          <w:sz w:val="22"/>
          <w:lang w:val="en-GB"/>
        </w:rPr>
        <w:t xml:space="preserve"> </w:t>
      </w:r>
    </w:p>
    <w:p w:rsidR="00E92380" w:rsidRPr="00902A2E" w:rsidRDefault="00E92380" w:rsidP="00E92380">
      <w:pPr>
        <w:rPr>
          <w:b/>
          <w:bCs/>
          <w:sz w:val="22"/>
          <w:lang w:val="en-GB"/>
        </w:rPr>
      </w:pPr>
      <w:r w:rsidRPr="00902A2E">
        <w:rPr>
          <w:b/>
          <w:bCs/>
          <w:sz w:val="22"/>
          <w:lang w:val="en-GB"/>
        </w:rPr>
        <w:t>PARASITOLOGICAL INFORMATION</w:t>
      </w:r>
    </w:p>
    <w:p w:rsidR="00E92380" w:rsidRDefault="00E92380" w:rsidP="00E9238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620"/>
        <w:gridCol w:w="1980"/>
        <w:gridCol w:w="2700"/>
      </w:tblGrid>
      <w:tr w:rsidR="00E92380" w:rsidRPr="002C75B8" w:rsidTr="00A7768B">
        <w:tc>
          <w:tcPr>
            <w:tcW w:w="1548" w:type="dxa"/>
            <w:vAlign w:val="center"/>
          </w:tcPr>
          <w:p w:rsidR="00E92380" w:rsidRPr="002C75B8" w:rsidRDefault="00E92380" w:rsidP="00A7768B">
            <w:pPr>
              <w:ind w:left="0" w:firstLine="0"/>
              <w:rPr>
                <w:sz w:val="22"/>
                <w:lang w:val="en-US"/>
              </w:rPr>
            </w:pPr>
            <w:r w:rsidRPr="002C75B8">
              <w:rPr>
                <w:b/>
                <w:bCs/>
                <w:i/>
                <w:iCs/>
                <w:sz w:val="22"/>
              </w:rPr>
              <w:t xml:space="preserve">Leishmania </w:t>
            </w:r>
            <w:proofErr w:type="spellStart"/>
            <w:r w:rsidRPr="002C75B8">
              <w:rPr>
                <w:b/>
                <w:bCs/>
                <w:sz w:val="22"/>
              </w:rPr>
              <w:t>species</w:t>
            </w:r>
            <w:proofErr w:type="spellEnd"/>
          </w:p>
        </w:tc>
        <w:tc>
          <w:tcPr>
            <w:tcW w:w="1620" w:type="dxa"/>
            <w:vAlign w:val="center"/>
          </w:tcPr>
          <w:p w:rsidR="00E92380" w:rsidRPr="002C75B8" w:rsidRDefault="00E92380" w:rsidP="00A7768B">
            <w:pPr>
              <w:ind w:left="0" w:firstLine="0"/>
              <w:rPr>
                <w:b/>
                <w:bCs/>
                <w:sz w:val="22"/>
              </w:rPr>
            </w:pPr>
          </w:p>
          <w:p w:rsidR="00E92380" w:rsidRPr="002C75B8" w:rsidRDefault="00E92380" w:rsidP="00A7768B">
            <w:pPr>
              <w:ind w:left="0" w:firstLine="0"/>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1980" w:type="dxa"/>
            <w:vAlign w:val="center"/>
          </w:tcPr>
          <w:p w:rsidR="00E92380" w:rsidRPr="002C75B8" w:rsidRDefault="00E92380" w:rsidP="00A7768B">
            <w:pPr>
              <w:ind w:left="0" w:firstLine="0"/>
              <w:rPr>
                <w:b/>
                <w:bCs/>
                <w:sz w:val="22"/>
              </w:rPr>
            </w:pPr>
          </w:p>
          <w:p w:rsidR="00E92380" w:rsidRPr="002C75B8" w:rsidRDefault="00E92380" w:rsidP="00A7768B">
            <w:pPr>
              <w:ind w:left="0" w:firstLine="0"/>
              <w:rPr>
                <w:sz w:val="22"/>
                <w:lang w:val="en-US"/>
              </w:rPr>
            </w:pPr>
            <w:r w:rsidRPr="002C75B8">
              <w:rPr>
                <w:b/>
                <w:bCs/>
                <w:sz w:val="22"/>
              </w:rPr>
              <w:t xml:space="preserve">Vector </w:t>
            </w:r>
            <w:proofErr w:type="spellStart"/>
            <w:r w:rsidRPr="002C75B8">
              <w:rPr>
                <w:b/>
                <w:bCs/>
                <w:sz w:val="22"/>
              </w:rPr>
              <w:t>species</w:t>
            </w:r>
            <w:proofErr w:type="spellEnd"/>
          </w:p>
        </w:tc>
        <w:tc>
          <w:tcPr>
            <w:tcW w:w="2700" w:type="dxa"/>
            <w:vAlign w:val="center"/>
          </w:tcPr>
          <w:p w:rsidR="00E92380" w:rsidRPr="002C75B8" w:rsidRDefault="00E92380" w:rsidP="00A7768B">
            <w:pPr>
              <w:ind w:left="0" w:firstLine="0"/>
              <w:rPr>
                <w:b/>
                <w:bCs/>
                <w:sz w:val="22"/>
              </w:rPr>
            </w:pPr>
          </w:p>
          <w:p w:rsidR="00E92380" w:rsidRPr="002C75B8" w:rsidRDefault="00E92380" w:rsidP="00A7768B">
            <w:pPr>
              <w:ind w:left="0" w:firstLine="0"/>
              <w:rPr>
                <w:sz w:val="22"/>
                <w:lang w:val="en-US"/>
              </w:rPr>
            </w:pPr>
            <w:proofErr w:type="spellStart"/>
            <w:r w:rsidRPr="002C75B8">
              <w:rPr>
                <w:b/>
                <w:bCs/>
                <w:sz w:val="22"/>
              </w:rPr>
              <w:t>Reservoirs</w:t>
            </w:r>
            <w:proofErr w:type="spellEnd"/>
          </w:p>
        </w:tc>
      </w:tr>
      <w:tr w:rsidR="00E92380" w:rsidRPr="002C75B8" w:rsidTr="00A7768B">
        <w:tc>
          <w:tcPr>
            <w:tcW w:w="1548" w:type="dxa"/>
            <w:vAlign w:val="center"/>
          </w:tcPr>
          <w:p w:rsidR="00E92380" w:rsidRPr="004F7459" w:rsidRDefault="00E92380" w:rsidP="00A7768B">
            <w:pPr>
              <w:autoSpaceDE w:val="0"/>
              <w:autoSpaceDN w:val="0"/>
              <w:adjustRightInd w:val="0"/>
              <w:rPr>
                <w:color w:val="000000"/>
                <w:sz w:val="22"/>
                <w:lang w:val="en-US"/>
              </w:rPr>
            </w:pPr>
            <w:r w:rsidRPr="004F7459">
              <w:rPr>
                <w:i/>
                <w:iCs/>
                <w:color w:val="000000"/>
                <w:sz w:val="22"/>
                <w:lang w:val="en-US"/>
              </w:rPr>
              <w:t>L. infantum</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1620" w:type="dxa"/>
            <w:vAlign w:val="center"/>
          </w:tcPr>
          <w:p w:rsidR="00E92380" w:rsidRPr="004F7459" w:rsidRDefault="00E92380" w:rsidP="00A7768B">
            <w:pPr>
              <w:autoSpaceDE w:val="0"/>
              <w:autoSpaceDN w:val="0"/>
              <w:adjustRightInd w:val="0"/>
              <w:rPr>
                <w:color w:val="000000"/>
                <w:sz w:val="22"/>
                <w:lang w:val="en-US"/>
              </w:rPr>
            </w:pPr>
            <w:r w:rsidRPr="004F7459">
              <w:rPr>
                <w:color w:val="000000"/>
                <w:sz w:val="22"/>
                <w:lang w:val="en-US"/>
              </w:rPr>
              <w:t>ZVL</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1980" w:type="dxa"/>
            <w:vAlign w:val="center"/>
          </w:tcPr>
          <w:p w:rsidR="00E92380" w:rsidRPr="004F7459" w:rsidRDefault="00E92380" w:rsidP="00A7768B">
            <w:pPr>
              <w:autoSpaceDE w:val="0"/>
              <w:autoSpaceDN w:val="0"/>
              <w:adjustRightInd w:val="0"/>
              <w:rPr>
                <w:color w:val="000000"/>
                <w:sz w:val="22"/>
                <w:lang w:val="en-US"/>
              </w:rPr>
            </w:pPr>
            <w:r w:rsidRPr="004F7459">
              <w:rPr>
                <w:color w:val="000000"/>
                <w:sz w:val="22"/>
                <w:lang w:val="en-US"/>
              </w:rPr>
              <w:t>unknown</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2700" w:type="dxa"/>
            <w:vAlign w:val="center"/>
          </w:tcPr>
          <w:p w:rsidR="00E92380" w:rsidRPr="004F7459" w:rsidRDefault="00E92380" w:rsidP="00A7768B">
            <w:pPr>
              <w:autoSpaceDE w:val="0"/>
              <w:autoSpaceDN w:val="0"/>
              <w:adjustRightInd w:val="0"/>
              <w:rPr>
                <w:color w:val="000000"/>
                <w:sz w:val="22"/>
                <w:lang w:val="en-US"/>
              </w:rPr>
            </w:pPr>
            <w:proofErr w:type="spellStart"/>
            <w:r w:rsidRPr="004F7459">
              <w:rPr>
                <w:i/>
                <w:iCs/>
                <w:color w:val="000000"/>
                <w:sz w:val="22"/>
                <w:lang w:val="en-US"/>
              </w:rPr>
              <w:t>Canis</w:t>
            </w:r>
            <w:proofErr w:type="spellEnd"/>
            <w:r w:rsidRPr="004F7459">
              <w:rPr>
                <w:i/>
                <w:iCs/>
                <w:color w:val="000000"/>
                <w:sz w:val="22"/>
                <w:lang w:val="en-US"/>
              </w:rPr>
              <w:t xml:space="preserve"> </w:t>
            </w:r>
            <w:proofErr w:type="spellStart"/>
            <w:r w:rsidRPr="004F7459">
              <w:rPr>
                <w:i/>
                <w:iCs/>
                <w:color w:val="000000"/>
                <w:sz w:val="22"/>
                <w:lang w:val="en-US"/>
              </w:rPr>
              <w:t>familiaris</w:t>
            </w:r>
            <w:proofErr w:type="spellEnd"/>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r>
      <w:tr w:rsidR="00E92380" w:rsidRPr="002C75B8" w:rsidTr="00A7768B">
        <w:tc>
          <w:tcPr>
            <w:tcW w:w="1548" w:type="dxa"/>
            <w:vAlign w:val="center"/>
          </w:tcPr>
          <w:p w:rsidR="00E92380" w:rsidRPr="004F7459" w:rsidRDefault="00E92380" w:rsidP="00A7768B">
            <w:pPr>
              <w:autoSpaceDE w:val="0"/>
              <w:autoSpaceDN w:val="0"/>
              <w:adjustRightInd w:val="0"/>
              <w:rPr>
                <w:color w:val="000000"/>
                <w:sz w:val="22"/>
                <w:lang w:val="en-US"/>
              </w:rPr>
            </w:pPr>
            <w:r w:rsidRPr="004F7459">
              <w:rPr>
                <w:i/>
                <w:iCs/>
                <w:color w:val="000000"/>
                <w:sz w:val="22"/>
                <w:lang w:val="en-US"/>
              </w:rPr>
              <w:t xml:space="preserve">L. tropica </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1620" w:type="dxa"/>
            <w:vAlign w:val="center"/>
          </w:tcPr>
          <w:p w:rsidR="00E92380" w:rsidRPr="004F7459" w:rsidRDefault="00E92380" w:rsidP="00A7768B">
            <w:pPr>
              <w:autoSpaceDE w:val="0"/>
              <w:autoSpaceDN w:val="0"/>
              <w:adjustRightInd w:val="0"/>
              <w:rPr>
                <w:color w:val="000000"/>
                <w:sz w:val="22"/>
                <w:lang w:val="en-US"/>
              </w:rPr>
            </w:pPr>
            <w:r w:rsidRPr="004F7459">
              <w:rPr>
                <w:color w:val="000000"/>
                <w:sz w:val="22"/>
                <w:lang w:val="en-US"/>
              </w:rPr>
              <w:t>CL</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1980" w:type="dxa"/>
            <w:vAlign w:val="center"/>
          </w:tcPr>
          <w:p w:rsidR="00E92380" w:rsidRPr="004F7459" w:rsidRDefault="00E92380" w:rsidP="00A7768B">
            <w:pPr>
              <w:autoSpaceDE w:val="0"/>
              <w:autoSpaceDN w:val="0"/>
              <w:adjustRightInd w:val="0"/>
              <w:rPr>
                <w:color w:val="000000"/>
                <w:sz w:val="22"/>
                <w:lang w:val="en-US"/>
              </w:rPr>
            </w:pPr>
            <w:r w:rsidRPr="004F7459">
              <w:rPr>
                <w:i/>
                <w:iCs/>
                <w:color w:val="000000"/>
                <w:sz w:val="22"/>
                <w:lang w:val="en-US"/>
              </w:rPr>
              <w:t xml:space="preserve">P. </w:t>
            </w:r>
            <w:proofErr w:type="spellStart"/>
            <w:r w:rsidRPr="004F7459">
              <w:rPr>
                <w:i/>
                <w:iCs/>
                <w:color w:val="000000"/>
                <w:sz w:val="22"/>
                <w:lang w:val="en-US"/>
              </w:rPr>
              <w:t>sergenti</w:t>
            </w:r>
            <w:proofErr w:type="spellEnd"/>
            <w:r w:rsidRPr="004F7459">
              <w:rPr>
                <w:i/>
                <w:iCs/>
                <w:color w:val="000000"/>
                <w:sz w:val="22"/>
                <w:lang w:val="en-US"/>
              </w:rPr>
              <w:t xml:space="preserve"> </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2700" w:type="dxa"/>
            <w:vAlign w:val="center"/>
          </w:tcPr>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r>
      <w:tr w:rsidR="00E92380" w:rsidRPr="002C75B8" w:rsidTr="00A7768B">
        <w:tc>
          <w:tcPr>
            <w:tcW w:w="1548" w:type="dxa"/>
            <w:vAlign w:val="center"/>
          </w:tcPr>
          <w:p w:rsidR="00E92380" w:rsidRPr="004F7459" w:rsidRDefault="00E92380" w:rsidP="00A7768B">
            <w:pPr>
              <w:autoSpaceDE w:val="0"/>
              <w:autoSpaceDN w:val="0"/>
              <w:adjustRightInd w:val="0"/>
              <w:rPr>
                <w:color w:val="000000"/>
                <w:sz w:val="22"/>
                <w:lang w:val="en-US"/>
              </w:rPr>
            </w:pPr>
            <w:r w:rsidRPr="004F7459">
              <w:rPr>
                <w:i/>
                <w:iCs/>
                <w:color w:val="000000"/>
                <w:sz w:val="22"/>
                <w:lang w:val="en-US"/>
              </w:rPr>
              <w:t>L. major</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1620" w:type="dxa"/>
            <w:vAlign w:val="center"/>
          </w:tcPr>
          <w:p w:rsidR="00E92380" w:rsidRPr="004F7459" w:rsidRDefault="00E92380" w:rsidP="00A7768B">
            <w:pPr>
              <w:autoSpaceDE w:val="0"/>
              <w:autoSpaceDN w:val="0"/>
              <w:adjustRightInd w:val="0"/>
              <w:rPr>
                <w:color w:val="000000"/>
                <w:sz w:val="22"/>
                <w:lang w:val="en-US"/>
              </w:rPr>
            </w:pPr>
            <w:r w:rsidRPr="004F7459">
              <w:rPr>
                <w:color w:val="000000"/>
                <w:sz w:val="22"/>
                <w:lang w:val="en-US"/>
              </w:rPr>
              <w:t>ZCL</w:t>
            </w:r>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1980" w:type="dxa"/>
            <w:vAlign w:val="center"/>
          </w:tcPr>
          <w:p w:rsidR="00E92380" w:rsidRPr="004F7459" w:rsidRDefault="00E92380" w:rsidP="00A7768B">
            <w:pPr>
              <w:autoSpaceDE w:val="0"/>
              <w:autoSpaceDN w:val="0"/>
              <w:adjustRightInd w:val="0"/>
              <w:rPr>
                <w:color w:val="000000"/>
                <w:sz w:val="22"/>
                <w:lang w:val="en-US"/>
              </w:rPr>
            </w:pPr>
            <w:r w:rsidRPr="004F7459">
              <w:rPr>
                <w:i/>
                <w:iCs/>
                <w:color w:val="000000"/>
                <w:sz w:val="22"/>
                <w:lang w:val="en-US"/>
              </w:rPr>
              <w:t xml:space="preserve">P. </w:t>
            </w:r>
            <w:proofErr w:type="spellStart"/>
            <w:r w:rsidRPr="004F7459">
              <w:rPr>
                <w:i/>
                <w:iCs/>
                <w:color w:val="000000"/>
                <w:sz w:val="22"/>
                <w:lang w:val="en-US"/>
              </w:rPr>
              <w:t>papatasi</w:t>
            </w:r>
            <w:proofErr w:type="spellEnd"/>
          </w:p>
          <w:p w:rsidR="00E92380" w:rsidRPr="004F7459" w:rsidRDefault="00E92380" w:rsidP="00A7768B">
            <w:pPr>
              <w:pStyle w:val="NormalWeb"/>
              <w:spacing w:before="0" w:beforeAutospacing="0" w:after="0" w:afterAutospacing="0"/>
              <w:jc w:val="both"/>
              <w:textAlignment w:val="baseline"/>
              <w:rPr>
                <w:rFonts w:ascii="Arial" w:eastAsia="Cambria" w:hAnsi="Arial" w:cs="Arial"/>
                <w:color w:val="000000"/>
                <w:kern w:val="24"/>
                <w:sz w:val="22"/>
                <w:szCs w:val="22"/>
              </w:rPr>
            </w:pPr>
          </w:p>
        </w:tc>
        <w:tc>
          <w:tcPr>
            <w:tcW w:w="2700" w:type="dxa"/>
            <w:vAlign w:val="center"/>
          </w:tcPr>
          <w:p w:rsidR="00E92380" w:rsidRPr="004F7459" w:rsidRDefault="00E92380" w:rsidP="00A7768B">
            <w:pPr>
              <w:pStyle w:val="NormalWeb"/>
              <w:spacing w:before="0" w:beforeAutospacing="0" w:after="0" w:afterAutospacing="0"/>
              <w:textAlignment w:val="baseline"/>
              <w:rPr>
                <w:rFonts w:ascii="Arial" w:eastAsia="Cambria" w:hAnsi="Arial" w:cs="Arial"/>
                <w:color w:val="000000"/>
                <w:kern w:val="24"/>
                <w:sz w:val="22"/>
                <w:szCs w:val="22"/>
              </w:rPr>
            </w:pPr>
            <w:proofErr w:type="spellStart"/>
            <w:r w:rsidRPr="004F7459">
              <w:rPr>
                <w:rFonts w:ascii="Arial" w:hAnsi="Arial" w:cs="Arial"/>
                <w:i/>
                <w:iCs/>
                <w:color w:val="000000"/>
                <w:sz w:val="22"/>
                <w:szCs w:val="22"/>
              </w:rPr>
              <w:t>Psammomys</w:t>
            </w:r>
            <w:proofErr w:type="spellEnd"/>
            <w:r>
              <w:rPr>
                <w:rFonts w:ascii="Arial" w:hAnsi="Arial" w:cs="Arial"/>
                <w:i/>
                <w:iCs/>
                <w:color w:val="000000"/>
                <w:sz w:val="22"/>
                <w:szCs w:val="22"/>
              </w:rPr>
              <w:t xml:space="preserve"> </w:t>
            </w:r>
            <w:proofErr w:type="spellStart"/>
            <w:r w:rsidRPr="004F7459">
              <w:rPr>
                <w:rFonts w:ascii="Arial" w:hAnsi="Arial" w:cs="Arial"/>
                <w:i/>
                <w:iCs/>
                <w:color w:val="000000"/>
                <w:sz w:val="22"/>
                <w:szCs w:val="22"/>
              </w:rPr>
              <w:t>obesus</w:t>
            </w:r>
            <w:proofErr w:type="spellEnd"/>
            <w:r w:rsidRPr="004F7459">
              <w:rPr>
                <w:rFonts w:ascii="Arial" w:hAnsi="Arial" w:cs="Arial"/>
                <w:i/>
                <w:iCs/>
                <w:color w:val="000000"/>
                <w:sz w:val="22"/>
                <w:szCs w:val="22"/>
              </w:rPr>
              <w:t xml:space="preserve">, </w:t>
            </w:r>
            <w:proofErr w:type="spellStart"/>
            <w:r w:rsidRPr="004F7459">
              <w:rPr>
                <w:rFonts w:ascii="Arial" w:hAnsi="Arial" w:cs="Arial"/>
                <w:i/>
                <w:iCs/>
                <w:color w:val="000000"/>
                <w:sz w:val="22"/>
                <w:szCs w:val="22"/>
              </w:rPr>
              <w:t>Meriones</w:t>
            </w:r>
            <w:proofErr w:type="spellEnd"/>
            <w:r w:rsidRPr="004F7459">
              <w:rPr>
                <w:rFonts w:ascii="Arial" w:hAnsi="Arial" w:cs="Arial"/>
                <w:i/>
                <w:iCs/>
                <w:color w:val="000000"/>
                <w:sz w:val="22"/>
                <w:szCs w:val="22"/>
              </w:rPr>
              <w:t xml:space="preserve">. </w:t>
            </w:r>
            <w:proofErr w:type="spellStart"/>
            <w:r w:rsidRPr="004F7459">
              <w:rPr>
                <w:rFonts w:ascii="Arial" w:hAnsi="Arial" w:cs="Arial"/>
                <w:i/>
                <w:iCs/>
                <w:color w:val="000000"/>
                <w:sz w:val="22"/>
                <w:szCs w:val="22"/>
              </w:rPr>
              <w:t>libycus</w:t>
            </w:r>
            <w:proofErr w:type="spellEnd"/>
          </w:p>
        </w:tc>
      </w:tr>
    </w:tbl>
    <w:p w:rsidR="00E92380" w:rsidRPr="00902A2E" w:rsidRDefault="00E92380" w:rsidP="00E92380">
      <w:pPr>
        <w:rPr>
          <w:lang w:val="en-GB"/>
        </w:rPr>
      </w:pPr>
    </w:p>
    <w:p w:rsidR="00E92380" w:rsidRPr="00902A2E" w:rsidRDefault="00E92380" w:rsidP="00E92380">
      <w:pPr>
        <w:rPr>
          <w:b/>
          <w:bCs/>
          <w:sz w:val="22"/>
          <w:lang w:val="en-GB"/>
        </w:rPr>
      </w:pPr>
    </w:p>
    <w:p w:rsidR="00E92380" w:rsidRPr="00902A2E" w:rsidRDefault="00E92380" w:rsidP="00E92380">
      <w:pPr>
        <w:rPr>
          <w:b/>
          <w:bCs/>
          <w:sz w:val="22"/>
          <w:lang w:val="en-GB"/>
        </w:rPr>
      </w:pPr>
      <w:r w:rsidRPr="00902A2E">
        <w:rPr>
          <w:b/>
          <w:bCs/>
          <w:sz w:val="22"/>
          <w:lang w:val="en-GB"/>
        </w:rPr>
        <w:t>MAPS AND TRENDS</w:t>
      </w:r>
    </w:p>
    <w:p w:rsidR="00E92380" w:rsidRPr="00902A2E" w:rsidRDefault="00E92380" w:rsidP="00E92380">
      <w:pPr>
        <w:rPr>
          <w:b/>
          <w:bCs/>
          <w:sz w:val="22"/>
          <w:lang w:val="en-GB"/>
        </w:rPr>
      </w:pPr>
    </w:p>
    <w:p w:rsidR="00E92380" w:rsidRDefault="00E92380" w:rsidP="00E92380">
      <w:pPr>
        <w:rPr>
          <w:b/>
          <w:bCs/>
          <w:sz w:val="22"/>
          <w:lang w:val="en-GB"/>
        </w:rPr>
      </w:pPr>
      <w:r>
        <w:rPr>
          <w:b/>
          <w:bCs/>
          <w:noProof/>
          <w:sz w:val="22"/>
          <w:lang w:val="en-US"/>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154940</wp:posOffset>
            </wp:positionV>
            <wp:extent cx="3230880" cy="2284730"/>
            <wp:effectExtent l="19050" t="0" r="7620" b="0"/>
            <wp:wrapNone/>
            <wp:docPr id="5" name="Picture 5" descr="JO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CLIRmod"/>
                    <pic:cNvPicPr>
                      <a:picLocks noChangeAspect="1" noChangeArrowheads="1"/>
                    </pic:cNvPicPr>
                  </pic:nvPicPr>
                  <pic:blipFill>
                    <a:blip r:embed="rId6" cstate="print"/>
                    <a:srcRect/>
                    <a:stretch>
                      <a:fillRect/>
                    </a:stretch>
                  </pic:blipFill>
                  <pic:spPr bwMode="auto">
                    <a:xfrm>
                      <a:off x="0" y="0"/>
                      <a:ext cx="3230880" cy="2284730"/>
                    </a:xfrm>
                    <a:prstGeom prst="rect">
                      <a:avLst/>
                    </a:prstGeom>
                    <a:noFill/>
                  </pic:spPr>
                </pic:pic>
              </a:graphicData>
            </a:graphic>
          </wp:anchor>
        </w:drawing>
      </w:r>
      <w:r>
        <w:rPr>
          <w:b/>
          <w:bCs/>
          <w:noProof/>
          <w:sz w:val="22"/>
          <w:lang w:val="en-US"/>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154940</wp:posOffset>
            </wp:positionV>
            <wp:extent cx="3184525" cy="2251710"/>
            <wp:effectExtent l="19050" t="0" r="0" b="0"/>
            <wp:wrapNone/>
            <wp:docPr id="4" name="Picture 4" descr="JO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CLmod2"/>
                    <pic:cNvPicPr>
                      <a:picLocks noChangeAspect="1" noChangeArrowheads="1"/>
                    </pic:cNvPicPr>
                  </pic:nvPicPr>
                  <pic:blipFill>
                    <a:blip r:embed="rId7" cstate="print"/>
                    <a:srcRect/>
                    <a:stretch>
                      <a:fillRect/>
                    </a:stretch>
                  </pic:blipFill>
                  <pic:spPr bwMode="auto">
                    <a:xfrm>
                      <a:off x="0" y="0"/>
                      <a:ext cx="3184525" cy="2251710"/>
                    </a:xfrm>
                    <a:prstGeom prst="rect">
                      <a:avLst/>
                    </a:prstGeom>
                    <a:noFill/>
                  </pic:spPr>
                </pic:pic>
              </a:graphicData>
            </a:graphic>
          </wp:anchor>
        </w:drawing>
      </w:r>
      <w:r>
        <w:rPr>
          <w:b/>
          <w:bCs/>
          <w:sz w:val="22"/>
          <w:lang w:val="en-GB"/>
        </w:rPr>
        <w:t>Cutaneous leishmaniasis</w:t>
      </w: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Default="00E92380" w:rsidP="00E92380">
      <w:pPr>
        <w:rPr>
          <w:b/>
          <w:bCs/>
          <w:sz w:val="22"/>
          <w:lang w:val="en-GB"/>
        </w:rPr>
      </w:pPr>
    </w:p>
    <w:p w:rsidR="00E92380" w:rsidRPr="00902A2E" w:rsidRDefault="00E92380" w:rsidP="00E92380">
      <w:pPr>
        <w:rPr>
          <w:b/>
          <w:bCs/>
          <w:sz w:val="22"/>
          <w:lang w:val="en-GB"/>
        </w:rPr>
      </w:pPr>
    </w:p>
    <w:p w:rsidR="00E92380" w:rsidRPr="00902A2E" w:rsidRDefault="00E92380" w:rsidP="00E92380">
      <w:pPr>
        <w:rPr>
          <w:rFonts w:eastAsia="Times New Roman"/>
          <w:lang w:val="en-GB" w:eastAsia="es-ES"/>
        </w:rPr>
      </w:pPr>
    </w:p>
    <w:p w:rsidR="00E92380" w:rsidRDefault="00E92380" w:rsidP="00E92380">
      <w:pPr>
        <w:rPr>
          <w:b/>
          <w:bCs/>
          <w:sz w:val="22"/>
          <w:lang w:val="en-GB"/>
        </w:rPr>
      </w:pPr>
    </w:p>
    <w:p w:rsidR="00E92380" w:rsidRDefault="00E92380" w:rsidP="00E92380">
      <w:pPr>
        <w:rPr>
          <w:b/>
          <w:bCs/>
          <w:sz w:val="22"/>
          <w:lang w:val="en-GB"/>
        </w:rPr>
      </w:pPr>
      <w:r>
        <w:rPr>
          <w:rFonts w:eastAsia="Times New Roman"/>
          <w:noProof/>
          <w:lang w:val="en-US"/>
        </w:rPr>
        <w:drawing>
          <wp:anchor distT="0" distB="0" distL="114300" distR="114300" simplePos="0" relativeHeight="251660288" behindDoc="0" locked="0" layoutInCell="1" allowOverlap="1">
            <wp:simplePos x="0" y="0"/>
            <wp:positionH relativeFrom="column">
              <wp:posOffset>-1097280</wp:posOffset>
            </wp:positionH>
            <wp:positionV relativeFrom="paragraph">
              <wp:posOffset>24765</wp:posOffset>
            </wp:positionV>
            <wp:extent cx="7886700" cy="251460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b/>
          <w:bCs/>
          <w:sz w:val="22"/>
          <w:lang w:val="en-GB"/>
        </w:rPr>
        <w:t>Cutaneous</w:t>
      </w:r>
      <w:r w:rsidRPr="00902A2E">
        <w:rPr>
          <w:b/>
          <w:bCs/>
          <w:sz w:val="22"/>
          <w:lang w:val="en-GB"/>
        </w:rPr>
        <w:t xml:space="preserve"> leishmaniasis trend</w:t>
      </w:r>
    </w:p>
    <w:p w:rsidR="00E92380" w:rsidRPr="00902A2E" w:rsidRDefault="00E92380" w:rsidP="00E92380">
      <w:pPr>
        <w:rPr>
          <w:b/>
          <w:bCs/>
          <w:sz w:val="22"/>
          <w:lang w:val="en-GB"/>
        </w:rPr>
      </w:pPr>
    </w:p>
    <w:p w:rsidR="00E92380" w:rsidRPr="00902A2E"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Default="00E92380" w:rsidP="00E92380">
      <w:pPr>
        <w:rPr>
          <w:rFonts w:eastAsia="Times New Roman"/>
          <w:lang w:val="en-GB" w:eastAsia="es-ES"/>
        </w:rPr>
      </w:pPr>
    </w:p>
    <w:p w:rsidR="00E92380" w:rsidRPr="00902A2E" w:rsidRDefault="00E92380" w:rsidP="00E92380">
      <w:pPr>
        <w:rPr>
          <w:rFonts w:eastAsia="Times New Roman"/>
          <w:b/>
          <w:bCs/>
          <w:sz w:val="22"/>
          <w:lang w:val="en-GB" w:eastAsia="es-ES"/>
        </w:rPr>
      </w:pPr>
      <w:r w:rsidRPr="00902A2E">
        <w:rPr>
          <w:rFonts w:eastAsia="Times New Roman"/>
          <w:b/>
          <w:bCs/>
          <w:sz w:val="22"/>
          <w:lang w:val="en-GB" w:eastAsia="es-ES"/>
        </w:rPr>
        <w:lastRenderedPageBreak/>
        <w:t>CONTROL</w:t>
      </w:r>
    </w:p>
    <w:p w:rsidR="00E92380" w:rsidRDefault="00E92380" w:rsidP="00E92380">
      <w:pPr>
        <w:ind w:left="0" w:firstLine="0"/>
        <w:rPr>
          <w:bCs/>
          <w:sz w:val="22"/>
          <w:lang w:val="en-GB"/>
        </w:rPr>
      </w:pPr>
    </w:p>
    <w:p w:rsidR="00E92380" w:rsidRPr="002C75B8" w:rsidRDefault="00E92380" w:rsidP="00E92380">
      <w:pPr>
        <w:ind w:left="0" w:firstLine="0"/>
        <w:rPr>
          <w:bCs/>
          <w:sz w:val="22"/>
          <w:lang w:val="en-US"/>
        </w:rPr>
      </w:pPr>
      <w:r w:rsidRPr="002C75B8">
        <w:rPr>
          <w:bCs/>
          <w:sz w:val="22"/>
          <w:lang w:val="en-GB"/>
        </w:rPr>
        <w:t xml:space="preserve">The notification of </w:t>
      </w:r>
      <w:r>
        <w:rPr>
          <w:bCs/>
          <w:sz w:val="22"/>
          <w:lang w:val="en-GB"/>
        </w:rPr>
        <w:t>l</w:t>
      </w:r>
      <w:r w:rsidRPr="002C75B8">
        <w:rPr>
          <w:bCs/>
          <w:sz w:val="22"/>
          <w:lang w:val="en-GB"/>
        </w:rPr>
        <w:t>eishmaniasis is mandatory. There is no n</w:t>
      </w:r>
      <w:proofErr w:type="spellStart"/>
      <w:r w:rsidRPr="002C75B8">
        <w:rPr>
          <w:bCs/>
          <w:sz w:val="22"/>
          <w:lang w:val="en-US"/>
        </w:rPr>
        <w:t>ational</w:t>
      </w:r>
      <w:proofErr w:type="spellEnd"/>
      <w:r w:rsidRPr="002C75B8">
        <w:rPr>
          <w:bCs/>
          <w:sz w:val="22"/>
          <w:lang w:val="en-US"/>
        </w:rPr>
        <w:t xml:space="preserve"> </w:t>
      </w:r>
      <w:r>
        <w:rPr>
          <w:bCs/>
          <w:sz w:val="22"/>
          <w:lang w:val="en-US"/>
        </w:rPr>
        <w:t>l</w:t>
      </w:r>
      <w:r w:rsidRPr="002C75B8">
        <w:rPr>
          <w:bCs/>
          <w:sz w:val="22"/>
          <w:lang w:val="en-US"/>
        </w:rPr>
        <w:t xml:space="preserve">eishmaniasis control program. Case detection is passive. </w:t>
      </w:r>
    </w:p>
    <w:p w:rsidR="00E92380" w:rsidRPr="00902A2E" w:rsidRDefault="00E92380" w:rsidP="00E92380">
      <w:pPr>
        <w:spacing w:line="360" w:lineRule="auto"/>
        <w:ind w:left="0" w:firstLine="0"/>
        <w:rPr>
          <w:b/>
          <w:sz w:val="22"/>
          <w:lang w:val="en-GB"/>
        </w:rPr>
      </w:pPr>
    </w:p>
    <w:p w:rsidR="00E92380" w:rsidRPr="002C75B8" w:rsidRDefault="00E92380" w:rsidP="00E92380">
      <w:pPr>
        <w:spacing w:line="360" w:lineRule="auto"/>
        <w:ind w:left="0" w:firstLine="0"/>
        <w:rPr>
          <w:b/>
          <w:sz w:val="22"/>
          <w:lang w:val="en-US"/>
        </w:rPr>
      </w:pPr>
      <w:r w:rsidRPr="002C75B8">
        <w:rPr>
          <w:b/>
          <w:sz w:val="22"/>
          <w:lang w:val="en-US"/>
        </w:rPr>
        <w:t xml:space="preserve">DIAGNOSIS, TREATMENT </w:t>
      </w:r>
    </w:p>
    <w:p w:rsidR="00E92380" w:rsidRDefault="00E92380" w:rsidP="00E92380">
      <w:pPr>
        <w:ind w:left="0" w:firstLine="0"/>
        <w:rPr>
          <w:b/>
          <w:bCs/>
          <w:sz w:val="22"/>
          <w:lang w:val="en-US"/>
        </w:rPr>
      </w:pPr>
    </w:p>
    <w:p w:rsidR="00E92380" w:rsidRPr="00902A2E" w:rsidRDefault="00E92380" w:rsidP="00E92380">
      <w:pPr>
        <w:ind w:left="0" w:firstLine="0"/>
        <w:rPr>
          <w:b/>
          <w:bCs/>
          <w:sz w:val="22"/>
          <w:lang w:val="en-US"/>
        </w:rPr>
      </w:pPr>
      <w:r w:rsidRPr="00902A2E">
        <w:rPr>
          <w:b/>
          <w:bCs/>
          <w:sz w:val="22"/>
          <w:lang w:val="en-US"/>
        </w:rPr>
        <w:t>Diagnosis</w:t>
      </w:r>
    </w:p>
    <w:p w:rsidR="00E92380" w:rsidRPr="00BA3ACA" w:rsidRDefault="00E92380" w:rsidP="00E92380">
      <w:pPr>
        <w:ind w:left="0" w:firstLine="0"/>
        <w:rPr>
          <w:sz w:val="22"/>
        </w:rPr>
      </w:pPr>
      <w:r w:rsidRPr="00BA3ACA">
        <w:rPr>
          <w:sz w:val="22"/>
        </w:rPr>
        <w:t xml:space="preserve">CL: </w:t>
      </w:r>
      <w:proofErr w:type="spellStart"/>
      <w:r w:rsidRPr="00BA3ACA">
        <w:rPr>
          <w:sz w:val="22"/>
        </w:rPr>
        <w:t>on</w:t>
      </w:r>
      <w:proofErr w:type="spellEnd"/>
      <w:r w:rsidRPr="00BA3ACA">
        <w:rPr>
          <w:sz w:val="22"/>
        </w:rPr>
        <w:t xml:space="preserve"> </w:t>
      </w:r>
      <w:proofErr w:type="spellStart"/>
      <w:r w:rsidRPr="00BA3ACA">
        <w:rPr>
          <w:sz w:val="22"/>
        </w:rPr>
        <w:t>clinical</w:t>
      </w:r>
      <w:proofErr w:type="spellEnd"/>
      <w:r w:rsidRPr="00BA3ACA">
        <w:rPr>
          <w:sz w:val="22"/>
        </w:rPr>
        <w:t xml:space="preserve"> </w:t>
      </w:r>
      <w:proofErr w:type="spellStart"/>
      <w:r w:rsidRPr="00BA3ACA">
        <w:rPr>
          <w:sz w:val="22"/>
        </w:rPr>
        <w:t>grounds</w:t>
      </w:r>
      <w:proofErr w:type="spellEnd"/>
      <w:r w:rsidRPr="00BA3ACA">
        <w:rPr>
          <w:sz w:val="22"/>
        </w:rPr>
        <w:t xml:space="preserve">. </w:t>
      </w:r>
      <w:proofErr w:type="spellStart"/>
      <w:r w:rsidRPr="00BA3ACA">
        <w:rPr>
          <w:sz w:val="22"/>
        </w:rPr>
        <w:t>Confirmation</w:t>
      </w:r>
      <w:proofErr w:type="spellEnd"/>
      <w:r w:rsidRPr="00BA3ACA">
        <w:rPr>
          <w:sz w:val="22"/>
        </w:rPr>
        <w:t xml:space="preserve"> </w:t>
      </w:r>
      <w:proofErr w:type="spellStart"/>
      <w:r w:rsidRPr="00BA3ACA">
        <w:rPr>
          <w:sz w:val="22"/>
        </w:rPr>
        <w:t>with</w:t>
      </w:r>
      <w:proofErr w:type="spellEnd"/>
      <w:r w:rsidRPr="00BA3ACA">
        <w:rPr>
          <w:sz w:val="22"/>
        </w:rPr>
        <w:t xml:space="preserve"> </w:t>
      </w:r>
      <w:proofErr w:type="spellStart"/>
      <w:r w:rsidRPr="00BA3ACA">
        <w:rPr>
          <w:sz w:val="22"/>
        </w:rPr>
        <w:t>microscopic</w:t>
      </w:r>
      <w:proofErr w:type="spellEnd"/>
      <w:r w:rsidRPr="00BA3ACA">
        <w:rPr>
          <w:sz w:val="22"/>
        </w:rPr>
        <w:t xml:space="preserve"> </w:t>
      </w:r>
      <w:proofErr w:type="spellStart"/>
      <w:r w:rsidRPr="00BA3ACA">
        <w:rPr>
          <w:sz w:val="22"/>
        </w:rPr>
        <w:t>examination</w:t>
      </w:r>
      <w:proofErr w:type="spellEnd"/>
      <w:r w:rsidRPr="00BA3ACA">
        <w:rPr>
          <w:sz w:val="22"/>
        </w:rPr>
        <w:t xml:space="preserve"> of </w:t>
      </w:r>
      <w:proofErr w:type="spellStart"/>
      <w:r w:rsidRPr="00BA3ACA">
        <w:rPr>
          <w:sz w:val="22"/>
        </w:rPr>
        <w:t>skin</w:t>
      </w:r>
      <w:proofErr w:type="spellEnd"/>
      <w:r w:rsidRPr="00BA3ACA">
        <w:rPr>
          <w:sz w:val="22"/>
        </w:rPr>
        <w:t xml:space="preserve"> </w:t>
      </w:r>
      <w:proofErr w:type="spellStart"/>
      <w:r w:rsidRPr="00BA3ACA">
        <w:rPr>
          <w:sz w:val="22"/>
        </w:rPr>
        <w:t>lesion</w:t>
      </w:r>
      <w:proofErr w:type="spellEnd"/>
      <w:r w:rsidRPr="00BA3ACA">
        <w:rPr>
          <w:sz w:val="22"/>
        </w:rPr>
        <w:t xml:space="preserve"> </w:t>
      </w:r>
      <w:proofErr w:type="spellStart"/>
      <w:r w:rsidRPr="00BA3ACA">
        <w:rPr>
          <w:sz w:val="22"/>
        </w:rPr>
        <w:t>sample</w:t>
      </w:r>
      <w:proofErr w:type="spellEnd"/>
      <w:r w:rsidRPr="00BA3ACA">
        <w:rPr>
          <w:sz w:val="22"/>
        </w:rPr>
        <w:t xml:space="preserve"> in </w:t>
      </w:r>
      <w:proofErr w:type="spellStart"/>
      <w:r w:rsidRPr="00BA3ACA">
        <w:rPr>
          <w:sz w:val="22"/>
        </w:rPr>
        <w:t>specialized</w:t>
      </w:r>
      <w:proofErr w:type="spellEnd"/>
      <w:r w:rsidRPr="00BA3ACA">
        <w:rPr>
          <w:sz w:val="22"/>
        </w:rPr>
        <w:t xml:space="preserve"> </w:t>
      </w:r>
      <w:proofErr w:type="spellStart"/>
      <w:r w:rsidRPr="00BA3ACA">
        <w:rPr>
          <w:sz w:val="22"/>
        </w:rPr>
        <w:t>hospitals</w:t>
      </w:r>
      <w:proofErr w:type="spellEnd"/>
      <w:r w:rsidRPr="00BA3ACA">
        <w:rPr>
          <w:sz w:val="22"/>
        </w:rPr>
        <w:t xml:space="preserve">. PCR </w:t>
      </w:r>
      <w:proofErr w:type="spellStart"/>
      <w:r w:rsidRPr="00BA3ACA">
        <w:rPr>
          <w:sz w:val="22"/>
        </w:rPr>
        <w:t>is</w:t>
      </w:r>
      <w:proofErr w:type="spellEnd"/>
      <w:r w:rsidRPr="00BA3ACA">
        <w:rPr>
          <w:sz w:val="22"/>
        </w:rPr>
        <w:t xml:space="preserve"> </w:t>
      </w:r>
      <w:proofErr w:type="spellStart"/>
      <w:r w:rsidRPr="00BA3ACA">
        <w:rPr>
          <w:sz w:val="22"/>
        </w:rPr>
        <w:t>only</w:t>
      </w:r>
      <w:proofErr w:type="spellEnd"/>
      <w:r w:rsidRPr="00BA3ACA">
        <w:rPr>
          <w:sz w:val="22"/>
        </w:rPr>
        <w:t xml:space="preserve"> </w:t>
      </w:r>
      <w:proofErr w:type="spellStart"/>
      <w:r w:rsidRPr="00BA3ACA">
        <w:rPr>
          <w:sz w:val="22"/>
        </w:rPr>
        <w:t>possible</w:t>
      </w:r>
      <w:proofErr w:type="spellEnd"/>
      <w:r w:rsidRPr="00BA3ACA">
        <w:rPr>
          <w:sz w:val="22"/>
        </w:rPr>
        <w:t xml:space="preserve"> </w:t>
      </w:r>
      <w:proofErr w:type="spellStart"/>
      <w:r w:rsidRPr="00BA3ACA">
        <w:rPr>
          <w:sz w:val="22"/>
        </w:rPr>
        <w:t>outside</w:t>
      </w:r>
      <w:proofErr w:type="spellEnd"/>
      <w:r w:rsidRPr="00BA3ACA">
        <w:rPr>
          <w:sz w:val="22"/>
        </w:rPr>
        <w:t xml:space="preserve"> of </w:t>
      </w:r>
      <w:proofErr w:type="spellStart"/>
      <w:r w:rsidRPr="00BA3ACA">
        <w:rPr>
          <w:sz w:val="22"/>
        </w:rPr>
        <w:t>Jordan</w:t>
      </w:r>
      <w:proofErr w:type="spellEnd"/>
      <w:r w:rsidRPr="00BA3ACA">
        <w:rPr>
          <w:sz w:val="22"/>
        </w:rPr>
        <w:t xml:space="preserve">. </w:t>
      </w:r>
    </w:p>
    <w:p w:rsidR="00E92380" w:rsidRPr="00BA3ACA" w:rsidRDefault="00E92380" w:rsidP="00E92380">
      <w:pPr>
        <w:ind w:left="0" w:firstLine="0"/>
        <w:rPr>
          <w:color w:val="000000"/>
          <w:sz w:val="22"/>
          <w:lang w:val="en-US"/>
        </w:rPr>
      </w:pPr>
      <w:r w:rsidRPr="00BA3ACA">
        <w:rPr>
          <w:sz w:val="22"/>
        </w:rPr>
        <w:t xml:space="preserve">VL: </w:t>
      </w:r>
      <w:proofErr w:type="spellStart"/>
      <w:r w:rsidRPr="00BA3ACA">
        <w:rPr>
          <w:sz w:val="22"/>
        </w:rPr>
        <w:t>microscopic</w:t>
      </w:r>
      <w:proofErr w:type="spellEnd"/>
      <w:r w:rsidRPr="00BA3ACA">
        <w:rPr>
          <w:sz w:val="22"/>
        </w:rPr>
        <w:t xml:space="preserve"> </w:t>
      </w:r>
      <w:proofErr w:type="spellStart"/>
      <w:r w:rsidRPr="00BA3ACA">
        <w:rPr>
          <w:sz w:val="22"/>
        </w:rPr>
        <w:t>examination</w:t>
      </w:r>
      <w:proofErr w:type="spellEnd"/>
      <w:r w:rsidRPr="00BA3ACA">
        <w:rPr>
          <w:sz w:val="22"/>
        </w:rPr>
        <w:t xml:space="preserve"> of </w:t>
      </w:r>
      <w:proofErr w:type="spellStart"/>
      <w:r w:rsidRPr="00BA3ACA">
        <w:rPr>
          <w:sz w:val="22"/>
        </w:rPr>
        <w:t>aspirate</w:t>
      </w:r>
      <w:proofErr w:type="spellEnd"/>
      <w:r w:rsidRPr="00BA3ACA">
        <w:rPr>
          <w:sz w:val="22"/>
        </w:rPr>
        <w:t xml:space="preserve"> (</w:t>
      </w:r>
      <w:proofErr w:type="spellStart"/>
      <w:r w:rsidRPr="00BA3ACA">
        <w:rPr>
          <w:sz w:val="22"/>
        </w:rPr>
        <w:t>sometimes</w:t>
      </w:r>
      <w:proofErr w:type="spellEnd"/>
      <w:r w:rsidRPr="00BA3ACA">
        <w:rPr>
          <w:sz w:val="22"/>
        </w:rPr>
        <w:t xml:space="preserve"> </w:t>
      </w:r>
      <w:proofErr w:type="spellStart"/>
      <w:r w:rsidRPr="00BA3ACA">
        <w:rPr>
          <w:sz w:val="22"/>
        </w:rPr>
        <w:t>with</w:t>
      </w:r>
      <w:proofErr w:type="spellEnd"/>
      <w:r w:rsidRPr="00BA3ACA">
        <w:rPr>
          <w:sz w:val="22"/>
        </w:rPr>
        <w:t xml:space="preserve"> </w:t>
      </w:r>
      <w:proofErr w:type="spellStart"/>
      <w:r w:rsidRPr="00BA3ACA">
        <w:rPr>
          <w:sz w:val="22"/>
        </w:rPr>
        <w:t>cultures</w:t>
      </w:r>
      <w:proofErr w:type="spellEnd"/>
      <w:r w:rsidRPr="00BA3ACA">
        <w:rPr>
          <w:sz w:val="22"/>
        </w:rPr>
        <w:t xml:space="preserve">) in </w:t>
      </w:r>
      <w:proofErr w:type="spellStart"/>
      <w:r w:rsidRPr="00BA3ACA">
        <w:rPr>
          <w:sz w:val="22"/>
        </w:rPr>
        <w:t>specialized</w:t>
      </w:r>
      <w:proofErr w:type="spellEnd"/>
      <w:r w:rsidRPr="00BA3ACA">
        <w:rPr>
          <w:sz w:val="22"/>
        </w:rPr>
        <w:t xml:space="preserve"> </w:t>
      </w:r>
      <w:proofErr w:type="spellStart"/>
      <w:r w:rsidRPr="00BA3ACA">
        <w:rPr>
          <w:sz w:val="22"/>
        </w:rPr>
        <w:t>hospitals</w:t>
      </w:r>
      <w:proofErr w:type="spellEnd"/>
      <w:r w:rsidRPr="00BA3ACA">
        <w:rPr>
          <w:sz w:val="22"/>
        </w:rPr>
        <w:t xml:space="preserve">. PCR </w:t>
      </w:r>
      <w:proofErr w:type="spellStart"/>
      <w:r w:rsidRPr="00BA3ACA">
        <w:rPr>
          <w:sz w:val="22"/>
        </w:rPr>
        <w:t>is</w:t>
      </w:r>
      <w:proofErr w:type="spellEnd"/>
      <w:r w:rsidRPr="00BA3ACA">
        <w:rPr>
          <w:sz w:val="22"/>
        </w:rPr>
        <w:t xml:space="preserve"> </w:t>
      </w:r>
      <w:proofErr w:type="spellStart"/>
      <w:r w:rsidRPr="00BA3ACA">
        <w:rPr>
          <w:sz w:val="22"/>
        </w:rPr>
        <w:t>only</w:t>
      </w:r>
      <w:proofErr w:type="spellEnd"/>
      <w:r w:rsidRPr="00BA3ACA">
        <w:rPr>
          <w:color w:val="000000"/>
          <w:sz w:val="22"/>
          <w:lang w:val="en-US"/>
        </w:rPr>
        <w:t xml:space="preserve"> possible outside of Jordan. </w:t>
      </w:r>
    </w:p>
    <w:p w:rsidR="00E92380" w:rsidRPr="00BA3ACA" w:rsidRDefault="00E92380" w:rsidP="00E92380">
      <w:pPr>
        <w:tabs>
          <w:tab w:val="left" w:pos="2970"/>
        </w:tabs>
        <w:ind w:left="360" w:hanging="360"/>
        <w:rPr>
          <w:color w:val="000000"/>
          <w:sz w:val="22"/>
          <w:lang w:val="en-US"/>
        </w:rPr>
      </w:pPr>
    </w:p>
    <w:p w:rsidR="00E92380" w:rsidRPr="00902A2E" w:rsidRDefault="00E92380" w:rsidP="00E92380">
      <w:pPr>
        <w:ind w:left="0" w:firstLine="0"/>
        <w:rPr>
          <w:b/>
          <w:bCs/>
          <w:sz w:val="22"/>
          <w:lang w:val="en-US"/>
        </w:rPr>
      </w:pPr>
      <w:r w:rsidRPr="00902A2E">
        <w:rPr>
          <w:b/>
          <w:bCs/>
          <w:sz w:val="22"/>
          <w:lang w:val="en-US"/>
        </w:rPr>
        <w:t>Treatment</w:t>
      </w:r>
    </w:p>
    <w:p w:rsidR="00E92380" w:rsidRPr="00562689" w:rsidRDefault="00E92380" w:rsidP="00E92380">
      <w:pPr>
        <w:ind w:left="0" w:firstLine="0"/>
        <w:rPr>
          <w:sz w:val="22"/>
        </w:rPr>
      </w:pPr>
      <w:r w:rsidRPr="00BA3ACA">
        <w:rPr>
          <w:sz w:val="22"/>
        </w:rPr>
        <w:t>CL:</w:t>
      </w:r>
      <w:r>
        <w:rPr>
          <w:sz w:val="22"/>
        </w:rPr>
        <w:t xml:space="preserve"> </w:t>
      </w:r>
      <w:r w:rsidRPr="00BA3ACA">
        <w:rPr>
          <w:sz w:val="22"/>
        </w:rPr>
        <w:t>antimonials</w:t>
      </w:r>
      <w:r w:rsidRPr="00BA3ACA">
        <w:rPr>
          <w:sz w:val="22"/>
          <w:lang w:val="en-US"/>
        </w:rPr>
        <w:t>, intralesional and systemic (</w:t>
      </w:r>
      <w:r w:rsidRPr="00BA3ACA">
        <w:rPr>
          <w:bCs/>
          <w:color w:val="000000"/>
          <w:sz w:val="22"/>
          <w:lang w:val="en-GB"/>
        </w:rPr>
        <w:t xml:space="preserve">10 mg </w:t>
      </w:r>
      <w:proofErr w:type="spellStart"/>
      <w:r w:rsidRPr="00BA3ACA">
        <w:rPr>
          <w:bCs/>
          <w:color w:val="000000"/>
          <w:sz w:val="22"/>
          <w:lang w:val="en-GB"/>
        </w:rPr>
        <w:t>Sb</w:t>
      </w:r>
      <w:r w:rsidRPr="00BA3ACA">
        <w:rPr>
          <w:bCs/>
          <w:color w:val="000000"/>
          <w:sz w:val="22"/>
          <w:vertAlign w:val="superscript"/>
          <w:lang w:val="en-GB"/>
        </w:rPr>
        <w:t>v</w:t>
      </w:r>
      <w:proofErr w:type="spellEnd"/>
      <w:r w:rsidRPr="00BA3ACA">
        <w:rPr>
          <w:bCs/>
          <w:color w:val="000000"/>
          <w:sz w:val="22"/>
          <w:lang w:val="en-GB"/>
        </w:rPr>
        <w:t>/kg/day</w:t>
      </w:r>
      <w:r w:rsidRPr="00BA3ACA">
        <w:rPr>
          <w:sz w:val="22"/>
          <w:lang w:val="en-US"/>
        </w:rPr>
        <w:t>), cryotherapy and antibiotics.</w:t>
      </w:r>
      <w:r w:rsidRPr="002C75B8">
        <w:rPr>
          <w:sz w:val="22"/>
          <w:lang w:val="en-US"/>
        </w:rPr>
        <w:t xml:space="preserve"> Reported cure rate for topical treatment with antimonials is 100%. </w:t>
      </w:r>
    </w:p>
    <w:p w:rsidR="00E92380" w:rsidRPr="002C75B8" w:rsidRDefault="00E92380" w:rsidP="00E92380">
      <w:pPr>
        <w:spacing w:line="360" w:lineRule="auto"/>
        <w:ind w:left="0" w:firstLine="0"/>
        <w:rPr>
          <w:b/>
          <w:bCs/>
          <w:sz w:val="22"/>
          <w:lang w:val="en-US"/>
        </w:rPr>
      </w:pPr>
    </w:p>
    <w:p w:rsidR="00E92380" w:rsidRPr="002C75B8" w:rsidRDefault="00E92380" w:rsidP="00E92380">
      <w:pPr>
        <w:spacing w:line="360" w:lineRule="auto"/>
        <w:ind w:left="0" w:firstLine="0"/>
        <w:rPr>
          <w:b/>
          <w:bCs/>
          <w:sz w:val="22"/>
          <w:lang w:val="en-US"/>
        </w:rPr>
      </w:pPr>
      <w:r w:rsidRPr="002C75B8">
        <w:rPr>
          <w:b/>
          <w:bCs/>
          <w:sz w:val="22"/>
          <w:lang w:val="en-US"/>
        </w:rPr>
        <w:t>ACCESS TO CARE</w:t>
      </w:r>
    </w:p>
    <w:p w:rsidR="00E92380" w:rsidRPr="002C75B8" w:rsidRDefault="00E92380" w:rsidP="00E92380">
      <w:pPr>
        <w:pStyle w:val="ListParagraph"/>
        <w:tabs>
          <w:tab w:val="left" w:pos="1230"/>
        </w:tabs>
        <w:ind w:left="0" w:firstLine="0"/>
      </w:pPr>
      <w:proofErr w:type="spellStart"/>
      <w:r w:rsidRPr="002C75B8">
        <w:t>Medical</w:t>
      </w:r>
      <w:proofErr w:type="spellEnd"/>
      <w:r w:rsidRPr="002C75B8">
        <w:t xml:space="preserve"> </w:t>
      </w:r>
      <w:proofErr w:type="spellStart"/>
      <w:r w:rsidRPr="002C75B8">
        <w:t>care</w:t>
      </w:r>
      <w:proofErr w:type="spellEnd"/>
      <w:r w:rsidRPr="002C75B8">
        <w:t xml:space="preserve"> </w:t>
      </w:r>
      <w:proofErr w:type="spellStart"/>
      <w:r w:rsidRPr="002C75B8">
        <w:t>is</w:t>
      </w:r>
      <w:proofErr w:type="spellEnd"/>
      <w:r w:rsidRPr="002C75B8">
        <w:t xml:space="preserve"> </w:t>
      </w:r>
      <w:proofErr w:type="spellStart"/>
      <w:r w:rsidRPr="002C75B8">
        <w:t>provided</w:t>
      </w:r>
      <w:proofErr w:type="spellEnd"/>
      <w:r w:rsidRPr="002C75B8">
        <w:t xml:space="preserve"> </w:t>
      </w:r>
      <w:proofErr w:type="spellStart"/>
      <w:r w:rsidRPr="002C75B8">
        <w:t>for</w:t>
      </w:r>
      <w:proofErr w:type="spellEnd"/>
      <w:r w:rsidRPr="002C75B8">
        <w:t xml:space="preserve"> free in </w:t>
      </w:r>
      <w:proofErr w:type="spellStart"/>
      <w:smartTag w:uri="urn:schemas-microsoft-com:office:smarttags" w:element="country-region">
        <w:smartTag w:uri="urn:schemas-microsoft-com:office:smarttags" w:element="place">
          <w:r w:rsidRPr="002C75B8">
            <w:t>Jordan</w:t>
          </w:r>
        </w:smartTag>
      </w:smartTag>
      <w:proofErr w:type="spellEnd"/>
      <w:r w:rsidRPr="002C75B8">
        <w:t xml:space="preserve">, </w:t>
      </w:r>
      <w:r>
        <w:t>and</w:t>
      </w:r>
      <w:r w:rsidRPr="002C75B8">
        <w:t xml:space="preserve"> </w:t>
      </w:r>
      <w:proofErr w:type="spellStart"/>
      <w:r w:rsidRPr="002C75B8">
        <w:t>includes</w:t>
      </w:r>
      <w:proofErr w:type="spellEnd"/>
      <w:r w:rsidRPr="002C75B8">
        <w:t xml:space="preserve"> </w:t>
      </w:r>
      <w:proofErr w:type="spellStart"/>
      <w:r w:rsidRPr="002C75B8">
        <w:t>care</w:t>
      </w:r>
      <w:proofErr w:type="spellEnd"/>
      <w:r w:rsidRPr="002C75B8">
        <w:t xml:space="preserve"> </w:t>
      </w:r>
      <w:proofErr w:type="spellStart"/>
      <w:r w:rsidRPr="002C75B8">
        <w:t>for</w:t>
      </w:r>
      <w:proofErr w:type="spellEnd"/>
      <w:r w:rsidRPr="002C75B8">
        <w:t xml:space="preserve"> leishmaniasis. A </w:t>
      </w:r>
      <w:proofErr w:type="spellStart"/>
      <w:r w:rsidRPr="002C75B8">
        <w:t>small</w:t>
      </w:r>
      <w:proofErr w:type="spellEnd"/>
      <w:r w:rsidRPr="002C75B8">
        <w:t xml:space="preserve"> </w:t>
      </w:r>
      <w:proofErr w:type="spellStart"/>
      <w:r w:rsidRPr="002C75B8">
        <w:t>number</w:t>
      </w:r>
      <w:proofErr w:type="spellEnd"/>
      <w:r w:rsidRPr="002C75B8">
        <w:t xml:space="preserve"> of </w:t>
      </w:r>
      <w:proofErr w:type="spellStart"/>
      <w:r w:rsidRPr="002C75B8">
        <w:t>patients</w:t>
      </w:r>
      <w:proofErr w:type="spellEnd"/>
      <w:r w:rsidRPr="002C75B8">
        <w:t xml:space="preserve"> </w:t>
      </w:r>
      <w:proofErr w:type="spellStart"/>
      <w:r w:rsidRPr="002C75B8">
        <w:t>is</w:t>
      </w:r>
      <w:proofErr w:type="spellEnd"/>
      <w:r w:rsidRPr="002C75B8">
        <w:t xml:space="preserve"> </w:t>
      </w:r>
      <w:proofErr w:type="spellStart"/>
      <w:r w:rsidRPr="002C75B8">
        <w:t>treated</w:t>
      </w:r>
      <w:proofErr w:type="spellEnd"/>
      <w:r w:rsidRPr="002C75B8">
        <w:t xml:space="preserve"> </w:t>
      </w:r>
      <w:proofErr w:type="spellStart"/>
      <w:r w:rsidRPr="002C75B8">
        <w:t>outside</w:t>
      </w:r>
      <w:proofErr w:type="spellEnd"/>
      <w:r w:rsidRPr="002C75B8">
        <w:t xml:space="preserve"> the </w:t>
      </w:r>
      <w:proofErr w:type="spellStart"/>
      <w:r w:rsidRPr="002C75B8">
        <w:t>public</w:t>
      </w:r>
      <w:proofErr w:type="spellEnd"/>
      <w:r w:rsidRPr="002C75B8">
        <w:t xml:space="preserve"> </w:t>
      </w:r>
      <w:proofErr w:type="spellStart"/>
      <w:r w:rsidRPr="002C75B8">
        <w:t>health</w:t>
      </w:r>
      <w:proofErr w:type="spellEnd"/>
      <w:r w:rsidRPr="002C75B8">
        <w:t xml:space="preserve"> </w:t>
      </w:r>
      <w:proofErr w:type="spellStart"/>
      <w:r w:rsidRPr="002C75B8">
        <w:t>system</w:t>
      </w:r>
      <w:proofErr w:type="spellEnd"/>
      <w:r>
        <w:t>,</w:t>
      </w:r>
      <w:r w:rsidRPr="002C75B8">
        <w:t xml:space="preserve"> </w:t>
      </w:r>
      <w:proofErr w:type="spellStart"/>
      <w:r w:rsidRPr="002C75B8">
        <w:t>by</w:t>
      </w:r>
      <w:proofErr w:type="spellEnd"/>
      <w:r w:rsidRPr="002C75B8">
        <w:t xml:space="preserve"> the Royal </w:t>
      </w:r>
      <w:proofErr w:type="spellStart"/>
      <w:r w:rsidRPr="002C75B8">
        <w:t>Medical</w:t>
      </w:r>
      <w:proofErr w:type="spellEnd"/>
      <w:r w:rsidRPr="002C75B8">
        <w:t xml:space="preserve"> </w:t>
      </w:r>
      <w:proofErr w:type="spellStart"/>
      <w:r w:rsidRPr="002C75B8">
        <w:t>Services</w:t>
      </w:r>
      <w:proofErr w:type="spellEnd"/>
      <w:r w:rsidRPr="002C75B8">
        <w:t xml:space="preserve">. VL can </w:t>
      </w:r>
      <w:proofErr w:type="spellStart"/>
      <w:r w:rsidRPr="002C75B8">
        <w:t>only</w:t>
      </w:r>
      <w:proofErr w:type="spellEnd"/>
      <w:r w:rsidRPr="002C75B8">
        <w:t xml:space="preserve"> </w:t>
      </w:r>
      <w:proofErr w:type="spellStart"/>
      <w:r w:rsidRPr="002C75B8">
        <w:t>be</w:t>
      </w:r>
      <w:proofErr w:type="spellEnd"/>
      <w:r w:rsidRPr="002C75B8">
        <w:t xml:space="preserve"> </w:t>
      </w:r>
      <w:proofErr w:type="spellStart"/>
      <w:r w:rsidRPr="002C75B8">
        <w:t>diagnosed</w:t>
      </w:r>
      <w:proofErr w:type="spellEnd"/>
      <w:r w:rsidRPr="002C75B8">
        <w:t xml:space="preserve"> and </w:t>
      </w:r>
      <w:proofErr w:type="spellStart"/>
      <w:r w:rsidRPr="002C75B8">
        <w:t>treated</w:t>
      </w:r>
      <w:proofErr w:type="spellEnd"/>
      <w:r w:rsidRPr="002C75B8">
        <w:t xml:space="preserve"> in </w:t>
      </w:r>
      <w:proofErr w:type="spellStart"/>
      <w:r w:rsidRPr="002C75B8">
        <w:t>specialized</w:t>
      </w:r>
      <w:proofErr w:type="spellEnd"/>
      <w:r w:rsidRPr="002C75B8">
        <w:t xml:space="preserve"> </w:t>
      </w:r>
      <w:proofErr w:type="spellStart"/>
      <w:r w:rsidRPr="002C75B8">
        <w:t>hospitals</w:t>
      </w:r>
      <w:proofErr w:type="spellEnd"/>
      <w:r w:rsidRPr="002C75B8">
        <w:t xml:space="preserve">. CL </w:t>
      </w:r>
      <w:proofErr w:type="spellStart"/>
      <w:r w:rsidRPr="002C75B8">
        <w:t>is</w:t>
      </w:r>
      <w:proofErr w:type="spellEnd"/>
      <w:r w:rsidRPr="002C75B8">
        <w:t xml:space="preserve"> </w:t>
      </w:r>
      <w:proofErr w:type="spellStart"/>
      <w:r w:rsidRPr="002C75B8">
        <w:t>diagnosed</w:t>
      </w:r>
      <w:proofErr w:type="spellEnd"/>
      <w:r w:rsidRPr="002C75B8">
        <w:t xml:space="preserve"> (</w:t>
      </w:r>
      <w:proofErr w:type="spellStart"/>
      <w:r w:rsidRPr="002C75B8">
        <w:t>on</w:t>
      </w:r>
      <w:proofErr w:type="spellEnd"/>
      <w:r w:rsidRPr="002C75B8">
        <w:t xml:space="preserve"> </w:t>
      </w:r>
      <w:proofErr w:type="spellStart"/>
      <w:r w:rsidRPr="002C75B8">
        <w:t>clinical</w:t>
      </w:r>
      <w:proofErr w:type="spellEnd"/>
      <w:r w:rsidRPr="002C75B8">
        <w:t xml:space="preserve"> </w:t>
      </w:r>
      <w:proofErr w:type="spellStart"/>
      <w:r w:rsidRPr="002C75B8">
        <w:t>grounds</w:t>
      </w:r>
      <w:proofErr w:type="spellEnd"/>
      <w:r w:rsidRPr="002C75B8">
        <w:t xml:space="preserve">) and </w:t>
      </w:r>
      <w:proofErr w:type="spellStart"/>
      <w:r w:rsidRPr="002C75B8">
        <w:t>treated</w:t>
      </w:r>
      <w:proofErr w:type="spellEnd"/>
      <w:r w:rsidRPr="002C75B8">
        <w:t xml:space="preserve"> in </w:t>
      </w:r>
      <w:proofErr w:type="spellStart"/>
      <w:r w:rsidRPr="002C75B8">
        <w:t>health</w:t>
      </w:r>
      <w:proofErr w:type="spellEnd"/>
      <w:r w:rsidRPr="002C75B8">
        <w:t xml:space="preserve"> </w:t>
      </w:r>
      <w:proofErr w:type="spellStart"/>
      <w:r w:rsidRPr="002C75B8">
        <w:t>posts</w:t>
      </w:r>
      <w:proofErr w:type="spellEnd"/>
      <w:r w:rsidRPr="002C75B8">
        <w:t xml:space="preserve"> and </w:t>
      </w:r>
      <w:proofErr w:type="spellStart"/>
      <w:r w:rsidRPr="002C75B8">
        <w:t>health</w:t>
      </w:r>
      <w:proofErr w:type="spellEnd"/>
      <w:r w:rsidRPr="002C75B8">
        <w:t xml:space="preserve"> cente</w:t>
      </w:r>
      <w:r>
        <w:t>r</w:t>
      </w:r>
      <w:r w:rsidRPr="002C75B8">
        <w:t>s</w:t>
      </w:r>
      <w:r>
        <w:t>,</w:t>
      </w:r>
      <w:r w:rsidRPr="002C75B8">
        <w:t xml:space="preserve"> </w:t>
      </w:r>
      <w:proofErr w:type="spellStart"/>
      <w:r w:rsidRPr="002C75B8">
        <w:t>but</w:t>
      </w:r>
      <w:proofErr w:type="spellEnd"/>
      <w:r w:rsidRPr="002C75B8">
        <w:t xml:space="preserve"> </w:t>
      </w:r>
      <w:proofErr w:type="spellStart"/>
      <w:r w:rsidRPr="002C75B8">
        <w:t>there</w:t>
      </w:r>
      <w:proofErr w:type="spellEnd"/>
      <w:r w:rsidRPr="002C75B8">
        <w:t xml:space="preserve"> </w:t>
      </w:r>
      <w:proofErr w:type="spellStart"/>
      <w:r w:rsidRPr="002C75B8">
        <w:t>is</w:t>
      </w:r>
      <w:proofErr w:type="spellEnd"/>
      <w:r w:rsidRPr="002C75B8">
        <w:t xml:space="preserve"> no </w:t>
      </w:r>
      <w:proofErr w:type="spellStart"/>
      <w:r w:rsidRPr="002C75B8">
        <w:t>treatment</w:t>
      </w:r>
      <w:proofErr w:type="spellEnd"/>
      <w:r w:rsidRPr="002C75B8">
        <w:t xml:space="preserve"> </w:t>
      </w:r>
      <w:proofErr w:type="spellStart"/>
      <w:r w:rsidRPr="002C75B8">
        <w:t>available</w:t>
      </w:r>
      <w:proofErr w:type="spellEnd"/>
      <w:r>
        <w:t xml:space="preserve"> at </w:t>
      </w:r>
      <w:proofErr w:type="spellStart"/>
      <w:r>
        <w:t>this</w:t>
      </w:r>
      <w:proofErr w:type="spellEnd"/>
      <w:r>
        <w:t xml:space="preserve"> </w:t>
      </w:r>
      <w:proofErr w:type="spellStart"/>
      <w:r>
        <w:t>level</w:t>
      </w:r>
      <w:proofErr w:type="spellEnd"/>
      <w:r>
        <w:t>,</w:t>
      </w:r>
      <w:r w:rsidRPr="002C75B8">
        <w:t xml:space="preserve"> </w:t>
      </w:r>
      <w:proofErr w:type="spellStart"/>
      <w:r w:rsidRPr="002C75B8">
        <w:t>other</w:t>
      </w:r>
      <w:proofErr w:type="spellEnd"/>
      <w:r w:rsidRPr="002C75B8">
        <w:t xml:space="preserve"> </w:t>
      </w:r>
      <w:proofErr w:type="spellStart"/>
      <w:r w:rsidRPr="002C75B8">
        <w:t>than</w:t>
      </w:r>
      <w:proofErr w:type="spellEnd"/>
      <w:r w:rsidRPr="002C75B8">
        <w:t xml:space="preserve"> </w:t>
      </w:r>
      <w:proofErr w:type="spellStart"/>
      <w:r w:rsidRPr="002C75B8">
        <w:t>topical</w:t>
      </w:r>
      <w:proofErr w:type="spellEnd"/>
      <w:r w:rsidRPr="002C75B8">
        <w:t xml:space="preserve"> and oral </w:t>
      </w:r>
      <w:proofErr w:type="spellStart"/>
      <w:r w:rsidRPr="002C75B8">
        <w:t>antibiotics</w:t>
      </w:r>
      <w:proofErr w:type="spellEnd"/>
      <w:r w:rsidRPr="002C75B8">
        <w:t xml:space="preserve">. Antimonials and cryotherapy are </w:t>
      </w:r>
      <w:proofErr w:type="spellStart"/>
      <w:r w:rsidRPr="002C75B8">
        <w:t>only</w:t>
      </w:r>
      <w:proofErr w:type="spellEnd"/>
      <w:r w:rsidRPr="002C75B8">
        <w:t xml:space="preserve"> </w:t>
      </w:r>
      <w:proofErr w:type="spellStart"/>
      <w:r w:rsidRPr="002C75B8">
        <w:t>provided</w:t>
      </w:r>
      <w:proofErr w:type="spellEnd"/>
      <w:r w:rsidRPr="002C75B8">
        <w:t xml:space="preserve"> at hospital </w:t>
      </w:r>
      <w:proofErr w:type="spellStart"/>
      <w:r w:rsidRPr="002C75B8">
        <w:t>level</w:t>
      </w:r>
      <w:proofErr w:type="spellEnd"/>
      <w:r w:rsidRPr="002C75B8">
        <w:t xml:space="preserve">. The </w:t>
      </w:r>
      <w:proofErr w:type="spellStart"/>
      <w:r w:rsidRPr="002C75B8">
        <w:t>Ministry</w:t>
      </w:r>
      <w:proofErr w:type="spellEnd"/>
      <w:r w:rsidRPr="002C75B8">
        <w:t xml:space="preserve"> of </w:t>
      </w:r>
      <w:proofErr w:type="spellStart"/>
      <w:r w:rsidRPr="002C75B8">
        <w:t>Health</w:t>
      </w:r>
      <w:proofErr w:type="spellEnd"/>
      <w:r w:rsidRPr="002C75B8">
        <w:t xml:space="preserve"> </w:t>
      </w:r>
      <w:proofErr w:type="spellStart"/>
      <w:r w:rsidRPr="002C75B8">
        <w:t>provided</w:t>
      </w:r>
      <w:proofErr w:type="spellEnd"/>
      <w:r w:rsidRPr="002C75B8">
        <w:t xml:space="preserve"> antimonials (Pentostam, GSK) </w:t>
      </w:r>
      <w:proofErr w:type="spellStart"/>
      <w:r w:rsidRPr="002C75B8">
        <w:t>for</w:t>
      </w:r>
      <w:proofErr w:type="spellEnd"/>
      <w:r w:rsidRPr="002C75B8">
        <w:t xml:space="preserve"> the </w:t>
      </w:r>
      <w:proofErr w:type="spellStart"/>
      <w:r w:rsidRPr="002C75B8">
        <w:t>topical</w:t>
      </w:r>
      <w:proofErr w:type="spellEnd"/>
      <w:r w:rsidRPr="002C75B8">
        <w:t xml:space="preserve"> </w:t>
      </w:r>
      <w:proofErr w:type="spellStart"/>
      <w:r w:rsidRPr="002C75B8">
        <w:t>treatment</w:t>
      </w:r>
      <w:proofErr w:type="spellEnd"/>
      <w:r w:rsidRPr="002C75B8">
        <w:t xml:space="preserve"> of </w:t>
      </w:r>
      <w:proofErr w:type="spellStart"/>
      <w:r w:rsidRPr="002C75B8">
        <w:t>about</w:t>
      </w:r>
      <w:proofErr w:type="spellEnd"/>
      <w:r w:rsidRPr="002C75B8">
        <w:t xml:space="preserve"> 100 </w:t>
      </w:r>
      <w:proofErr w:type="spellStart"/>
      <w:r w:rsidRPr="002C75B8">
        <w:t>patients</w:t>
      </w:r>
      <w:proofErr w:type="spellEnd"/>
      <w:r w:rsidRPr="002C75B8">
        <w:t xml:space="preserve"> in 2007 and </w:t>
      </w:r>
      <w:proofErr w:type="spellStart"/>
      <w:r w:rsidRPr="002C75B8">
        <w:t>about</w:t>
      </w:r>
      <w:proofErr w:type="spellEnd"/>
      <w:r w:rsidRPr="002C75B8">
        <w:t xml:space="preserve"> 375 </w:t>
      </w:r>
      <w:proofErr w:type="spellStart"/>
      <w:r w:rsidRPr="002C75B8">
        <w:t>patients</w:t>
      </w:r>
      <w:proofErr w:type="spellEnd"/>
      <w:r w:rsidRPr="002C75B8">
        <w:t xml:space="preserve"> in 2008, </w:t>
      </w:r>
      <w:proofErr w:type="spellStart"/>
      <w:r>
        <w:t>which</w:t>
      </w:r>
      <w:proofErr w:type="spellEnd"/>
      <w:r>
        <w:t xml:space="preserve"> </w:t>
      </w:r>
      <w:proofErr w:type="spellStart"/>
      <w:r>
        <w:t>is</w:t>
      </w:r>
      <w:proofErr w:type="spellEnd"/>
      <w:r>
        <w:t xml:space="preserve"> </w:t>
      </w:r>
      <w:proofErr w:type="spellStart"/>
      <w:r w:rsidRPr="002C75B8">
        <w:t>less</w:t>
      </w:r>
      <w:proofErr w:type="spellEnd"/>
      <w:r w:rsidRPr="002C75B8">
        <w:t xml:space="preserve"> </w:t>
      </w:r>
      <w:proofErr w:type="spellStart"/>
      <w:r w:rsidRPr="002C75B8">
        <w:t>than</w:t>
      </w:r>
      <w:proofErr w:type="spellEnd"/>
      <w:r w:rsidRPr="002C75B8">
        <w:t xml:space="preserve"> the </w:t>
      </w:r>
      <w:proofErr w:type="spellStart"/>
      <w:r>
        <w:t>number</w:t>
      </w:r>
      <w:proofErr w:type="spellEnd"/>
      <w:r w:rsidRPr="002C75B8">
        <w:t xml:space="preserve"> of </w:t>
      </w:r>
      <w:proofErr w:type="spellStart"/>
      <w:r w:rsidRPr="002C75B8">
        <w:t>patients</w:t>
      </w:r>
      <w:proofErr w:type="spellEnd"/>
      <w:r w:rsidRPr="002C75B8">
        <w:t xml:space="preserve"> </w:t>
      </w:r>
      <w:proofErr w:type="spellStart"/>
      <w:r w:rsidRPr="002C75B8">
        <w:t>reported</w:t>
      </w:r>
      <w:proofErr w:type="spellEnd"/>
      <w:r w:rsidRPr="002C75B8">
        <w:t xml:space="preserve">, </w:t>
      </w:r>
      <w:proofErr w:type="spellStart"/>
      <w:r>
        <w:t>therefore</w:t>
      </w:r>
      <w:proofErr w:type="spellEnd"/>
      <w:r>
        <w:t xml:space="preserve">, </w:t>
      </w:r>
      <w:proofErr w:type="spellStart"/>
      <w:r w:rsidRPr="002C75B8">
        <w:t>leading</w:t>
      </w:r>
      <w:proofErr w:type="spellEnd"/>
      <w:r w:rsidRPr="002C75B8">
        <w:t xml:space="preserve"> </w:t>
      </w:r>
      <w:proofErr w:type="spellStart"/>
      <w:r w:rsidRPr="002C75B8">
        <w:t>to</w:t>
      </w:r>
      <w:proofErr w:type="spellEnd"/>
      <w:r w:rsidRPr="002C75B8">
        <w:t xml:space="preserve"> </w:t>
      </w:r>
      <w:proofErr w:type="spellStart"/>
      <w:r w:rsidRPr="002C75B8">
        <w:t>drug</w:t>
      </w:r>
      <w:proofErr w:type="spellEnd"/>
      <w:r w:rsidRPr="002C75B8">
        <w:t xml:space="preserve"> </w:t>
      </w:r>
      <w:proofErr w:type="spellStart"/>
      <w:r w:rsidRPr="002C75B8">
        <w:t>shortages</w:t>
      </w:r>
      <w:proofErr w:type="spellEnd"/>
      <w:r w:rsidRPr="002C75B8">
        <w:t xml:space="preserve">. </w:t>
      </w:r>
      <w:proofErr w:type="spellStart"/>
      <w:r w:rsidRPr="002C75B8">
        <w:t>There</w:t>
      </w:r>
      <w:proofErr w:type="spellEnd"/>
      <w:r w:rsidRPr="002C75B8">
        <w:t xml:space="preserve"> </w:t>
      </w:r>
      <w:proofErr w:type="spellStart"/>
      <w:r w:rsidRPr="002C75B8">
        <w:t>is</w:t>
      </w:r>
      <w:proofErr w:type="spellEnd"/>
      <w:r w:rsidRPr="002C75B8">
        <w:t xml:space="preserve"> a </w:t>
      </w:r>
      <w:proofErr w:type="spellStart"/>
      <w:r w:rsidRPr="002C75B8">
        <w:t>lack</w:t>
      </w:r>
      <w:proofErr w:type="spellEnd"/>
      <w:r w:rsidRPr="002C75B8">
        <w:t xml:space="preserve"> of </w:t>
      </w:r>
      <w:proofErr w:type="spellStart"/>
      <w:r w:rsidRPr="002C75B8">
        <w:t>trained</w:t>
      </w:r>
      <w:proofErr w:type="spellEnd"/>
      <w:r w:rsidRPr="002C75B8">
        <w:t xml:space="preserve"> </w:t>
      </w:r>
      <w:proofErr w:type="spellStart"/>
      <w:r w:rsidRPr="002C75B8">
        <w:t>human</w:t>
      </w:r>
      <w:proofErr w:type="spellEnd"/>
      <w:r w:rsidRPr="002C75B8">
        <w:t xml:space="preserve"> </w:t>
      </w:r>
      <w:proofErr w:type="spellStart"/>
      <w:r w:rsidRPr="002C75B8">
        <w:t>resources</w:t>
      </w:r>
      <w:proofErr w:type="spellEnd"/>
      <w:r w:rsidRPr="002C75B8">
        <w:t xml:space="preserve"> </w:t>
      </w:r>
      <w:proofErr w:type="spellStart"/>
      <w:r w:rsidRPr="002C75B8">
        <w:t>to</w:t>
      </w:r>
      <w:proofErr w:type="spellEnd"/>
      <w:r w:rsidRPr="002C75B8">
        <w:t xml:space="preserve"> </w:t>
      </w:r>
      <w:proofErr w:type="spellStart"/>
      <w:r w:rsidRPr="002C75B8">
        <w:t>treat</w:t>
      </w:r>
      <w:proofErr w:type="spellEnd"/>
      <w:r w:rsidRPr="002C75B8">
        <w:t xml:space="preserve"> CL and a </w:t>
      </w:r>
      <w:proofErr w:type="spellStart"/>
      <w:r w:rsidRPr="002C75B8">
        <w:t>lack</w:t>
      </w:r>
      <w:proofErr w:type="spellEnd"/>
      <w:r w:rsidRPr="002C75B8">
        <w:t xml:space="preserve"> of </w:t>
      </w:r>
      <w:proofErr w:type="spellStart"/>
      <w:r w:rsidRPr="002C75B8">
        <w:t>awaren</w:t>
      </w:r>
      <w:r>
        <w:t>e</w:t>
      </w:r>
      <w:r w:rsidRPr="002C75B8">
        <w:t>ss</w:t>
      </w:r>
      <w:proofErr w:type="spellEnd"/>
      <w:r w:rsidRPr="002C75B8">
        <w:t xml:space="preserve"> of the </w:t>
      </w:r>
      <w:proofErr w:type="spellStart"/>
      <w:r w:rsidRPr="002C75B8">
        <w:t>disease</w:t>
      </w:r>
      <w:proofErr w:type="spellEnd"/>
      <w:r w:rsidRPr="002C75B8">
        <w:t xml:space="preserve"> </w:t>
      </w:r>
      <w:proofErr w:type="spellStart"/>
      <w:r w:rsidRPr="002C75B8">
        <w:t>among</w:t>
      </w:r>
      <w:proofErr w:type="spellEnd"/>
      <w:r w:rsidRPr="002C75B8">
        <w:t xml:space="preserve"> the </w:t>
      </w:r>
      <w:proofErr w:type="spellStart"/>
      <w:r w:rsidRPr="002C75B8">
        <w:t>public</w:t>
      </w:r>
      <w:proofErr w:type="spellEnd"/>
      <w:r w:rsidRPr="002C75B8">
        <w:t xml:space="preserve"> and </w:t>
      </w:r>
      <w:proofErr w:type="spellStart"/>
      <w:r w:rsidRPr="002C75B8">
        <w:t>health</w:t>
      </w:r>
      <w:proofErr w:type="spellEnd"/>
      <w:r w:rsidRPr="002C75B8">
        <w:t xml:space="preserve"> </w:t>
      </w:r>
      <w:proofErr w:type="spellStart"/>
      <w:r w:rsidRPr="002C75B8">
        <w:t>workers</w:t>
      </w:r>
      <w:proofErr w:type="spellEnd"/>
      <w:r w:rsidRPr="002C75B8">
        <w:t xml:space="preserve">. In </w:t>
      </w:r>
      <w:proofErr w:type="spellStart"/>
      <w:r w:rsidRPr="002C75B8">
        <w:t>some</w:t>
      </w:r>
      <w:proofErr w:type="spellEnd"/>
      <w:r w:rsidRPr="002C75B8">
        <w:t xml:space="preserve"> </w:t>
      </w:r>
      <w:proofErr w:type="spellStart"/>
      <w:r w:rsidRPr="002C75B8">
        <w:t>communities</w:t>
      </w:r>
      <w:proofErr w:type="spellEnd"/>
      <w:r>
        <w:t>,</w:t>
      </w:r>
      <w:r w:rsidRPr="002C75B8">
        <w:t xml:space="preserve"> CL </w:t>
      </w:r>
      <w:proofErr w:type="spellStart"/>
      <w:r w:rsidRPr="002C75B8">
        <w:t>lesions</w:t>
      </w:r>
      <w:proofErr w:type="spellEnd"/>
      <w:r w:rsidRPr="002C75B8">
        <w:t xml:space="preserve"> are </w:t>
      </w:r>
      <w:proofErr w:type="spellStart"/>
      <w:r w:rsidRPr="002C75B8">
        <w:t>considered</w:t>
      </w:r>
      <w:proofErr w:type="spellEnd"/>
      <w:r w:rsidRPr="002C75B8">
        <w:t xml:space="preserve"> a normal </w:t>
      </w:r>
      <w:proofErr w:type="spellStart"/>
      <w:r w:rsidRPr="002C75B8">
        <w:t>event</w:t>
      </w:r>
      <w:proofErr w:type="spellEnd"/>
      <w:r>
        <w:t>;</w:t>
      </w:r>
      <w:r w:rsidRPr="002C75B8">
        <w:t xml:space="preserve"> and in </w:t>
      </w:r>
      <w:proofErr w:type="spellStart"/>
      <w:r w:rsidRPr="002C75B8">
        <w:t>remote</w:t>
      </w:r>
      <w:proofErr w:type="spellEnd"/>
      <w:r w:rsidRPr="002C75B8">
        <w:t xml:space="preserve"> rural </w:t>
      </w:r>
      <w:proofErr w:type="spellStart"/>
      <w:r w:rsidRPr="002C75B8">
        <w:t>communities</w:t>
      </w:r>
      <w:proofErr w:type="spellEnd"/>
      <w:r>
        <w:t>,</w:t>
      </w:r>
      <w:r w:rsidRPr="002C75B8">
        <w:t xml:space="preserve"> </w:t>
      </w:r>
      <w:proofErr w:type="spellStart"/>
      <w:r w:rsidRPr="002C75B8">
        <w:t>traditional</w:t>
      </w:r>
      <w:proofErr w:type="spellEnd"/>
      <w:r w:rsidRPr="002C75B8">
        <w:t xml:space="preserve"> </w:t>
      </w:r>
      <w:proofErr w:type="spellStart"/>
      <w:r w:rsidRPr="002C75B8">
        <w:t>healing</w:t>
      </w:r>
      <w:proofErr w:type="spellEnd"/>
      <w:r w:rsidRPr="002C75B8">
        <w:t xml:space="preserve"> </w:t>
      </w:r>
      <w:proofErr w:type="spellStart"/>
      <w:r w:rsidRPr="002C75B8">
        <w:t>methods</w:t>
      </w:r>
      <w:proofErr w:type="spellEnd"/>
      <w:r>
        <w:t>,</w:t>
      </w:r>
      <w:r w:rsidRPr="002C75B8">
        <w:t xml:space="preserve"> </w:t>
      </w:r>
      <w:proofErr w:type="spellStart"/>
      <w:r w:rsidRPr="002C75B8">
        <w:t>such</w:t>
      </w:r>
      <w:proofErr w:type="spellEnd"/>
      <w:r w:rsidRPr="002C75B8">
        <w:t xml:space="preserve"> as </w:t>
      </w:r>
      <w:proofErr w:type="spellStart"/>
      <w:r w:rsidRPr="002C75B8">
        <w:t>plant</w:t>
      </w:r>
      <w:proofErr w:type="spellEnd"/>
      <w:r w:rsidRPr="002C75B8">
        <w:t xml:space="preserve"> </w:t>
      </w:r>
      <w:proofErr w:type="spellStart"/>
      <w:r w:rsidRPr="002C75B8">
        <w:t>extracts</w:t>
      </w:r>
      <w:proofErr w:type="spellEnd"/>
      <w:r w:rsidRPr="002C75B8">
        <w:t xml:space="preserve"> </w:t>
      </w:r>
      <w:r>
        <w:t>and</w:t>
      </w:r>
      <w:r w:rsidRPr="002C75B8">
        <w:t xml:space="preserve"> </w:t>
      </w:r>
      <w:proofErr w:type="spellStart"/>
      <w:r w:rsidRPr="002C75B8">
        <w:t>lightened</w:t>
      </w:r>
      <w:proofErr w:type="spellEnd"/>
      <w:r w:rsidRPr="002C75B8">
        <w:t xml:space="preserve"> </w:t>
      </w:r>
      <w:proofErr w:type="spellStart"/>
      <w:r w:rsidRPr="002C75B8">
        <w:t>cigarettes</w:t>
      </w:r>
      <w:proofErr w:type="spellEnd"/>
      <w:r>
        <w:t>,</w:t>
      </w:r>
      <w:r w:rsidRPr="002C75B8">
        <w:t xml:space="preserve"> are </w:t>
      </w:r>
      <w:proofErr w:type="spellStart"/>
      <w:r w:rsidRPr="002C75B8">
        <w:t>used</w:t>
      </w:r>
      <w:proofErr w:type="spellEnd"/>
      <w:r>
        <w:t xml:space="preserve"> </w:t>
      </w:r>
      <w:proofErr w:type="spellStart"/>
      <w:r>
        <w:t>to</w:t>
      </w:r>
      <w:proofErr w:type="spellEnd"/>
      <w:r>
        <w:t xml:space="preserve"> </w:t>
      </w:r>
      <w:proofErr w:type="spellStart"/>
      <w:r>
        <w:t>destroy</w:t>
      </w:r>
      <w:proofErr w:type="spellEnd"/>
      <w:r>
        <w:t xml:space="preserve"> </w:t>
      </w:r>
      <w:proofErr w:type="spellStart"/>
      <w:r>
        <w:t>lesions</w:t>
      </w:r>
      <w:proofErr w:type="spellEnd"/>
      <w:r w:rsidRPr="002C75B8">
        <w:t xml:space="preserve">. </w:t>
      </w:r>
    </w:p>
    <w:p w:rsidR="00E92380" w:rsidRPr="00B37375" w:rsidRDefault="00E92380" w:rsidP="00E92380">
      <w:pPr>
        <w:rPr>
          <w:sz w:val="22"/>
          <w:lang w:val="en-GB"/>
        </w:rPr>
      </w:pPr>
    </w:p>
    <w:p w:rsidR="00E92380" w:rsidRPr="005F221B" w:rsidRDefault="00E92380" w:rsidP="00E92380">
      <w:pPr>
        <w:rPr>
          <w:sz w:val="22"/>
          <w:lang w:val="en-GB"/>
        </w:rPr>
      </w:pPr>
      <w:r w:rsidRPr="005F221B">
        <w:rPr>
          <w:b/>
          <w:sz w:val="22"/>
          <w:lang w:val="en-GB"/>
        </w:rPr>
        <w:t>ACCESS TO DRUGS</w:t>
      </w:r>
      <w:r w:rsidRPr="005F221B">
        <w:rPr>
          <w:sz w:val="22"/>
          <w:lang w:val="en-GB"/>
        </w:rPr>
        <w:t xml:space="preserve"> </w:t>
      </w:r>
    </w:p>
    <w:p w:rsidR="00E92380" w:rsidRPr="005F221B" w:rsidRDefault="00E92380" w:rsidP="00E92380">
      <w:pPr>
        <w:rPr>
          <w:sz w:val="22"/>
          <w:lang w:val="en-GB"/>
        </w:rPr>
      </w:pPr>
    </w:p>
    <w:p w:rsidR="00E92380" w:rsidRPr="002C75B8" w:rsidRDefault="00E92380" w:rsidP="00E92380">
      <w:pPr>
        <w:pStyle w:val="NoSpacing"/>
        <w:jc w:val="both"/>
        <w:rPr>
          <w:rFonts w:ascii="Arial" w:hAnsi="Arial" w:cs="Arial"/>
        </w:rPr>
      </w:pPr>
      <w:r w:rsidRPr="002C75B8">
        <w:rPr>
          <w:rFonts w:ascii="Arial" w:hAnsi="Arial" w:cs="Arial"/>
        </w:rPr>
        <w:t xml:space="preserve">Sodium stibogluconate is included in the National Essential Drug List for VL and CL. For CL, also cryotherapy and several antibiotics are included. Pentostam (GSK) is the only drug registered in </w:t>
      </w:r>
      <w:smartTag w:uri="urn:schemas-microsoft-com:office:smarttags" w:element="country-region">
        <w:smartTag w:uri="urn:schemas-microsoft-com:office:smarttags" w:element="place">
          <w:r w:rsidRPr="002C75B8">
            <w:rPr>
              <w:rFonts w:ascii="Arial" w:hAnsi="Arial" w:cs="Arial"/>
            </w:rPr>
            <w:t>Jordan</w:t>
          </w:r>
        </w:smartTag>
      </w:smartTag>
      <w:r w:rsidRPr="002C75B8">
        <w:rPr>
          <w:rFonts w:ascii="Arial" w:hAnsi="Arial" w:cs="Arial"/>
        </w:rPr>
        <w:t xml:space="preserve"> for leishmaniasis. Drugs for leishmaniasis are not available </w:t>
      </w:r>
      <w:r>
        <w:rPr>
          <w:rFonts w:ascii="Arial" w:hAnsi="Arial" w:cs="Arial"/>
        </w:rPr>
        <w:t>at</w:t>
      </w:r>
      <w:r w:rsidRPr="002C75B8">
        <w:rPr>
          <w:rFonts w:ascii="Arial" w:hAnsi="Arial" w:cs="Arial"/>
        </w:rPr>
        <w:t xml:space="preserve"> private pharmacies and </w:t>
      </w:r>
      <w:r>
        <w:rPr>
          <w:rFonts w:ascii="Arial" w:hAnsi="Arial" w:cs="Arial"/>
        </w:rPr>
        <w:t xml:space="preserve">are </w:t>
      </w:r>
      <w:r w:rsidRPr="002C75B8">
        <w:rPr>
          <w:rFonts w:ascii="Arial" w:hAnsi="Arial" w:cs="Arial"/>
        </w:rPr>
        <w:t xml:space="preserve">not sold </w:t>
      </w:r>
      <w:r>
        <w:rPr>
          <w:rFonts w:ascii="Arial" w:hAnsi="Arial" w:cs="Arial"/>
        </w:rPr>
        <w:t>at</w:t>
      </w:r>
      <w:r w:rsidRPr="002C75B8">
        <w:rPr>
          <w:rFonts w:ascii="Arial" w:hAnsi="Arial" w:cs="Arial"/>
        </w:rPr>
        <w:t xml:space="preserve"> informal drug markets. </w:t>
      </w:r>
    </w:p>
    <w:p w:rsidR="00E92380" w:rsidRPr="000C0568" w:rsidRDefault="00E92380" w:rsidP="00E92380">
      <w:pPr>
        <w:rPr>
          <w:sz w:val="22"/>
          <w:lang w:val="en-GB"/>
        </w:rPr>
      </w:pPr>
    </w:p>
    <w:p w:rsidR="00E92380" w:rsidRDefault="00E92380" w:rsidP="00E92380">
      <w:pPr>
        <w:rPr>
          <w:sz w:val="22"/>
          <w:lang w:val="en-US"/>
        </w:rPr>
      </w:pPr>
    </w:p>
    <w:p w:rsidR="00E92380" w:rsidRPr="002C75B8" w:rsidRDefault="00E92380" w:rsidP="00E92380">
      <w:pPr>
        <w:pStyle w:val="NoSpacing"/>
        <w:jc w:val="both"/>
        <w:rPr>
          <w:rFonts w:ascii="Arial" w:hAnsi="Arial" w:cs="Arial"/>
          <w:b/>
        </w:rPr>
      </w:pPr>
      <w:r>
        <w:rPr>
          <w:rFonts w:ascii="Arial" w:hAnsi="Arial" w:cs="Arial"/>
          <w:b/>
        </w:rPr>
        <w:t>SOURCES OF INFORMATION</w:t>
      </w:r>
      <w:r w:rsidRPr="002C75B8">
        <w:rPr>
          <w:rFonts w:ascii="Arial" w:hAnsi="Arial" w:cs="Arial"/>
          <w:b/>
        </w:rPr>
        <w:t xml:space="preserve"> </w:t>
      </w:r>
    </w:p>
    <w:p w:rsidR="00E92380" w:rsidRPr="00802354" w:rsidRDefault="00E92380" w:rsidP="00E92380">
      <w:pPr>
        <w:pStyle w:val="NoSpacing"/>
        <w:jc w:val="both"/>
        <w:rPr>
          <w:rFonts w:ascii="Arial" w:hAnsi="Arial" w:cs="Arial"/>
          <w:bCs/>
          <w:lang w:val="en-US"/>
        </w:rPr>
      </w:pPr>
    </w:p>
    <w:p w:rsidR="00E92380" w:rsidRPr="00802354" w:rsidRDefault="00E92380" w:rsidP="00E92380">
      <w:pPr>
        <w:pStyle w:val="NoSpacing"/>
        <w:numPr>
          <w:ilvl w:val="0"/>
          <w:numId w:val="5"/>
        </w:numPr>
        <w:jc w:val="both"/>
        <w:rPr>
          <w:rFonts w:ascii="Arial" w:hAnsi="Arial" w:cs="Arial"/>
          <w:bCs/>
          <w:lang w:val="en-US"/>
        </w:rPr>
      </w:pPr>
      <w:r w:rsidRPr="00802354">
        <w:rPr>
          <w:rFonts w:ascii="Arial" w:hAnsi="Arial" w:cs="Arial"/>
          <w:bCs/>
          <w:lang w:val="en-US"/>
        </w:rPr>
        <w:t xml:space="preserve">Dr. </w:t>
      </w:r>
      <w:proofErr w:type="spellStart"/>
      <w:r w:rsidRPr="00802354">
        <w:rPr>
          <w:rFonts w:ascii="Arial" w:hAnsi="Arial" w:cs="Arial"/>
          <w:bCs/>
          <w:lang w:val="en-US"/>
        </w:rPr>
        <w:t>Khalil</w:t>
      </w:r>
      <w:proofErr w:type="spellEnd"/>
      <w:r w:rsidRPr="00802354">
        <w:rPr>
          <w:rFonts w:ascii="Arial" w:hAnsi="Arial" w:cs="Arial"/>
          <w:bCs/>
          <w:lang w:val="en-US"/>
        </w:rPr>
        <w:t xml:space="preserve"> Abdul-Aziz </w:t>
      </w:r>
      <w:proofErr w:type="spellStart"/>
      <w:r w:rsidRPr="00802354">
        <w:rPr>
          <w:rFonts w:ascii="Arial" w:hAnsi="Arial" w:cs="Arial"/>
          <w:bCs/>
          <w:lang w:val="en-US"/>
        </w:rPr>
        <w:t>Kanani</w:t>
      </w:r>
      <w:proofErr w:type="spellEnd"/>
      <w:r>
        <w:rPr>
          <w:rFonts w:ascii="Arial" w:hAnsi="Arial" w:cs="Arial"/>
          <w:bCs/>
          <w:lang w:val="en-US"/>
        </w:rPr>
        <w:t>,</w:t>
      </w:r>
      <w:r w:rsidRPr="00802354">
        <w:rPr>
          <w:rFonts w:ascii="Arial" w:hAnsi="Arial" w:cs="Arial"/>
          <w:bCs/>
          <w:lang w:val="en-US"/>
        </w:rPr>
        <w:t xml:space="preserve"> Ministry of Health. </w:t>
      </w:r>
    </w:p>
    <w:p w:rsidR="00E92380" w:rsidRDefault="00E92380" w:rsidP="00E92380">
      <w:pPr>
        <w:pStyle w:val="NoSpacing"/>
        <w:jc w:val="both"/>
        <w:rPr>
          <w:rFonts w:ascii="Arial" w:hAnsi="Arial" w:cs="Arial"/>
          <w:bCs/>
        </w:rPr>
      </w:pPr>
    </w:p>
    <w:p w:rsidR="00E92380" w:rsidRDefault="00E92380" w:rsidP="00E92380">
      <w:pPr>
        <w:pStyle w:val="NoSpacing"/>
        <w:jc w:val="both"/>
        <w:rPr>
          <w:rFonts w:ascii="Arial" w:hAnsi="Arial" w:cs="Arial"/>
          <w:bCs/>
        </w:rPr>
      </w:pPr>
    </w:p>
    <w:p w:rsidR="00E92380" w:rsidRPr="00F11814" w:rsidRDefault="00E92380" w:rsidP="00E92380">
      <w:pPr>
        <w:pStyle w:val="rprtbody1"/>
        <w:shd w:val="clear" w:color="auto" w:fill="FFFFFF"/>
        <w:spacing w:before="0" w:after="0"/>
        <w:jc w:val="both"/>
        <w:rPr>
          <w:rFonts w:ascii="Arial" w:hAnsi="Arial" w:cs="Arial"/>
          <w:color w:val="000000"/>
          <w:sz w:val="22"/>
          <w:szCs w:val="22"/>
          <w:lang w:val="en-GB"/>
        </w:rPr>
      </w:pPr>
      <w:r w:rsidRPr="000814D3">
        <w:rPr>
          <w:rFonts w:ascii="Arial" w:hAnsi="Arial" w:cs="Arial"/>
          <w:color w:val="000000"/>
          <w:sz w:val="22"/>
          <w:szCs w:val="22"/>
          <w:lang w:val="nl-NL"/>
        </w:rPr>
        <w:lastRenderedPageBreak/>
        <w:t>1. Hicks L, Kant P, Tay PH, Vincini V, Schuster H et al</w:t>
      </w:r>
      <w:r>
        <w:rPr>
          <w:rFonts w:ascii="Arial" w:hAnsi="Arial" w:cs="Arial"/>
          <w:color w:val="000000"/>
          <w:sz w:val="22"/>
          <w:szCs w:val="22"/>
          <w:lang w:val="nl-NL"/>
        </w:rPr>
        <w:t xml:space="preserve"> (2009)</w:t>
      </w:r>
      <w:r w:rsidRPr="000814D3">
        <w:rPr>
          <w:rFonts w:ascii="Arial" w:hAnsi="Arial" w:cs="Arial"/>
          <w:color w:val="000000"/>
          <w:sz w:val="22"/>
          <w:szCs w:val="22"/>
          <w:lang w:val="nl-NL"/>
        </w:rPr>
        <w:t xml:space="preserve">. </w:t>
      </w:r>
      <w:r w:rsidRPr="00D15884">
        <w:rPr>
          <w:rFonts w:ascii="Arial" w:hAnsi="Arial" w:cs="Arial"/>
          <w:color w:val="000000"/>
          <w:sz w:val="22"/>
          <w:szCs w:val="22"/>
        </w:rPr>
        <w:fldChar w:fldCharType="begin"/>
      </w:r>
      <w:r w:rsidRPr="000814D3">
        <w:rPr>
          <w:rFonts w:ascii="Arial" w:hAnsi="Arial" w:cs="Arial"/>
          <w:color w:val="000000"/>
          <w:sz w:val="22"/>
          <w:szCs w:val="22"/>
          <w:lang w:val="nl-NL"/>
        </w:rPr>
        <w:instrText xml:space="preserve"> HYPERLINK "http://www.ncbi.nlm.nih.gov/pubmed/19011572" </w:instrText>
      </w:r>
      <w:r w:rsidRPr="00D15884">
        <w:rPr>
          <w:rFonts w:ascii="Arial" w:hAnsi="Arial" w:cs="Arial"/>
          <w:color w:val="000000"/>
          <w:sz w:val="22"/>
          <w:szCs w:val="22"/>
        </w:rPr>
        <w:fldChar w:fldCharType="separate"/>
      </w:r>
      <w:r w:rsidRPr="00F11814">
        <w:rPr>
          <w:rFonts w:ascii="Arial" w:hAnsi="Arial" w:cs="Arial"/>
          <w:color w:val="000000"/>
          <w:sz w:val="22"/>
          <w:szCs w:val="22"/>
          <w:lang w:val="en-GB"/>
        </w:rPr>
        <w:t>Visceral Leishmaniasis presenting with intestinal failure: a case report and literature review.</w:t>
      </w:r>
      <w:r w:rsidRPr="00D15884">
        <w:rPr>
          <w:rFonts w:ascii="Arial" w:hAnsi="Arial" w:cs="Arial"/>
          <w:color w:val="000000"/>
          <w:sz w:val="22"/>
          <w:szCs w:val="22"/>
        </w:rPr>
        <w:fldChar w:fldCharType="end"/>
      </w:r>
      <w:r w:rsidRPr="00F11814">
        <w:rPr>
          <w:rFonts w:ascii="Arial" w:hAnsi="Arial" w:cs="Arial"/>
          <w:color w:val="000000"/>
          <w:sz w:val="22"/>
          <w:szCs w:val="22"/>
          <w:lang w:val="en-GB"/>
        </w:rPr>
        <w:t xml:space="preserve"> </w:t>
      </w:r>
      <w:proofErr w:type="spellStart"/>
      <w:r w:rsidRPr="00F11814">
        <w:rPr>
          <w:rStyle w:val="jrnl"/>
          <w:rFonts w:ascii="Arial" w:hAnsi="Arial" w:cs="Arial"/>
          <w:color w:val="000000"/>
          <w:sz w:val="22"/>
          <w:szCs w:val="22"/>
          <w:lang w:val="en-GB"/>
        </w:rPr>
        <w:t>Eur</w:t>
      </w:r>
      <w:proofErr w:type="spellEnd"/>
      <w:r w:rsidRPr="00F11814">
        <w:rPr>
          <w:rStyle w:val="jrnl"/>
          <w:rFonts w:ascii="Arial" w:hAnsi="Arial" w:cs="Arial"/>
          <w:color w:val="000000"/>
          <w:sz w:val="22"/>
          <w:szCs w:val="22"/>
          <w:lang w:val="en-GB"/>
        </w:rPr>
        <w:t xml:space="preserve"> J </w:t>
      </w:r>
      <w:proofErr w:type="spellStart"/>
      <w:r w:rsidRPr="00F11814">
        <w:rPr>
          <w:rStyle w:val="jrnl"/>
          <w:rFonts w:ascii="Arial" w:hAnsi="Arial" w:cs="Arial"/>
          <w:color w:val="000000"/>
          <w:sz w:val="22"/>
          <w:szCs w:val="22"/>
          <w:lang w:val="en-GB"/>
        </w:rPr>
        <w:t>Gastroenterol</w:t>
      </w:r>
      <w:proofErr w:type="spellEnd"/>
      <w:r w:rsidRPr="00F11814">
        <w:rPr>
          <w:rStyle w:val="jrnl"/>
          <w:rFonts w:ascii="Arial" w:hAnsi="Arial" w:cs="Arial"/>
          <w:color w:val="000000"/>
          <w:sz w:val="22"/>
          <w:szCs w:val="22"/>
          <w:lang w:val="en-GB"/>
        </w:rPr>
        <w:t xml:space="preserve"> </w:t>
      </w:r>
      <w:proofErr w:type="spellStart"/>
      <w:r w:rsidRPr="00F11814">
        <w:rPr>
          <w:rStyle w:val="jrnl"/>
          <w:rFonts w:ascii="Arial" w:hAnsi="Arial" w:cs="Arial"/>
          <w:color w:val="000000"/>
          <w:sz w:val="22"/>
          <w:szCs w:val="22"/>
          <w:lang w:val="en-GB"/>
        </w:rPr>
        <w:t>Hepatol</w:t>
      </w:r>
      <w:proofErr w:type="spellEnd"/>
      <w:r>
        <w:rPr>
          <w:rStyle w:val="src1"/>
          <w:rFonts w:ascii="Arial" w:hAnsi="Arial" w:cs="Arial"/>
          <w:color w:val="000000"/>
          <w:sz w:val="22"/>
          <w:szCs w:val="22"/>
          <w:lang w:val="en-GB"/>
        </w:rPr>
        <w:t xml:space="preserve"> </w:t>
      </w:r>
      <w:r w:rsidRPr="00F11814">
        <w:rPr>
          <w:rStyle w:val="src1"/>
          <w:rFonts w:ascii="Arial" w:hAnsi="Arial" w:cs="Arial"/>
          <w:color w:val="000000"/>
          <w:sz w:val="22"/>
          <w:szCs w:val="22"/>
          <w:lang w:val="en-GB"/>
        </w:rPr>
        <w:t>21(1):117-22</w:t>
      </w:r>
      <w:r>
        <w:rPr>
          <w:rStyle w:val="src1"/>
          <w:rFonts w:ascii="Arial" w:hAnsi="Arial" w:cs="Arial"/>
          <w:color w:val="000000"/>
          <w:sz w:val="22"/>
          <w:szCs w:val="22"/>
          <w:lang w:val="en-GB"/>
        </w:rPr>
        <w:t>.</w:t>
      </w:r>
    </w:p>
    <w:p w:rsidR="00E92380" w:rsidRPr="00F11814" w:rsidRDefault="00E92380" w:rsidP="00E92380">
      <w:pPr>
        <w:pStyle w:val="NoSpacing"/>
        <w:jc w:val="both"/>
        <w:rPr>
          <w:rFonts w:ascii="Arial" w:hAnsi="Arial" w:cs="Arial"/>
          <w:color w:val="000000"/>
        </w:rPr>
      </w:pPr>
    </w:p>
    <w:p w:rsidR="00E92380" w:rsidRPr="00F11814" w:rsidRDefault="00E92380" w:rsidP="00E92380">
      <w:pPr>
        <w:pStyle w:val="rprtbody1"/>
        <w:shd w:val="clear" w:color="auto" w:fill="FFFFFF"/>
        <w:spacing w:before="0" w:after="0"/>
        <w:jc w:val="both"/>
        <w:rPr>
          <w:rFonts w:ascii="Arial" w:hAnsi="Arial" w:cs="Arial"/>
          <w:color w:val="000000"/>
          <w:sz w:val="22"/>
          <w:szCs w:val="22"/>
          <w:lang w:val="en-GB"/>
        </w:rPr>
      </w:pPr>
      <w:r w:rsidRPr="00902A2E">
        <w:rPr>
          <w:rFonts w:ascii="Arial" w:hAnsi="Arial" w:cs="Arial"/>
          <w:color w:val="000000"/>
          <w:sz w:val="22"/>
          <w:szCs w:val="22"/>
          <w:lang w:val="en-GB"/>
        </w:rPr>
        <w:t xml:space="preserve">2. </w:t>
      </w:r>
      <w:proofErr w:type="spellStart"/>
      <w:r w:rsidRPr="00F11814">
        <w:rPr>
          <w:rFonts w:ascii="Arial" w:eastAsia="SimSun" w:hAnsi="Arial" w:cs="Arial"/>
          <w:color w:val="000000"/>
          <w:sz w:val="22"/>
          <w:szCs w:val="22"/>
          <w:lang w:val="en-GB" w:eastAsia="zh-CN"/>
        </w:rPr>
        <w:t>Jumaian</w:t>
      </w:r>
      <w:proofErr w:type="spellEnd"/>
      <w:r w:rsidRPr="00F11814">
        <w:rPr>
          <w:rFonts w:ascii="Arial" w:eastAsia="SimSun" w:hAnsi="Arial" w:cs="Arial"/>
          <w:color w:val="000000"/>
          <w:sz w:val="22"/>
          <w:szCs w:val="22"/>
          <w:lang w:val="en-GB" w:eastAsia="zh-CN"/>
        </w:rPr>
        <w:t xml:space="preserve"> N, </w:t>
      </w:r>
      <w:proofErr w:type="spellStart"/>
      <w:r w:rsidRPr="00F11814">
        <w:rPr>
          <w:rFonts w:ascii="Arial" w:eastAsia="SimSun" w:hAnsi="Arial" w:cs="Arial"/>
          <w:color w:val="000000"/>
          <w:sz w:val="22"/>
          <w:szCs w:val="22"/>
          <w:lang w:val="en-GB" w:eastAsia="zh-CN"/>
        </w:rPr>
        <w:t>Kamhawi</w:t>
      </w:r>
      <w:proofErr w:type="spellEnd"/>
      <w:r w:rsidRPr="00F11814">
        <w:rPr>
          <w:rFonts w:ascii="Arial" w:eastAsia="SimSun" w:hAnsi="Arial" w:cs="Arial"/>
          <w:color w:val="000000"/>
          <w:sz w:val="22"/>
          <w:szCs w:val="22"/>
          <w:lang w:val="en-GB" w:eastAsia="zh-CN"/>
        </w:rPr>
        <w:t xml:space="preserve"> SA, </w:t>
      </w:r>
      <w:proofErr w:type="spellStart"/>
      <w:r w:rsidRPr="00F11814">
        <w:rPr>
          <w:rFonts w:ascii="Arial" w:eastAsia="SimSun" w:hAnsi="Arial" w:cs="Arial"/>
          <w:color w:val="000000"/>
          <w:sz w:val="22"/>
          <w:szCs w:val="22"/>
          <w:lang w:val="en-GB" w:eastAsia="zh-CN"/>
        </w:rPr>
        <w:t>Halalsheh</w:t>
      </w:r>
      <w:proofErr w:type="spellEnd"/>
      <w:r w:rsidRPr="00F11814">
        <w:rPr>
          <w:rFonts w:ascii="Arial" w:eastAsia="SimSun" w:hAnsi="Arial" w:cs="Arial"/>
          <w:color w:val="000000"/>
          <w:sz w:val="22"/>
          <w:szCs w:val="22"/>
          <w:lang w:val="en-GB" w:eastAsia="zh-CN"/>
        </w:rPr>
        <w:t xml:space="preserve"> M, Abdel-Hafez SK</w:t>
      </w:r>
      <w:r>
        <w:rPr>
          <w:rFonts w:ascii="Arial" w:eastAsia="SimSun" w:hAnsi="Arial" w:cs="Arial"/>
          <w:color w:val="000000"/>
          <w:sz w:val="22"/>
          <w:szCs w:val="22"/>
          <w:lang w:val="en-GB" w:eastAsia="zh-CN"/>
        </w:rPr>
        <w:t xml:space="preserve"> (1998)</w:t>
      </w:r>
      <w:r w:rsidRPr="00F11814">
        <w:rPr>
          <w:rFonts w:ascii="Arial" w:eastAsia="SimSun" w:hAnsi="Arial" w:cs="Arial"/>
          <w:color w:val="000000"/>
          <w:sz w:val="22"/>
          <w:szCs w:val="22"/>
          <w:lang w:val="en-GB" w:eastAsia="zh-CN"/>
        </w:rPr>
        <w:t xml:space="preserve">. </w:t>
      </w:r>
      <w:hyperlink r:id="rId9" w:history="1">
        <w:r w:rsidRPr="00D15884">
          <w:rPr>
            <w:rFonts w:ascii="Arial" w:eastAsia="SimSun" w:hAnsi="Arial" w:cs="Arial"/>
            <w:color w:val="000000"/>
            <w:sz w:val="22"/>
            <w:szCs w:val="22"/>
            <w:lang w:val="en-GB" w:eastAsia="zh-CN"/>
          </w:rPr>
          <w:t xml:space="preserve">Short report: outbreak of cutaneous leishmaniasis in a </w:t>
        </w:r>
        <w:proofErr w:type="spellStart"/>
        <w:r w:rsidRPr="00D15884">
          <w:rPr>
            <w:rFonts w:ascii="Arial" w:eastAsia="SimSun" w:hAnsi="Arial" w:cs="Arial"/>
            <w:color w:val="000000"/>
            <w:sz w:val="22"/>
            <w:szCs w:val="22"/>
            <w:lang w:val="en-GB" w:eastAsia="zh-CN"/>
          </w:rPr>
          <w:t>nonimmune</w:t>
        </w:r>
        <w:proofErr w:type="spellEnd"/>
        <w:r w:rsidRPr="00D15884">
          <w:rPr>
            <w:rFonts w:ascii="Arial" w:eastAsia="SimSun" w:hAnsi="Arial" w:cs="Arial"/>
            <w:color w:val="000000"/>
            <w:sz w:val="22"/>
            <w:szCs w:val="22"/>
            <w:lang w:val="en-GB" w:eastAsia="zh-CN"/>
          </w:rPr>
          <w:t xml:space="preserve"> population of soldiers in </w:t>
        </w:r>
        <w:proofErr w:type="spellStart"/>
        <w:r w:rsidRPr="00D15884">
          <w:rPr>
            <w:rFonts w:ascii="Arial" w:eastAsia="SimSun" w:hAnsi="Arial" w:cs="Arial"/>
            <w:color w:val="000000"/>
            <w:sz w:val="22"/>
            <w:szCs w:val="22"/>
            <w:lang w:val="en-GB" w:eastAsia="zh-CN"/>
          </w:rPr>
          <w:t>Wadi</w:t>
        </w:r>
        <w:proofErr w:type="spellEnd"/>
        <w:r w:rsidRPr="00D15884">
          <w:rPr>
            <w:rFonts w:ascii="Arial" w:eastAsia="SimSun" w:hAnsi="Arial" w:cs="Arial"/>
            <w:color w:val="000000"/>
            <w:sz w:val="22"/>
            <w:szCs w:val="22"/>
            <w:lang w:val="en-GB" w:eastAsia="zh-CN"/>
          </w:rPr>
          <w:t xml:space="preserve"> </w:t>
        </w:r>
        <w:proofErr w:type="spellStart"/>
        <w:r w:rsidRPr="00D15884">
          <w:rPr>
            <w:rFonts w:ascii="Arial" w:eastAsia="SimSun" w:hAnsi="Arial" w:cs="Arial"/>
            <w:color w:val="000000"/>
            <w:sz w:val="22"/>
            <w:szCs w:val="22"/>
            <w:lang w:val="en-GB" w:eastAsia="zh-CN"/>
          </w:rPr>
          <w:t>Araba</w:t>
        </w:r>
        <w:proofErr w:type="spellEnd"/>
        <w:r w:rsidRPr="00D15884">
          <w:rPr>
            <w:rFonts w:ascii="Arial" w:eastAsia="SimSun" w:hAnsi="Arial" w:cs="Arial"/>
            <w:color w:val="000000"/>
            <w:sz w:val="22"/>
            <w:szCs w:val="22"/>
            <w:lang w:val="en-GB" w:eastAsia="zh-CN"/>
          </w:rPr>
          <w:t xml:space="preserve">, </w:t>
        </w:r>
        <w:proofErr w:type="spellStart"/>
        <w:r w:rsidRPr="00D15884">
          <w:rPr>
            <w:rFonts w:ascii="Arial" w:eastAsia="SimSun" w:hAnsi="Arial" w:cs="Arial"/>
            <w:color w:val="000000"/>
            <w:sz w:val="22"/>
            <w:szCs w:val="22"/>
            <w:lang w:val="en-GB" w:eastAsia="zh-CN"/>
          </w:rPr>
          <w:t>Jordan.</w:t>
        </w:r>
      </w:hyperlink>
      <w:r w:rsidRPr="00D15884">
        <w:rPr>
          <w:rFonts w:ascii="Arial" w:eastAsia="SimSun" w:hAnsi="Arial" w:cs="Arial"/>
          <w:color w:val="000000"/>
          <w:sz w:val="22"/>
          <w:szCs w:val="22"/>
          <w:lang w:val="en-GB" w:eastAsia="zh-CN"/>
        </w:rPr>
        <w:t>Am</w:t>
      </w:r>
      <w:proofErr w:type="spellEnd"/>
      <w:r w:rsidRPr="00D15884">
        <w:rPr>
          <w:rFonts w:ascii="Arial" w:eastAsia="SimSun" w:hAnsi="Arial" w:cs="Arial"/>
          <w:color w:val="000000"/>
          <w:sz w:val="22"/>
          <w:szCs w:val="22"/>
          <w:lang w:val="en-GB" w:eastAsia="zh-CN"/>
        </w:rPr>
        <w:t xml:space="preserve"> J </w:t>
      </w:r>
      <w:proofErr w:type="spellStart"/>
      <w:r w:rsidRPr="00D15884">
        <w:rPr>
          <w:rFonts w:ascii="Arial" w:eastAsia="SimSun" w:hAnsi="Arial" w:cs="Arial"/>
          <w:color w:val="000000"/>
          <w:sz w:val="22"/>
          <w:szCs w:val="22"/>
          <w:lang w:val="en-GB" w:eastAsia="zh-CN"/>
        </w:rPr>
        <w:t>Trop</w:t>
      </w:r>
      <w:proofErr w:type="spellEnd"/>
      <w:r w:rsidRPr="00D15884">
        <w:rPr>
          <w:rFonts w:ascii="Arial" w:eastAsia="SimSun" w:hAnsi="Arial" w:cs="Arial"/>
          <w:color w:val="000000"/>
          <w:sz w:val="22"/>
          <w:szCs w:val="22"/>
          <w:lang w:val="en-GB" w:eastAsia="zh-CN"/>
        </w:rPr>
        <w:t xml:space="preserve"> Med </w:t>
      </w:r>
      <w:proofErr w:type="spellStart"/>
      <w:r w:rsidRPr="00D15884">
        <w:rPr>
          <w:rFonts w:ascii="Arial" w:eastAsia="SimSun" w:hAnsi="Arial" w:cs="Arial"/>
          <w:color w:val="000000"/>
          <w:sz w:val="22"/>
          <w:szCs w:val="22"/>
          <w:lang w:val="en-GB" w:eastAsia="zh-CN"/>
        </w:rPr>
        <w:t>Hyg</w:t>
      </w:r>
      <w:proofErr w:type="spellEnd"/>
      <w:r w:rsidRPr="00D15884">
        <w:rPr>
          <w:rFonts w:ascii="Arial" w:eastAsia="SimSun" w:hAnsi="Arial" w:cs="Arial"/>
          <w:color w:val="000000"/>
          <w:sz w:val="22"/>
          <w:szCs w:val="22"/>
          <w:lang w:val="en-GB" w:eastAsia="zh-CN"/>
        </w:rPr>
        <w:t xml:space="preserve"> 58(2):160-</w:t>
      </w:r>
      <w:proofErr w:type="gramStart"/>
      <w:r w:rsidRPr="00D15884">
        <w:rPr>
          <w:rFonts w:ascii="Arial" w:eastAsia="SimSun" w:hAnsi="Arial" w:cs="Arial"/>
          <w:color w:val="000000"/>
          <w:sz w:val="22"/>
          <w:szCs w:val="22"/>
          <w:lang w:val="en-GB" w:eastAsia="zh-CN"/>
        </w:rPr>
        <w:t>2</w:t>
      </w:r>
      <w:r>
        <w:rPr>
          <w:rFonts w:ascii="Arial" w:eastAsia="SimSun" w:hAnsi="Arial" w:cs="Arial"/>
          <w:color w:val="000000"/>
          <w:sz w:val="22"/>
          <w:szCs w:val="22"/>
          <w:lang w:val="en-GB" w:eastAsia="zh-CN"/>
        </w:rPr>
        <w:t>.</w:t>
      </w:r>
      <w:proofErr w:type="gramEnd"/>
    </w:p>
    <w:p w:rsidR="00E92380" w:rsidRPr="00F11814" w:rsidRDefault="00E92380" w:rsidP="00E92380">
      <w:pPr>
        <w:pStyle w:val="NoSpacing"/>
        <w:jc w:val="both"/>
        <w:rPr>
          <w:rFonts w:ascii="Arial" w:hAnsi="Arial" w:cs="Arial"/>
          <w:color w:val="000000"/>
        </w:rPr>
      </w:pPr>
    </w:p>
    <w:p w:rsidR="00E92380" w:rsidRPr="00D15884" w:rsidRDefault="00E92380" w:rsidP="00E92380">
      <w:pPr>
        <w:shd w:val="clear" w:color="auto" w:fill="FFFFFF"/>
        <w:ind w:left="0" w:firstLine="0"/>
        <w:rPr>
          <w:rFonts w:eastAsia="SimSun"/>
          <w:color w:val="000000"/>
          <w:sz w:val="22"/>
          <w:lang w:val="en-GB" w:eastAsia="zh-CN"/>
        </w:rPr>
      </w:pPr>
      <w:r>
        <w:rPr>
          <w:rFonts w:eastAsia="SimSun"/>
          <w:color w:val="000000"/>
          <w:sz w:val="22"/>
          <w:lang w:val="en-GB" w:eastAsia="zh-CN"/>
        </w:rPr>
        <w:t xml:space="preserve">3. </w:t>
      </w:r>
      <w:proofErr w:type="spellStart"/>
      <w:r w:rsidRPr="00D15884">
        <w:rPr>
          <w:rFonts w:eastAsia="SimSun"/>
          <w:color w:val="000000"/>
          <w:sz w:val="22"/>
          <w:lang w:val="en-GB" w:eastAsia="zh-CN"/>
        </w:rPr>
        <w:t>Khoury</w:t>
      </w:r>
      <w:proofErr w:type="spellEnd"/>
      <w:r w:rsidRPr="00D15884">
        <w:rPr>
          <w:rFonts w:eastAsia="SimSun"/>
          <w:color w:val="000000"/>
          <w:sz w:val="22"/>
          <w:lang w:val="en-GB" w:eastAsia="zh-CN"/>
        </w:rPr>
        <w:t xml:space="preserve"> S, </w:t>
      </w:r>
      <w:proofErr w:type="spellStart"/>
      <w:r w:rsidRPr="00D15884">
        <w:rPr>
          <w:rFonts w:eastAsia="SimSun"/>
          <w:color w:val="000000"/>
          <w:sz w:val="22"/>
          <w:lang w:val="en-GB" w:eastAsia="zh-CN"/>
        </w:rPr>
        <w:t>Saliba</w:t>
      </w:r>
      <w:proofErr w:type="spellEnd"/>
      <w:r w:rsidRPr="00D15884">
        <w:rPr>
          <w:rFonts w:eastAsia="SimSun"/>
          <w:color w:val="000000"/>
          <w:sz w:val="22"/>
          <w:lang w:val="en-GB" w:eastAsia="zh-CN"/>
        </w:rPr>
        <w:t xml:space="preserve"> EK, </w:t>
      </w:r>
      <w:proofErr w:type="spellStart"/>
      <w:r w:rsidRPr="00D15884">
        <w:rPr>
          <w:rFonts w:eastAsia="SimSun"/>
          <w:color w:val="000000"/>
          <w:sz w:val="22"/>
          <w:lang w:val="en-GB" w:eastAsia="zh-CN"/>
        </w:rPr>
        <w:t>Oumeish</w:t>
      </w:r>
      <w:proofErr w:type="spellEnd"/>
      <w:r w:rsidRPr="00D15884">
        <w:rPr>
          <w:rFonts w:eastAsia="SimSun"/>
          <w:color w:val="000000"/>
          <w:sz w:val="22"/>
          <w:lang w:val="en-GB" w:eastAsia="zh-CN"/>
        </w:rPr>
        <w:t xml:space="preserve"> OY</w:t>
      </w:r>
      <w:r>
        <w:rPr>
          <w:rFonts w:eastAsia="SimSun"/>
          <w:color w:val="000000"/>
          <w:sz w:val="22"/>
          <w:lang w:val="en-GB" w:eastAsia="zh-CN"/>
        </w:rPr>
        <w:t xml:space="preserve"> (1999)</w:t>
      </w:r>
      <w:r w:rsidRPr="00D15884">
        <w:rPr>
          <w:rFonts w:eastAsia="SimSun"/>
          <w:color w:val="000000"/>
          <w:sz w:val="22"/>
          <w:lang w:val="en-GB" w:eastAsia="zh-CN"/>
        </w:rPr>
        <w:t xml:space="preserve">. </w:t>
      </w:r>
      <w:hyperlink r:id="rId10" w:history="1">
        <w:r w:rsidRPr="00D15884">
          <w:rPr>
            <w:rFonts w:eastAsia="SimSun"/>
            <w:color w:val="000000"/>
            <w:sz w:val="22"/>
            <w:lang w:val="en-GB" w:eastAsia="zh-CN"/>
          </w:rPr>
          <w:t xml:space="preserve">Short report: outbreak of cutaneous leishmaniasis in a </w:t>
        </w:r>
        <w:proofErr w:type="spellStart"/>
        <w:r w:rsidRPr="00D15884">
          <w:rPr>
            <w:rFonts w:eastAsia="SimSun"/>
            <w:color w:val="000000"/>
            <w:sz w:val="22"/>
            <w:lang w:val="en-GB" w:eastAsia="zh-CN"/>
          </w:rPr>
          <w:t>nonimmune</w:t>
        </w:r>
        <w:proofErr w:type="spellEnd"/>
        <w:r w:rsidRPr="00D15884">
          <w:rPr>
            <w:rFonts w:eastAsia="SimSun"/>
            <w:color w:val="000000"/>
            <w:sz w:val="22"/>
            <w:lang w:val="en-GB" w:eastAsia="zh-CN"/>
          </w:rPr>
          <w:t xml:space="preserve"> population of soldiers in </w:t>
        </w:r>
        <w:proofErr w:type="spellStart"/>
        <w:r w:rsidRPr="00D15884">
          <w:rPr>
            <w:rFonts w:eastAsia="SimSun"/>
            <w:color w:val="000000"/>
            <w:sz w:val="22"/>
            <w:lang w:val="en-GB" w:eastAsia="zh-CN"/>
          </w:rPr>
          <w:t>Wadi</w:t>
        </w:r>
        <w:proofErr w:type="spellEnd"/>
        <w:r w:rsidRPr="00D15884">
          <w:rPr>
            <w:rFonts w:eastAsia="SimSun"/>
            <w:color w:val="000000"/>
            <w:sz w:val="22"/>
            <w:lang w:val="en-GB" w:eastAsia="zh-CN"/>
          </w:rPr>
          <w:t xml:space="preserve"> </w:t>
        </w:r>
        <w:proofErr w:type="spellStart"/>
        <w:r w:rsidRPr="00D15884">
          <w:rPr>
            <w:rFonts w:eastAsia="SimSun"/>
            <w:color w:val="000000"/>
            <w:sz w:val="22"/>
            <w:lang w:val="en-GB" w:eastAsia="zh-CN"/>
          </w:rPr>
          <w:t>Araba</w:t>
        </w:r>
        <w:proofErr w:type="spellEnd"/>
        <w:r w:rsidRPr="00D15884">
          <w:rPr>
            <w:rFonts w:eastAsia="SimSun"/>
            <w:color w:val="000000"/>
            <w:sz w:val="22"/>
            <w:lang w:val="en-GB" w:eastAsia="zh-CN"/>
          </w:rPr>
          <w:t>, Jordan.</w:t>
        </w:r>
      </w:hyperlink>
      <w:r w:rsidRPr="00D15884">
        <w:rPr>
          <w:rFonts w:eastAsia="SimSun"/>
          <w:color w:val="000000"/>
          <w:sz w:val="22"/>
          <w:lang w:val="en-GB" w:eastAsia="zh-CN"/>
        </w:rPr>
        <w:t xml:space="preserve"> Am J </w:t>
      </w:r>
      <w:proofErr w:type="spellStart"/>
      <w:r w:rsidRPr="00D15884">
        <w:rPr>
          <w:rFonts w:eastAsia="SimSun"/>
          <w:color w:val="000000"/>
          <w:sz w:val="22"/>
          <w:lang w:val="en-GB" w:eastAsia="zh-CN"/>
        </w:rPr>
        <w:t>Trop</w:t>
      </w:r>
      <w:proofErr w:type="spellEnd"/>
      <w:r w:rsidRPr="00D15884">
        <w:rPr>
          <w:rFonts w:eastAsia="SimSun"/>
          <w:color w:val="000000"/>
          <w:sz w:val="22"/>
          <w:lang w:val="en-GB" w:eastAsia="zh-CN"/>
        </w:rPr>
        <w:t xml:space="preserve"> Med </w:t>
      </w:r>
      <w:proofErr w:type="spellStart"/>
      <w:r w:rsidRPr="00D15884">
        <w:rPr>
          <w:rFonts w:eastAsia="SimSun"/>
          <w:color w:val="000000"/>
          <w:sz w:val="22"/>
          <w:lang w:val="en-GB" w:eastAsia="zh-CN"/>
        </w:rPr>
        <w:t>Hyg</w:t>
      </w:r>
      <w:proofErr w:type="spellEnd"/>
      <w:r>
        <w:rPr>
          <w:rFonts w:eastAsia="SimSun"/>
          <w:color w:val="000000"/>
          <w:sz w:val="22"/>
          <w:lang w:val="en-GB" w:eastAsia="zh-CN"/>
        </w:rPr>
        <w:t xml:space="preserve"> </w:t>
      </w:r>
      <w:r w:rsidRPr="00D15884">
        <w:rPr>
          <w:rFonts w:eastAsia="SimSun"/>
          <w:color w:val="000000"/>
          <w:sz w:val="22"/>
          <w:lang w:val="en-GB" w:eastAsia="zh-CN"/>
        </w:rPr>
        <w:t>60(4):</w:t>
      </w:r>
      <w:proofErr w:type="gramStart"/>
      <w:r w:rsidRPr="00D15884">
        <w:rPr>
          <w:rFonts w:eastAsia="SimSun"/>
          <w:color w:val="000000"/>
          <w:sz w:val="22"/>
          <w:lang w:val="en-GB" w:eastAsia="zh-CN"/>
        </w:rPr>
        <w:t>520.</w:t>
      </w:r>
      <w:proofErr w:type="gramEnd"/>
    </w:p>
    <w:p w:rsidR="00E92380" w:rsidRPr="00D15884" w:rsidRDefault="00E92380" w:rsidP="00E92380">
      <w:pPr>
        <w:shd w:val="clear" w:color="auto" w:fill="FFFFFF"/>
        <w:ind w:left="0" w:firstLine="0"/>
        <w:rPr>
          <w:rFonts w:eastAsia="SimSun"/>
          <w:color w:val="000000"/>
          <w:sz w:val="22"/>
          <w:lang w:val="en-GB" w:eastAsia="zh-CN"/>
        </w:rPr>
      </w:pPr>
    </w:p>
    <w:p w:rsidR="00E92380" w:rsidRPr="00D15884" w:rsidRDefault="00E92380" w:rsidP="00E92380">
      <w:pPr>
        <w:shd w:val="clear" w:color="auto" w:fill="FFFFFF"/>
        <w:ind w:left="0" w:firstLine="0"/>
        <w:rPr>
          <w:rFonts w:eastAsia="SimSun"/>
          <w:color w:val="000000"/>
          <w:sz w:val="22"/>
          <w:lang w:val="en-GB" w:eastAsia="zh-CN"/>
        </w:rPr>
      </w:pPr>
      <w:r w:rsidRPr="00B37375">
        <w:rPr>
          <w:rFonts w:eastAsia="SimSun"/>
          <w:color w:val="000000"/>
          <w:sz w:val="22"/>
          <w:lang w:val="en-GB" w:eastAsia="zh-CN"/>
        </w:rPr>
        <w:t xml:space="preserve">4. </w:t>
      </w:r>
      <w:proofErr w:type="spellStart"/>
      <w:r w:rsidRPr="00B37375">
        <w:rPr>
          <w:color w:val="000000"/>
          <w:sz w:val="22"/>
          <w:lang w:val="en-GB"/>
        </w:rPr>
        <w:t>Mosleh</w:t>
      </w:r>
      <w:proofErr w:type="spellEnd"/>
      <w:r w:rsidRPr="00B37375">
        <w:rPr>
          <w:color w:val="000000"/>
          <w:sz w:val="22"/>
          <w:lang w:val="en-GB"/>
        </w:rPr>
        <w:t xml:space="preserve"> IM, </w:t>
      </w:r>
      <w:proofErr w:type="spellStart"/>
      <w:r w:rsidRPr="00B37375">
        <w:rPr>
          <w:color w:val="000000"/>
          <w:sz w:val="22"/>
          <w:lang w:val="en-GB"/>
        </w:rPr>
        <w:t>Geith</w:t>
      </w:r>
      <w:proofErr w:type="spellEnd"/>
      <w:r w:rsidRPr="00B37375">
        <w:rPr>
          <w:color w:val="000000"/>
          <w:sz w:val="22"/>
          <w:lang w:val="en-GB"/>
        </w:rPr>
        <w:t xml:space="preserve"> E, </w:t>
      </w:r>
      <w:proofErr w:type="spellStart"/>
      <w:r w:rsidRPr="00B37375">
        <w:rPr>
          <w:color w:val="000000"/>
          <w:sz w:val="22"/>
          <w:lang w:val="en-GB"/>
        </w:rPr>
        <w:t>Schönian</w:t>
      </w:r>
      <w:proofErr w:type="spellEnd"/>
      <w:r w:rsidRPr="00B37375">
        <w:rPr>
          <w:color w:val="000000"/>
          <w:sz w:val="22"/>
          <w:lang w:val="en-GB"/>
        </w:rPr>
        <w:t xml:space="preserve"> G, </w:t>
      </w:r>
      <w:proofErr w:type="spellStart"/>
      <w:r w:rsidRPr="00B37375">
        <w:rPr>
          <w:color w:val="000000"/>
          <w:sz w:val="22"/>
          <w:lang w:val="en-GB"/>
        </w:rPr>
        <w:t>Kanani</w:t>
      </w:r>
      <w:proofErr w:type="spellEnd"/>
      <w:r w:rsidRPr="00B37375">
        <w:rPr>
          <w:color w:val="000000"/>
          <w:sz w:val="22"/>
          <w:lang w:val="en-GB"/>
        </w:rPr>
        <w:t xml:space="preserve"> KA</w:t>
      </w:r>
      <w:r>
        <w:rPr>
          <w:color w:val="000000"/>
          <w:sz w:val="22"/>
          <w:lang w:val="en-GB"/>
        </w:rPr>
        <w:t xml:space="preserve"> (2009)</w:t>
      </w:r>
      <w:r w:rsidRPr="00B37375">
        <w:rPr>
          <w:color w:val="000000"/>
          <w:sz w:val="22"/>
          <w:lang w:val="en-GB"/>
        </w:rPr>
        <w:t xml:space="preserve">. </w:t>
      </w:r>
      <w:hyperlink r:id="rId11" w:history="1">
        <w:proofErr w:type="gramStart"/>
        <w:r w:rsidRPr="00B37375">
          <w:rPr>
            <w:color w:val="000000"/>
            <w:sz w:val="22"/>
            <w:lang w:val="en-GB"/>
          </w:rPr>
          <w:t>Two recent but temporally distinct outbreaks of cutaneous leishmaniasis among foreign workers in the Dead-Sea area of Jordan.</w:t>
        </w:r>
        <w:proofErr w:type="gramEnd"/>
      </w:hyperlink>
      <w:r w:rsidRPr="00B37375">
        <w:rPr>
          <w:color w:val="000000"/>
          <w:sz w:val="22"/>
          <w:lang w:val="en-GB"/>
        </w:rPr>
        <w:t xml:space="preserve"> </w:t>
      </w:r>
      <w:r w:rsidRPr="00F11814">
        <w:rPr>
          <w:rStyle w:val="jrnl"/>
          <w:color w:val="000000"/>
          <w:sz w:val="22"/>
          <w:lang w:val="en-GB"/>
        </w:rPr>
        <w:t xml:space="preserve">Ann </w:t>
      </w:r>
      <w:proofErr w:type="spellStart"/>
      <w:r w:rsidRPr="00F11814">
        <w:rPr>
          <w:rStyle w:val="jrnl"/>
          <w:color w:val="000000"/>
          <w:sz w:val="22"/>
          <w:lang w:val="en-GB"/>
        </w:rPr>
        <w:t>Trop</w:t>
      </w:r>
      <w:proofErr w:type="spellEnd"/>
      <w:r w:rsidRPr="00F11814">
        <w:rPr>
          <w:rStyle w:val="jrnl"/>
          <w:color w:val="000000"/>
          <w:sz w:val="22"/>
          <w:lang w:val="en-GB"/>
        </w:rPr>
        <w:t xml:space="preserve"> Med </w:t>
      </w:r>
      <w:proofErr w:type="spellStart"/>
      <w:r w:rsidRPr="00F11814">
        <w:rPr>
          <w:rStyle w:val="jrnl"/>
          <w:color w:val="000000"/>
          <w:sz w:val="22"/>
          <w:lang w:val="en-GB"/>
        </w:rPr>
        <w:t>Parasitol</w:t>
      </w:r>
      <w:proofErr w:type="spellEnd"/>
      <w:r>
        <w:rPr>
          <w:rStyle w:val="src1"/>
          <w:color w:val="000000"/>
          <w:sz w:val="22"/>
          <w:lang w:val="en-GB"/>
        </w:rPr>
        <w:t xml:space="preserve"> </w:t>
      </w:r>
      <w:r w:rsidRPr="00F11814">
        <w:rPr>
          <w:rStyle w:val="src1"/>
          <w:color w:val="000000"/>
          <w:sz w:val="22"/>
          <w:lang w:val="en-GB"/>
        </w:rPr>
        <w:t>103(5):393-400.</w:t>
      </w:r>
    </w:p>
    <w:p w:rsidR="00E92380" w:rsidRPr="00D15884" w:rsidRDefault="00E92380" w:rsidP="00E92380">
      <w:pPr>
        <w:rPr>
          <w:color w:val="000000"/>
          <w:sz w:val="22"/>
          <w:lang w:val="en-US"/>
        </w:rPr>
      </w:pPr>
    </w:p>
    <w:p w:rsidR="00E92380" w:rsidRPr="00F11814" w:rsidRDefault="00E92380" w:rsidP="00E92380">
      <w:pPr>
        <w:ind w:left="0" w:firstLine="0"/>
        <w:rPr>
          <w:color w:val="000000"/>
          <w:sz w:val="22"/>
          <w:lang w:val="en-GB"/>
        </w:rPr>
      </w:pPr>
      <w:r w:rsidRPr="00B37375">
        <w:rPr>
          <w:color w:val="000000"/>
          <w:sz w:val="22"/>
          <w:lang w:val="en-GB"/>
        </w:rPr>
        <w:t xml:space="preserve">5. </w:t>
      </w:r>
      <w:proofErr w:type="spellStart"/>
      <w:r w:rsidRPr="00B37375">
        <w:rPr>
          <w:color w:val="000000"/>
          <w:sz w:val="22"/>
          <w:lang w:val="en-GB"/>
        </w:rPr>
        <w:t>Nimri</w:t>
      </w:r>
      <w:proofErr w:type="spellEnd"/>
      <w:r w:rsidRPr="00B37375">
        <w:rPr>
          <w:color w:val="000000"/>
          <w:sz w:val="22"/>
          <w:lang w:val="en-GB"/>
        </w:rPr>
        <w:t xml:space="preserve"> L, </w:t>
      </w:r>
      <w:proofErr w:type="spellStart"/>
      <w:r w:rsidRPr="00B37375">
        <w:rPr>
          <w:color w:val="000000"/>
          <w:sz w:val="22"/>
          <w:lang w:val="en-GB"/>
        </w:rPr>
        <w:t>Soubani</w:t>
      </w:r>
      <w:proofErr w:type="spellEnd"/>
      <w:r w:rsidRPr="00B37375">
        <w:rPr>
          <w:color w:val="000000"/>
          <w:sz w:val="22"/>
          <w:lang w:val="en-GB"/>
        </w:rPr>
        <w:t xml:space="preserve"> R, </w:t>
      </w:r>
      <w:proofErr w:type="spellStart"/>
      <w:r w:rsidRPr="00B37375">
        <w:rPr>
          <w:color w:val="000000"/>
          <w:sz w:val="22"/>
          <w:lang w:val="en-GB"/>
        </w:rPr>
        <w:t>Gramiccia</w:t>
      </w:r>
      <w:proofErr w:type="spellEnd"/>
      <w:r w:rsidRPr="00B37375">
        <w:rPr>
          <w:color w:val="000000"/>
          <w:sz w:val="22"/>
          <w:lang w:val="en-GB"/>
        </w:rPr>
        <w:t xml:space="preserve"> M</w:t>
      </w:r>
      <w:r>
        <w:rPr>
          <w:color w:val="000000"/>
          <w:sz w:val="22"/>
          <w:lang w:val="en-GB"/>
        </w:rPr>
        <w:t xml:space="preserve"> (2002)</w:t>
      </w:r>
      <w:r w:rsidRPr="00B37375">
        <w:rPr>
          <w:color w:val="000000"/>
          <w:sz w:val="22"/>
          <w:lang w:val="en-GB"/>
        </w:rPr>
        <w:t xml:space="preserve">. </w:t>
      </w:r>
      <w:hyperlink r:id="rId12" w:history="1">
        <w:r w:rsidRPr="00F11814">
          <w:rPr>
            <w:color w:val="000000"/>
            <w:sz w:val="22"/>
            <w:lang w:val="en-GB"/>
          </w:rPr>
          <w:t xml:space="preserve">Leishmania species and </w:t>
        </w:r>
        <w:proofErr w:type="spellStart"/>
        <w:r w:rsidRPr="00F11814">
          <w:rPr>
            <w:color w:val="000000"/>
            <w:sz w:val="22"/>
            <w:lang w:val="en-GB"/>
          </w:rPr>
          <w:t>zymodemes</w:t>
        </w:r>
        <w:proofErr w:type="spellEnd"/>
        <w:r w:rsidRPr="00F11814">
          <w:rPr>
            <w:color w:val="000000"/>
            <w:sz w:val="22"/>
            <w:lang w:val="en-GB"/>
          </w:rPr>
          <w:t xml:space="preserve"> isolated from endemic areas of cutaneous leishmaniasis in Jordan.</w:t>
        </w:r>
      </w:hyperlink>
      <w:r w:rsidRPr="00F11814">
        <w:rPr>
          <w:color w:val="000000"/>
          <w:sz w:val="22"/>
          <w:lang w:val="en-GB"/>
        </w:rPr>
        <w:t xml:space="preserve"> </w:t>
      </w:r>
      <w:proofErr w:type="spellStart"/>
      <w:r w:rsidRPr="00F11814">
        <w:rPr>
          <w:rStyle w:val="jrnl"/>
          <w:color w:val="000000"/>
          <w:sz w:val="22"/>
          <w:lang w:val="en-GB"/>
        </w:rPr>
        <w:t>Kinetoplastid</w:t>
      </w:r>
      <w:proofErr w:type="spellEnd"/>
      <w:r w:rsidRPr="00F11814">
        <w:rPr>
          <w:rStyle w:val="jrnl"/>
          <w:color w:val="000000"/>
          <w:sz w:val="22"/>
          <w:lang w:val="en-GB"/>
        </w:rPr>
        <w:t xml:space="preserve"> </w:t>
      </w:r>
      <w:proofErr w:type="spellStart"/>
      <w:r w:rsidRPr="00F11814">
        <w:rPr>
          <w:rStyle w:val="jrnl"/>
          <w:color w:val="000000"/>
          <w:sz w:val="22"/>
          <w:lang w:val="en-GB"/>
        </w:rPr>
        <w:t>Biol</w:t>
      </w:r>
      <w:proofErr w:type="spellEnd"/>
      <w:r w:rsidRPr="00F11814">
        <w:rPr>
          <w:rStyle w:val="jrnl"/>
          <w:color w:val="000000"/>
          <w:sz w:val="22"/>
          <w:lang w:val="en-GB"/>
        </w:rPr>
        <w:t xml:space="preserve"> </w:t>
      </w:r>
      <w:proofErr w:type="spellStart"/>
      <w:r w:rsidRPr="00F11814">
        <w:rPr>
          <w:rStyle w:val="jrnl"/>
          <w:color w:val="000000"/>
          <w:sz w:val="22"/>
          <w:lang w:val="en-GB"/>
        </w:rPr>
        <w:t>Dis</w:t>
      </w:r>
      <w:proofErr w:type="spellEnd"/>
      <w:r>
        <w:rPr>
          <w:rStyle w:val="src1"/>
          <w:color w:val="000000"/>
          <w:sz w:val="22"/>
          <w:lang w:val="en-GB"/>
        </w:rPr>
        <w:t xml:space="preserve"> </w:t>
      </w:r>
      <w:r w:rsidRPr="00F11814">
        <w:rPr>
          <w:rStyle w:val="src1"/>
          <w:color w:val="000000"/>
          <w:sz w:val="22"/>
          <w:lang w:val="en-GB"/>
        </w:rPr>
        <w:t>1(1):7</w:t>
      </w:r>
      <w:r>
        <w:rPr>
          <w:rStyle w:val="src1"/>
          <w:color w:val="000000"/>
          <w:sz w:val="22"/>
          <w:lang w:val="en-GB"/>
        </w:rPr>
        <w:t>.</w:t>
      </w:r>
    </w:p>
    <w:p w:rsidR="00E92380" w:rsidRPr="00F11814" w:rsidRDefault="00E92380" w:rsidP="00E92380">
      <w:pPr>
        <w:pStyle w:val="title1"/>
        <w:shd w:val="clear" w:color="auto" w:fill="FFFFFF"/>
        <w:jc w:val="both"/>
        <w:rPr>
          <w:rStyle w:val="src1"/>
          <w:rFonts w:ascii="Arial" w:hAnsi="Arial" w:cs="Arial"/>
          <w:color w:val="000000"/>
          <w:sz w:val="22"/>
          <w:szCs w:val="22"/>
        </w:rPr>
      </w:pPr>
    </w:p>
    <w:p w:rsidR="00E92380" w:rsidRPr="00F11814" w:rsidRDefault="00E92380" w:rsidP="00E92380">
      <w:pPr>
        <w:pStyle w:val="title1"/>
        <w:shd w:val="clear" w:color="auto" w:fill="FFFFFF"/>
        <w:jc w:val="both"/>
        <w:rPr>
          <w:rFonts w:ascii="Arial" w:hAnsi="Arial" w:cs="Arial"/>
          <w:color w:val="000000"/>
          <w:sz w:val="22"/>
          <w:szCs w:val="22"/>
        </w:rPr>
      </w:pPr>
      <w:r>
        <w:rPr>
          <w:rFonts w:ascii="Arial" w:hAnsi="Arial" w:cs="Arial"/>
          <w:color w:val="000000"/>
          <w:sz w:val="22"/>
          <w:szCs w:val="22"/>
        </w:rPr>
        <w:t xml:space="preserve">6. </w:t>
      </w:r>
      <w:proofErr w:type="spellStart"/>
      <w:r w:rsidRPr="00F11814">
        <w:rPr>
          <w:rFonts w:ascii="Arial" w:hAnsi="Arial" w:cs="Arial"/>
          <w:color w:val="000000"/>
          <w:sz w:val="22"/>
          <w:szCs w:val="22"/>
        </w:rPr>
        <w:t>Saliba</w:t>
      </w:r>
      <w:proofErr w:type="spellEnd"/>
      <w:r w:rsidRPr="00F11814">
        <w:rPr>
          <w:rFonts w:ascii="Arial" w:hAnsi="Arial" w:cs="Arial"/>
          <w:color w:val="000000"/>
          <w:sz w:val="22"/>
          <w:szCs w:val="22"/>
        </w:rPr>
        <w:t xml:space="preserve"> E, </w:t>
      </w:r>
      <w:proofErr w:type="spellStart"/>
      <w:r w:rsidRPr="00F11814">
        <w:rPr>
          <w:rFonts w:ascii="Arial" w:hAnsi="Arial" w:cs="Arial"/>
          <w:color w:val="000000"/>
          <w:sz w:val="22"/>
          <w:szCs w:val="22"/>
        </w:rPr>
        <w:t>Saleh</w:t>
      </w:r>
      <w:proofErr w:type="spellEnd"/>
      <w:r w:rsidRPr="00F11814">
        <w:rPr>
          <w:rFonts w:ascii="Arial" w:hAnsi="Arial" w:cs="Arial"/>
          <w:color w:val="000000"/>
          <w:sz w:val="22"/>
          <w:szCs w:val="22"/>
        </w:rPr>
        <w:t xml:space="preserve"> N, </w:t>
      </w:r>
      <w:proofErr w:type="spellStart"/>
      <w:r w:rsidRPr="00F11814">
        <w:rPr>
          <w:rFonts w:ascii="Arial" w:hAnsi="Arial" w:cs="Arial"/>
          <w:color w:val="000000"/>
          <w:sz w:val="22"/>
          <w:szCs w:val="22"/>
        </w:rPr>
        <w:t>Bisharat</w:t>
      </w:r>
      <w:proofErr w:type="spellEnd"/>
      <w:r w:rsidRPr="00F11814">
        <w:rPr>
          <w:rFonts w:ascii="Arial" w:hAnsi="Arial" w:cs="Arial"/>
          <w:color w:val="000000"/>
          <w:sz w:val="22"/>
          <w:szCs w:val="22"/>
        </w:rPr>
        <w:t xml:space="preserve"> Z, </w:t>
      </w:r>
      <w:proofErr w:type="spellStart"/>
      <w:r w:rsidRPr="00F11814">
        <w:rPr>
          <w:rFonts w:ascii="Arial" w:hAnsi="Arial" w:cs="Arial"/>
          <w:color w:val="000000"/>
          <w:sz w:val="22"/>
          <w:szCs w:val="22"/>
        </w:rPr>
        <w:t>Oumeish</w:t>
      </w:r>
      <w:proofErr w:type="spellEnd"/>
      <w:r w:rsidRPr="00F11814">
        <w:rPr>
          <w:rFonts w:ascii="Arial" w:hAnsi="Arial" w:cs="Arial"/>
          <w:color w:val="000000"/>
          <w:sz w:val="22"/>
          <w:szCs w:val="22"/>
        </w:rPr>
        <w:t xml:space="preserve"> O, </w:t>
      </w:r>
      <w:proofErr w:type="spellStart"/>
      <w:r w:rsidRPr="00F11814">
        <w:rPr>
          <w:rFonts w:ascii="Arial" w:hAnsi="Arial" w:cs="Arial"/>
          <w:color w:val="000000"/>
          <w:sz w:val="22"/>
          <w:szCs w:val="22"/>
        </w:rPr>
        <w:t>Khoury</w:t>
      </w:r>
      <w:proofErr w:type="spellEnd"/>
      <w:r w:rsidRPr="00F11814">
        <w:rPr>
          <w:rFonts w:ascii="Arial" w:hAnsi="Arial" w:cs="Arial"/>
          <w:color w:val="000000"/>
          <w:sz w:val="22"/>
          <w:szCs w:val="22"/>
        </w:rPr>
        <w:t xml:space="preserve"> S </w:t>
      </w:r>
      <w:r>
        <w:rPr>
          <w:rFonts w:ascii="Arial" w:hAnsi="Arial" w:cs="Arial"/>
          <w:color w:val="000000"/>
          <w:sz w:val="22"/>
          <w:szCs w:val="22"/>
        </w:rPr>
        <w:t>et al (1993)</w:t>
      </w:r>
      <w:r w:rsidRPr="00F11814">
        <w:rPr>
          <w:rFonts w:ascii="Arial" w:hAnsi="Arial" w:cs="Arial"/>
          <w:color w:val="000000"/>
          <w:sz w:val="22"/>
          <w:szCs w:val="22"/>
        </w:rPr>
        <w:t xml:space="preserve">. </w:t>
      </w:r>
      <w:hyperlink r:id="rId13" w:history="1">
        <w:proofErr w:type="gramStart"/>
        <w:r w:rsidRPr="00F11814">
          <w:rPr>
            <w:rFonts w:ascii="Arial" w:hAnsi="Arial" w:cs="Arial"/>
            <w:color w:val="000000"/>
            <w:sz w:val="22"/>
            <w:szCs w:val="22"/>
          </w:rPr>
          <w:t>Cutaneous leishmaniasis due to Leishmania tropica in Jordan.</w:t>
        </w:r>
        <w:proofErr w:type="gramEnd"/>
      </w:hyperlink>
      <w:r w:rsidRPr="00F11814">
        <w:rPr>
          <w:rFonts w:ascii="Arial" w:hAnsi="Arial" w:cs="Arial"/>
          <w:color w:val="000000"/>
          <w:sz w:val="22"/>
          <w:szCs w:val="22"/>
        </w:rPr>
        <w:t xml:space="preserve"> </w:t>
      </w:r>
      <w:r w:rsidRPr="00F11814">
        <w:rPr>
          <w:rStyle w:val="jrnl"/>
          <w:rFonts w:ascii="Arial" w:hAnsi="Arial" w:cs="Arial"/>
          <w:color w:val="000000"/>
          <w:sz w:val="22"/>
          <w:szCs w:val="22"/>
        </w:rPr>
        <w:t xml:space="preserve">Trans R Soc </w:t>
      </w:r>
      <w:proofErr w:type="spellStart"/>
      <w:r w:rsidRPr="00F11814">
        <w:rPr>
          <w:rStyle w:val="jrnl"/>
          <w:rFonts w:ascii="Arial" w:hAnsi="Arial" w:cs="Arial"/>
          <w:color w:val="000000"/>
          <w:sz w:val="22"/>
          <w:szCs w:val="22"/>
        </w:rPr>
        <w:t>Trop</w:t>
      </w:r>
      <w:proofErr w:type="spellEnd"/>
      <w:r w:rsidRPr="00F11814">
        <w:rPr>
          <w:rStyle w:val="jrnl"/>
          <w:rFonts w:ascii="Arial" w:hAnsi="Arial" w:cs="Arial"/>
          <w:color w:val="000000"/>
          <w:sz w:val="22"/>
          <w:szCs w:val="22"/>
        </w:rPr>
        <w:t xml:space="preserve"> Med </w:t>
      </w:r>
      <w:proofErr w:type="spellStart"/>
      <w:r w:rsidRPr="00F11814">
        <w:rPr>
          <w:rStyle w:val="jrnl"/>
          <w:rFonts w:ascii="Arial" w:hAnsi="Arial" w:cs="Arial"/>
          <w:color w:val="000000"/>
          <w:sz w:val="22"/>
          <w:szCs w:val="22"/>
        </w:rPr>
        <w:t>Hyg</w:t>
      </w:r>
      <w:proofErr w:type="spellEnd"/>
      <w:r>
        <w:rPr>
          <w:rStyle w:val="src1"/>
          <w:rFonts w:ascii="Arial" w:hAnsi="Arial" w:cs="Arial"/>
          <w:color w:val="000000"/>
          <w:sz w:val="22"/>
          <w:szCs w:val="22"/>
        </w:rPr>
        <w:t xml:space="preserve"> </w:t>
      </w:r>
      <w:r w:rsidRPr="00F11814">
        <w:rPr>
          <w:rStyle w:val="src1"/>
          <w:rFonts w:ascii="Arial" w:hAnsi="Arial" w:cs="Arial"/>
          <w:color w:val="000000"/>
          <w:sz w:val="22"/>
          <w:szCs w:val="22"/>
        </w:rPr>
        <w:t>87(6):633</w:t>
      </w:r>
      <w:r>
        <w:rPr>
          <w:rStyle w:val="src1"/>
          <w:rFonts w:ascii="Arial" w:hAnsi="Arial" w:cs="Arial"/>
          <w:color w:val="000000"/>
          <w:sz w:val="22"/>
          <w:szCs w:val="22"/>
        </w:rPr>
        <w:t>.</w:t>
      </w:r>
    </w:p>
    <w:p w:rsidR="00E92380" w:rsidRPr="00F11814" w:rsidRDefault="00E92380" w:rsidP="00E92380">
      <w:pPr>
        <w:rPr>
          <w:sz w:val="22"/>
          <w:lang w:val="en-GB"/>
        </w:rPr>
      </w:pPr>
    </w:p>
    <w:p w:rsidR="00E92380" w:rsidRPr="00D15884" w:rsidRDefault="00E92380" w:rsidP="00E92380">
      <w:pPr>
        <w:pStyle w:val="title1"/>
        <w:shd w:val="clear" w:color="auto" w:fill="FFFFFF"/>
        <w:jc w:val="both"/>
        <w:rPr>
          <w:rFonts w:ascii="Arial" w:hAnsi="Arial" w:cs="Arial"/>
          <w:sz w:val="22"/>
          <w:szCs w:val="22"/>
        </w:rPr>
      </w:pPr>
      <w:r>
        <w:rPr>
          <w:rFonts w:ascii="Arial" w:hAnsi="Arial" w:cs="Arial"/>
          <w:sz w:val="22"/>
          <w:szCs w:val="22"/>
        </w:rPr>
        <w:t xml:space="preserve">7. </w:t>
      </w:r>
      <w:proofErr w:type="spellStart"/>
      <w:r w:rsidRPr="00F11814">
        <w:rPr>
          <w:rFonts w:ascii="Arial" w:hAnsi="Arial" w:cs="Arial"/>
          <w:sz w:val="22"/>
          <w:szCs w:val="22"/>
        </w:rPr>
        <w:t>Mosleh</w:t>
      </w:r>
      <w:proofErr w:type="spellEnd"/>
      <w:r w:rsidRPr="00F11814">
        <w:rPr>
          <w:rFonts w:ascii="Arial" w:hAnsi="Arial" w:cs="Arial"/>
          <w:sz w:val="22"/>
          <w:szCs w:val="22"/>
        </w:rPr>
        <w:t xml:space="preserve"> IM, </w:t>
      </w:r>
      <w:proofErr w:type="spellStart"/>
      <w:r w:rsidRPr="00F11814">
        <w:rPr>
          <w:rFonts w:ascii="Arial" w:hAnsi="Arial" w:cs="Arial"/>
          <w:sz w:val="22"/>
          <w:szCs w:val="22"/>
        </w:rPr>
        <w:t>Geith</w:t>
      </w:r>
      <w:proofErr w:type="spellEnd"/>
      <w:r w:rsidRPr="00F11814">
        <w:rPr>
          <w:rFonts w:ascii="Arial" w:hAnsi="Arial" w:cs="Arial"/>
          <w:sz w:val="22"/>
          <w:szCs w:val="22"/>
        </w:rPr>
        <w:t xml:space="preserve"> E, </w:t>
      </w:r>
      <w:proofErr w:type="spellStart"/>
      <w:r w:rsidRPr="00F11814">
        <w:rPr>
          <w:rFonts w:ascii="Arial" w:hAnsi="Arial" w:cs="Arial"/>
          <w:sz w:val="22"/>
          <w:szCs w:val="22"/>
        </w:rPr>
        <w:t>Natsheh</w:t>
      </w:r>
      <w:proofErr w:type="spellEnd"/>
      <w:r w:rsidRPr="00F11814">
        <w:rPr>
          <w:rFonts w:ascii="Arial" w:hAnsi="Arial" w:cs="Arial"/>
          <w:sz w:val="22"/>
          <w:szCs w:val="22"/>
        </w:rPr>
        <w:t xml:space="preserve"> L, Abdul-</w:t>
      </w:r>
      <w:proofErr w:type="spellStart"/>
      <w:r w:rsidRPr="00F11814">
        <w:rPr>
          <w:rFonts w:ascii="Arial" w:hAnsi="Arial" w:cs="Arial"/>
          <w:sz w:val="22"/>
          <w:szCs w:val="22"/>
        </w:rPr>
        <w:t>Dayem</w:t>
      </w:r>
      <w:proofErr w:type="spellEnd"/>
      <w:r w:rsidRPr="00F11814">
        <w:rPr>
          <w:rFonts w:ascii="Arial" w:hAnsi="Arial" w:cs="Arial"/>
          <w:sz w:val="22"/>
          <w:szCs w:val="22"/>
        </w:rPr>
        <w:t xml:space="preserve"> M, </w:t>
      </w:r>
      <w:proofErr w:type="spellStart"/>
      <w:r w:rsidRPr="00F11814">
        <w:rPr>
          <w:rFonts w:ascii="Arial" w:hAnsi="Arial" w:cs="Arial"/>
          <w:sz w:val="22"/>
          <w:szCs w:val="22"/>
        </w:rPr>
        <w:t>Abotteen</w:t>
      </w:r>
      <w:proofErr w:type="spellEnd"/>
      <w:r w:rsidRPr="00F11814">
        <w:rPr>
          <w:rFonts w:ascii="Arial" w:hAnsi="Arial" w:cs="Arial"/>
          <w:sz w:val="22"/>
          <w:szCs w:val="22"/>
        </w:rPr>
        <w:t xml:space="preserve"> N</w:t>
      </w:r>
      <w:r>
        <w:rPr>
          <w:rFonts w:ascii="Arial" w:hAnsi="Arial" w:cs="Arial"/>
          <w:sz w:val="22"/>
          <w:szCs w:val="22"/>
        </w:rPr>
        <w:t xml:space="preserve"> (2008)</w:t>
      </w:r>
      <w:r w:rsidRPr="00F11814">
        <w:rPr>
          <w:rFonts w:ascii="Arial" w:hAnsi="Arial" w:cs="Arial"/>
          <w:sz w:val="22"/>
          <w:szCs w:val="22"/>
        </w:rPr>
        <w:t xml:space="preserve">. </w:t>
      </w:r>
      <w:hyperlink r:id="rId14" w:history="1">
        <w:r w:rsidRPr="00D15884">
          <w:rPr>
            <w:rFonts w:ascii="Arial" w:hAnsi="Arial" w:cs="Arial"/>
            <w:sz w:val="22"/>
            <w:szCs w:val="22"/>
          </w:rPr>
          <w:t>Cutaneous leishmaniasis in the Jordanian side of the Jordan Valley: severe under-reporting and consequences on public health management.</w:t>
        </w:r>
      </w:hyperlink>
      <w:r w:rsidRPr="00D15884">
        <w:rPr>
          <w:rFonts w:ascii="Arial" w:hAnsi="Arial" w:cs="Arial"/>
          <w:sz w:val="22"/>
          <w:szCs w:val="22"/>
        </w:rPr>
        <w:t xml:space="preserve"> </w:t>
      </w:r>
      <w:proofErr w:type="spellStart"/>
      <w:r w:rsidRPr="00D15884">
        <w:rPr>
          <w:rStyle w:val="jrnl"/>
          <w:rFonts w:ascii="Arial" w:hAnsi="Arial" w:cs="Arial"/>
          <w:sz w:val="22"/>
          <w:szCs w:val="22"/>
        </w:rPr>
        <w:t>Trop</w:t>
      </w:r>
      <w:proofErr w:type="spellEnd"/>
      <w:r w:rsidRPr="00D15884">
        <w:rPr>
          <w:rStyle w:val="jrnl"/>
          <w:rFonts w:ascii="Arial" w:hAnsi="Arial" w:cs="Arial"/>
          <w:sz w:val="22"/>
          <w:szCs w:val="22"/>
        </w:rPr>
        <w:t xml:space="preserve"> Med </w:t>
      </w:r>
      <w:proofErr w:type="spellStart"/>
      <w:r w:rsidRPr="00D15884">
        <w:rPr>
          <w:rStyle w:val="jrnl"/>
          <w:rFonts w:ascii="Arial" w:hAnsi="Arial" w:cs="Arial"/>
          <w:sz w:val="22"/>
          <w:szCs w:val="22"/>
        </w:rPr>
        <w:t>Int</w:t>
      </w:r>
      <w:proofErr w:type="spellEnd"/>
      <w:r w:rsidRPr="00D15884">
        <w:rPr>
          <w:rStyle w:val="jrnl"/>
          <w:rFonts w:ascii="Arial" w:hAnsi="Arial" w:cs="Arial"/>
          <w:sz w:val="22"/>
          <w:szCs w:val="22"/>
        </w:rPr>
        <w:t xml:space="preserve"> Health</w:t>
      </w:r>
      <w:r>
        <w:rPr>
          <w:rStyle w:val="src1"/>
          <w:rFonts w:ascii="Arial" w:hAnsi="Arial" w:cs="Arial"/>
          <w:sz w:val="22"/>
          <w:szCs w:val="22"/>
        </w:rPr>
        <w:t xml:space="preserve"> </w:t>
      </w:r>
      <w:r w:rsidRPr="00D15884">
        <w:rPr>
          <w:rStyle w:val="src1"/>
          <w:rFonts w:ascii="Arial" w:hAnsi="Arial" w:cs="Arial"/>
          <w:sz w:val="22"/>
          <w:szCs w:val="22"/>
        </w:rPr>
        <w:t>13(6):855-60.</w:t>
      </w:r>
    </w:p>
    <w:p w:rsidR="00E92380" w:rsidRPr="00B37375" w:rsidRDefault="00E92380" w:rsidP="00E92380">
      <w:pPr>
        <w:rPr>
          <w:sz w:val="22"/>
          <w:lang w:val="en-GB"/>
        </w:rPr>
      </w:pPr>
    </w:p>
    <w:p w:rsidR="002F7C1A" w:rsidRDefault="00E92380" w:rsidP="00E92380">
      <w:r w:rsidRPr="002C75B8">
        <w:rPr>
          <w:b/>
          <w:sz w:val="22"/>
          <w:u w:val="single"/>
          <w:lang w:val="en-US"/>
        </w:rPr>
        <w:br w:type="page"/>
      </w:r>
    </w:p>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1F7"/>
    <w:multiLevelType w:val="hybridMultilevel"/>
    <w:tmpl w:val="BC800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2380"/>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45F5C"/>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92380"/>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80"/>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E92380"/>
    <w:pPr>
      <w:spacing w:before="100" w:beforeAutospacing="1" w:after="100" w:afterAutospacing="1"/>
      <w:ind w:left="0" w:firstLine="0"/>
      <w:jc w:val="left"/>
    </w:pPr>
    <w:rPr>
      <w:rFonts w:ascii="Times New Roman" w:eastAsia="Times New Roman" w:hAnsi="Times New Roman" w:cs="Times New Roman"/>
      <w:szCs w:val="24"/>
      <w:lang w:val="en-US"/>
    </w:rPr>
  </w:style>
  <w:style w:type="paragraph" w:customStyle="1" w:styleId="rprtbody1">
    <w:name w:val="rprtbody1"/>
    <w:basedOn w:val="Normal"/>
    <w:rsid w:val="00E92380"/>
    <w:pPr>
      <w:spacing w:before="34" w:after="34"/>
      <w:ind w:left="0" w:firstLine="0"/>
      <w:jc w:val="left"/>
    </w:pPr>
    <w:rPr>
      <w:rFonts w:ascii="Times New Roman" w:hAnsi="Times New Roman" w:cs="Times New Roman"/>
      <w:sz w:val="28"/>
      <w:szCs w:val="28"/>
      <w:lang w:val="es-ES" w:eastAsia="es-ES"/>
    </w:rPr>
  </w:style>
  <w:style w:type="character" w:customStyle="1" w:styleId="src1">
    <w:name w:val="src1"/>
    <w:basedOn w:val="DefaultParagraphFont"/>
    <w:rsid w:val="00E92380"/>
    <w:rPr>
      <w:rFonts w:cs="Times New Roman"/>
    </w:rPr>
  </w:style>
  <w:style w:type="character" w:customStyle="1" w:styleId="jrnl">
    <w:name w:val="jrnl"/>
    <w:basedOn w:val="DefaultParagraphFont"/>
    <w:rsid w:val="00E92380"/>
    <w:rPr>
      <w:rFonts w:cs="Times New Roman"/>
    </w:rPr>
  </w:style>
  <w:style w:type="paragraph" w:styleId="NoSpacing">
    <w:name w:val="No Spacing"/>
    <w:qFormat/>
    <w:rsid w:val="00E92380"/>
    <w:pPr>
      <w:spacing w:after="0" w:line="240" w:lineRule="auto"/>
    </w:pPr>
    <w:rPr>
      <w:rFonts w:ascii="Calibri" w:eastAsia="Times New Roman" w:hAnsi="Calibri" w:cs="Times New Roman"/>
      <w:lang w:val="en-GB"/>
    </w:rPr>
  </w:style>
  <w:style w:type="paragraph" w:customStyle="1" w:styleId="title1">
    <w:name w:val="title1"/>
    <w:basedOn w:val="Normal"/>
    <w:rsid w:val="00E92380"/>
    <w:pPr>
      <w:ind w:left="0" w:firstLine="0"/>
      <w:jc w:val="left"/>
    </w:pPr>
    <w:rPr>
      <w:rFonts w:ascii="Times New Roman" w:eastAsia="SimSun" w:hAnsi="Times New Roman" w:cs="Times New Roman"/>
      <w:sz w:val="29"/>
      <w:szCs w:val="29"/>
      <w:lang w:val="en-GB" w:eastAsia="zh-CN"/>
    </w:rPr>
  </w:style>
  <w:style w:type="paragraph" w:styleId="BalloonText">
    <w:name w:val="Balloon Text"/>
    <w:basedOn w:val="Normal"/>
    <w:link w:val="BalloonTextChar"/>
    <w:uiPriority w:val="99"/>
    <w:semiHidden/>
    <w:unhideWhenUsed/>
    <w:rsid w:val="00E92380"/>
    <w:rPr>
      <w:rFonts w:ascii="Tahoma" w:hAnsi="Tahoma" w:cs="Tahoma"/>
      <w:sz w:val="16"/>
      <w:szCs w:val="16"/>
    </w:rPr>
  </w:style>
  <w:style w:type="character" w:customStyle="1" w:styleId="BalloonTextChar">
    <w:name w:val="Balloon Text Char"/>
    <w:basedOn w:val="DefaultParagraphFont"/>
    <w:link w:val="BalloonText"/>
    <w:uiPriority w:val="99"/>
    <w:semiHidden/>
    <w:rsid w:val="00E92380"/>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829636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124731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1958391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cbi.nlm.nih.gov/pubmed/10348221" TargetMode="External"/><Relationship Id="rId4" Type="http://schemas.openxmlformats.org/officeDocument/2006/relationships/webSettings" Target="webSettings.xml"/><Relationship Id="rId9" Type="http://schemas.openxmlformats.org/officeDocument/2006/relationships/hyperlink" Target="http://www.ncbi.nlm.nih.gov/pubmed/9502598" TargetMode="External"/><Relationship Id="rId14" Type="http://schemas.openxmlformats.org/officeDocument/2006/relationships/hyperlink" Target="http://www.ncbi.nlm.nih.gov/pubmed/1836358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2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9682151589242083E-2"/>
          <c:y val="5.1181102362204682E-2"/>
          <c:w val="0.91809290953545231"/>
          <c:h val="0.74803149606299235"/>
        </c:manualLayout>
      </c:layout>
      <c:bar3DChart>
        <c:barDir val="col"/>
        <c:grouping val="clustered"/>
        <c:ser>
          <c:idx val="0"/>
          <c:order val="0"/>
          <c:tx>
            <c:strRef>
              <c:f>Sheet1!$A$2</c:f>
              <c:strCache>
                <c:ptCount val="1"/>
                <c:pt idx="0">
                  <c:v>cases</c:v>
                </c:pt>
              </c:strCache>
            </c:strRef>
          </c:tx>
          <c:spPr>
            <a:solidFill>
              <a:srgbClr val="4F81BD"/>
            </a:solidFill>
            <a:ln w="12700">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207</c:v>
                </c:pt>
                <c:pt idx="1">
                  <c:v>35</c:v>
                </c:pt>
                <c:pt idx="2">
                  <c:v>18</c:v>
                </c:pt>
                <c:pt idx="3">
                  <c:v>53</c:v>
                </c:pt>
                <c:pt idx="4">
                  <c:v>113</c:v>
                </c:pt>
                <c:pt idx="5">
                  <c:v>16</c:v>
                </c:pt>
                <c:pt idx="6">
                  <c:v>5</c:v>
                </c:pt>
                <c:pt idx="7">
                  <c:v>86</c:v>
                </c:pt>
                <c:pt idx="8">
                  <c:v>19</c:v>
                </c:pt>
                <c:pt idx="9">
                  <c:v>7</c:v>
                </c:pt>
                <c:pt idx="10">
                  <c:v>192</c:v>
                </c:pt>
                <c:pt idx="11">
                  <c:v>162</c:v>
                </c:pt>
                <c:pt idx="12">
                  <c:v>181</c:v>
                </c:pt>
                <c:pt idx="13">
                  <c:v>354</c:v>
                </c:pt>
                <c:pt idx="14">
                  <c:v>244</c:v>
                </c:pt>
                <c:pt idx="15">
                  <c:v>148</c:v>
                </c:pt>
                <c:pt idx="16">
                  <c:v>155</c:v>
                </c:pt>
              </c:numCache>
            </c:numRef>
          </c:val>
        </c:ser>
        <c:gapDepth val="0"/>
        <c:shape val="box"/>
        <c:axId val="279500288"/>
        <c:axId val="279501824"/>
        <c:axId val="0"/>
      </c:bar3DChart>
      <c:catAx>
        <c:axId val="27950028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501824"/>
        <c:crosses val="autoZero"/>
        <c:auto val="1"/>
        <c:lblAlgn val="ctr"/>
        <c:lblOffset val="100"/>
        <c:tickLblSkip val="1"/>
        <c:tickMarkSkip val="1"/>
      </c:catAx>
      <c:valAx>
        <c:axId val="279501824"/>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500288"/>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9">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2012-04-02T09:39:00Z</dcterms:created>
  <dcterms:modified xsi:type="dcterms:W3CDTF">2012-04-02T09:41:00Z</dcterms:modified>
</cp:coreProperties>
</file>