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EE" w:rsidRPr="00AD2CB9" w:rsidRDefault="003722EE" w:rsidP="003722EE">
      <w:pPr>
        <w:spacing w:line="480" w:lineRule="auto"/>
        <w:rPr>
          <w:b/>
          <w:sz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AD2CB9">
            <w:rPr>
              <w:b/>
              <w:sz w:val="22"/>
              <w:u w:val="single"/>
              <w:lang w:val="en-US"/>
            </w:rPr>
            <w:t>EL SALVADOR</w:t>
          </w:r>
        </w:smartTag>
      </w:smartTag>
    </w:p>
    <w:p w:rsidR="003722EE" w:rsidRPr="00AD2CB9" w:rsidRDefault="003722EE" w:rsidP="003722EE">
      <w:pPr>
        <w:spacing w:line="480" w:lineRule="auto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854325" cy="1916430"/>
            <wp:effectExtent l="19050" t="0" r="3175" b="0"/>
            <wp:docPr id="1" name="Picture 39" descr="SV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V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EE" w:rsidRDefault="003722EE" w:rsidP="003722EE">
      <w:pPr>
        <w:rPr>
          <w:b/>
          <w:sz w:val="22"/>
          <w:lang w:val="en-US"/>
        </w:rPr>
      </w:pPr>
      <w:r w:rsidRPr="00AD2CB9">
        <w:rPr>
          <w:b/>
          <w:sz w:val="22"/>
          <w:lang w:val="en-US"/>
        </w:rPr>
        <w:t>BASIC COUNTRY DATA</w:t>
      </w:r>
    </w:p>
    <w:p w:rsidR="003722EE" w:rsidRPr="00AD2CB9" w:rsidRDefault="003722EE" w:rsidP="003722EE">
      <w:pPr>
        <w:rPr>
          <w:b/>
          <w:sz w:val="22"/>
          <w:lang w:val="en-US"/>
        </w:rPr>
      </w:pP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>Total Population: 6</w:t>
      </w:r>
      <w:r>
        <w:rPr>
          <w:sz w:val="22"/>
          <w:lang w:val="en-US"/>
        </w:rPr>
        <w:t>,192,993</w:t>
      </w:r>
      <w:r w:rsidRPr="00AD2CB9">
        <w:rPr>
          <w:sz w:val="22"/>
          <w:lang w:val="en-US"/>
        </w:rPr>
        <w:t xml:space="preserve"> 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>Population 0-14 years: 3</w:t>
      </w:r>
      <w:r>
        <w:rPr>
          <w:sz w:val="22"/>
          <w:lang w:val="en-US"/>
        </w:rPr>
        <w:t>2</w:t>
      </w:r>
      <w:r w:rsidRPr="00AD2CB9">
        <w:rPr>
          <w:sz w:val="22"/>
          <w:lang w:val="en-US"/>
        </w:rPr>
        <w:t xml:space="preserve">% 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39</w:t>
      </w:r>
      <w:r w:rsidRPr="00AD2CB9">
        <w:rPr>
          <w:sz w:val="22"/>
          <w:lang w:val="en-US"/>
        </w:rPr>
        <w:t xml:space="preserve">% 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AD2CB9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5.</w:t>
      </w:r>
      <w:r w:rsidRPr="00AD2CB9">
        <w:rPr>
          <w:sz w:val="22"/>
          <w:lang w:val="en-US"/>
        </w:rPr>
        <w:t xml:space="preserve">1% 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37.8</w:t>
      </w:r>
      <w:r w:rsidRPr="00AD2CB9">
        <w:rPr>
          <w:sz w:val="22"/>
          <w:lang w:val="en-US"/>
        </w:rPr>
        <w:t>%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 xml:space="preserve">Income status: Lower middle income economy 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>Ranking:</w:t>
      </w:r>
      <w:r w:rsidRPr="00AD2CB9">
        <w:rPr>
          <w:i/>
          <w:iCs/>
          <w:color w:val="003399"/>
          <w:sz w:val="22"/>
          <w:lang w:val="en-US" w:eastAsia="es-CO"/>
        </w:rPr>
        <w:t xml:space="preserve"> </w:t>
      </w:r>
      <w:r w:rsidRPr="00AD2CB9">
        <w:rPr>
          <w:bCs/>
          <w:sz w:val="22"/>
          <w:lang w:val="en-US"/>
        </w:rPr>
        <w:t xml:space="preserve">Medium </w:t>
      </w:r>
      <w:r>
        <w:rPr>
          <w:bCs/>
          <w:sz w:val="22"/>
          <w:lang w:val="en-US"/>
        </w:rPr>
        <w:t>h</w:t>
      </w:r>
      <w:r w:rsidRPr="00AD2CB9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AD2CB9">
        <w:rPr>
          <w:bCs/>
          <w:sz w:val="22"/>
          <w:lang w:val="en-US"/>
        </w:rPr>
        <w:t>evelopment (ranking 10</w:t>
      </w:r>
      <w:r>
        <w:rPr>
          <w:bCs/>
          <w:sz w:val="22"/>
          <w:lang w:val="en-US"/>
        </w:rPr>
        <w:t>5</w:t>
      </w:r>
      <w:r w:rsidRPr="00AD2CB9">
        <w:rPr>
          <w:bCs/>
          <w:sz w:val="22"/>
          <w:lang w:val="en-US"/>
        </w:rPr>
        <w:t>)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>Per capita total expenditure on health at average exchange rate (US dollar):</w:t>
      </w:r>
      <w:r>
        <w:rPr>
          <w:sz w:val="22"/>
          <w:lang w:val="en-US"/>
        </w:rPr>
        <w:t xml:space="preserve"> 229</w:t>
      </w:r>
      <w:r w:rsidRPr="00AD2CB9">
        <w:rPr>
          <w:sz w:val="22"/>
          <w:lang w:val="en-US"/>
        </w:rPr>
        <w:t xml:space="preserve"> 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2</w:t>
      </w:r>
    </w:p>
    <w:p w:rsidR="003722EE" w:rsidRPr="00AD2CB9" w:rsidRDefault="003722EE" w:rsidP="003722EE">
      <w:pPr>
        <w:rPr>
          <w:sz w:val="22"/>
          <w:lang w:val="en-US"/>
        </w:rPr>
      </w:pPr>
      <w:r w:rsidRPr="00AD2CB9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AD2CB9">
        <w:rPr>
          <w:sz w:val="22"/>
          <w:lang w:val="en-US"/>
        </w:rPr>
        <w:t xml:space="preserve"> life expectancy at birth (years): 60 </w:t>
      </w:r>
    </w:p>
    <w:p w:rsidR="003722EE" w:rsidRDefault="003722EE" w:rsidP="003722EE">
      <w:pPr>
        <w:rPr>
          <w:b/>
          <w:sz w:val="22"/>
          <w:lang w:val="en-US"/>
        </w:rPr>
      </w:pPr>
    </w:p>
    <w:p w:rsidR="003722EE" w:rsidRPr="00AD2CB9" w:rsidRDefault="003722EE" w:rsidP="003722EE">
      <w:pPr>
        <w:rPr>
          <w:b/>
          <w:sz w:val="22"/>
          <w:lang w:val="en-US"/>
        </w:rPr>
      </w:pPr>
    </w:p>
    <w:p w:rsidR="003722EE" w:rsidRDefault="003722EE" w:rsidP="003722EE">
      <w:pPr>
        <w:rPr>
          <w:b/>
          <w:sz w:val="22"/>
          <w:lang w:val="en-US"/>
        </w:rPr>
      </w:pPr>
      <w:r w:rsidRPr="00AD2CB9">
        <w:rPr>
          <w:b/>
          <w:sz w:val="22"/>
          <w:lang w:val="en-US"/>
        </w:rPr>
        <w:t xml:space="preserve">BACKGROUND INFORMATION </w:t>
      </w:r>
    </w:p>
    <w:p w:rsidR="003722EE" w:rsidRPr="00AD2CB9" w:rsidRDefault="003722EE" w:rsidP="003722EE">
      <w:pPr>
        <w:rPr>
          <w:sz w:val="22"/>
          <w:lang w:val="en-GB"/>
        </w:rPr>
      </w:pPr>
    </w:p>
    <w:p w:rsidR="003722EE" w:rsidRPr="00262C9B" w:rsidRDefault="003722EE" w:rsidP="003722EE">
      <w:pPr>
        <w:ind w:left="0" w:firstLine="0"/>
        <w:rPr>
          <w:sz w:val="22"/>
          <w:lang w:val="en-GB"/>
        </w:rPr>
      </w:pPr>
      <w:r w:rsidRPr="00262C9B">
        <w:rPr>
          <w:sz w:val="22"/>
          <w:lang w:val="en-GB"/>
        </w:rPr>
        <w:t xml:space="preserve">The leishmaniasis incidence rate in </w:t>
      </w:r>
      <w:smartTag w:uri="urn:schemas-microsoft-com:office:smarttags" w:element="place">
        <w:smartTag w:uri="urn:schemas-microsoft-com:office:smarttags" w:element="country-region">
          <w:r w:rsidRPr="00262C9B">
            <w:rPr>
              <w:sz w:val="22"/>
              <w:lang w:val="en-GB"/>
            </w:rPr>
            <w:t>El Salvador</w:t>
          </w:r>
        </w:smartTag>
      </w:smartTag>
      <w:r w:rsidRPr="00262C9B">
        <w:rPr>
          <w:sz w:val="22"/>
          <w:lang w:val="en-GB"/>
        </w:rPr>
        <w:t xml:space="preserve"> is 0.5 cases </w:t>
      </w:r>
      <w:r>
        <w:rPr>
          <w:sz w:val="22"/>
          <w:lang w:val="en-GB"/>
        </w:rPr>
        <w:t>per</w:t>
      </w:r>
      <w:r w:rsidRPr="00262C9B">
        <w:rPr>
          <w:sz w:val="22"/>
          <w:lang w:val="en-GB"/>
        </w:rPr>
        <w:t xml:space="preserve"> 100</w:t>
      </w:r>
      <w:r>
        <w:rPr>
          <w:sz w:val="22"/>
          <w:lang w:val="en-GB"/>
        </w:rPr>
        <w:t>,</w:t>
      </w:r>
      <w:r w:rsidRPr="00262C9B">
        <w:rPr>
          <w:sz w:val="22"/>
          <w:lang w:val="en-GB"/>
        </w:rPr>
        <w:t xml:space="preserve">000 inhabitants. Most of </w:t>
      </w:r>
      <w:r>
        <w:rPr>
          <w:sz w:val="22"/>
          <w:lang w:val="en-GB"/>
        </w:rPr>
        <w:t xml:space="preserve">the </w:t>
      </w:r>
      <w:r w:rsidRPr="00262C9B">
        <w:rPr>
          <w:sz w:val="22"/>
          <w:lang w:val="en-GB"/>
        </w:rPr>
        <w:t>cases occur in rural areas. From 1900-1985</w:t>
      </w:r>
      <w:r>
        <w:rPr>
          <w:sz w:val="22"/>
          <w:lang w:val="en-GB"/>
        </w:rPr>
        <w:t>,</w:t>
      </w:r>
      <w:r w:rsidRPr="00262C9B">
        <w:rPr>
          <w:sz w:val="22"/>
          <w:lang w:val="en-GB"/>
        </w:rPr>
        <w:t xml:space="preserve"> only 5 cases of CL were reported, probably related to widespread insecticide spraying on cotton and coffee crops </w:t>
      </w:r>
      <w:r>
        <w:rPr>
          <w:sz w:val="22"/>
          <w:lang w:val="en-GB"/>
        </w:rPr>
        <w:t>[1]</w:t>
      </w:r>
      <w:r>
        <w:rPr>
          <w:sz w:val="22"/>
          <w:lang w:val="en-GB"/>
        </w:rPr>
        <w:t xml:space="preserve">. Afterwards, during </w:t>
      </w:r>
      <w:r w:rsidRPr="00262C9B">
        <w:rPr>
          <w:sz w:val="22"/>
          <w:lang w:val="en-GB"/>
        </w:rPr>
        <w:t>the beginning of the civil war, the disease spread significantly. A total of 91 cases were reported from 2003 to 2007</w:t>
      </w:r>
      <w:r>
        <w:rPr>
          <w:sz w:val="22"/>
          <w:lang w:val="en-GB"/>
        </w:rPr>
        <w:t>.</w:t>
      </w:r>
      <w:r w:rsidRPr="00262C9B">
        <w:rPr>
          <w:sz w:val="22"/>
          <w:lang w:val="en-GB"/>
        </w:rPr>
        <w:t xml:space="preserve"> 87 </w:t>
      </w:r>
      <w:r>
        <w:rPr>
          <w:sz w:val="22"/>
          <w:lang w:val="en-GB"/>
        </w:rPr>
        <w:t xml:space="preserve">of </w:t>
      </w:r>
      <w:r>
        <w:rPr>
          <w:sz w:val="22"/>
          <w:lang w:val="en-GB"/>
        </w:rPr>
        <w:t xml:space="preserve">these </w:t>
      </w:r>
      <w:r w:rsidRPr="00262C9B">
        <w:rPr>
          <w:sz w:val="22"/>
          <w:lang w:val="en-GB"/>
        </w:rPr>
        <w:t>were CL and 4</w:t>
      </w:r>
      <w:r>
        <w:rPr>
          <w:sz w:val="22"/>
          <w:lang w:val="en-GB"/>
        </w:rPr>
        <w:t xml:space="preserve"> VL, and a</w:t>
      </w:r>
      <w:r w:rsidRPr="00262C9B">
        <w:rPr>
          <w:sz w:val="22"/>
          <w:lang w:val="en-GB"/>
        </w:rPr>
        <w:t>ll VL cases died. 50% of these cases were in children under 10 year</w:t>
      </w:r>
      <w:r>
        <w:rPr>
          <w:sz w:val="22"/>
          <w:lang w:val="en-GB"/>
        </w:rPr>
        <w:t>s</w:t>
      </w:r>
      <w:r w:rsidRPr="00262C9B">
        <w:rPr>
          <w:sz w:val="22"/>
          <w:lang w:val="en-GB"/>
        </w:rPr>
        <w:t xml:space="preserve"> of age and 30% between 10 and 19 year</w:t>
      </w:r>
      <w:r>
        <w:rPr>
          <w:sz w:val="22"/>
          <w:lang w:val="en-GB"/>
        </w:rPr>
        <w:t>s</w:t>
      </w:r>
      <w:r w:rsidRPr="00262C9B">
        <w:rPr>
          <w:sz w:val="22"/>
          <w:lang w:val="en-GB"/>
        </w:rPr>
        <w:t xml:space="preserve">. Women account for the majority of cases (70%). There is considerable underreporting of cases and limited knowledge about the disease among health workers and population. </w:t>
      </w:r>
    </w:p>
    <w:p w:rsidR="003722EE" w:rsidRPr="00262C9B" w:rsidRDefault="003722EE" w:rsidP="003722EE">
      <w:pPr>
        <w:ind w:left="0" w:firstLine="0"/>
        <w:rPr>
          <w:sz w:val="22"/>
          <w:lang w:val="en-GB"/>
        </w:rPr>
      </w:pPr>
    </w:p>
    <w:p w:rsidR="003722EE" w:rsidRPr="00AD2CB9" w:rsidRDefault="003722EE" w:rsidP="003722EE">
      <w:pPr>
        <w:ind w:left="0" w:firstLine="0"/>
        <w:rPr>
          <w:sz w:val="22"/>
        </w:rPr>
      </w:pPr>
      <w:r w:rsidRPr="00262C9B">
        <w:rPr>
          <w:sz w:val="22"/>
          <w:lang w:val="en-GB"/>
        </w:rPr>
        <w:t xml:space="preserve">VL is very rare. The first cases of VL were described in 1954 </w:t>
      </w:r>
      <w:r>
        <w:rPr>
          <w:sz w:val="22"/>
          <w:lang w:val="en-GB"/>
        </w:rPr>
        <w:t>[2]</w:t>
      </w:r>
      <w:r w:rsidRPr="00262C9B">
        <w:rPr>
          <w:sz w:val="22"/>
          <w:lang w:val="en-GB"/>
        </w:rPr>
        <w:t xml:space="preserve">. </w:t>
      </w:r>
      <w:r w:rsidRPr="00AD2CB9">
        <w:rPr>
          <w:sz w:val="22"/>
        </w:rPr>
        <w:t>No HIV/</w:t>
      </w:r>
      <w:r w:rsidRPr="004A14AD">
        <w:rPr>
          <w:i/>
          <w:iCs/>
          <w:sz w:val="22"/>
        </w:rPr>
        <w:t>Leishmania</w:t>
      </w:r>
      <w:r w:rsidRPr="00AD2CB9">
        <w:rPr>
          <w:sz w:val="22"/>
        </w:rPr>
        <w:t xml:space="preserve"> </w:t>
      </w:r>
      <w:proofErr w:type="spellStart"/>
      <w:r w:rsidRPr="00AD2CB9">
        <w:rPr>
          <w:sz w:val="22"/>
        </w:rPr>
        <w:t>co</w:t>
      </w:r>
      <w:r>
        <w:rPr>
          <w:sz w:val="22"/>
        </w:rPr>
        <w:t>-</w:t>
      </w:r>
      <w:r w:rsidRPr="00AD2CB9">
        <w:rPr>
          <w:sz w:val="22"/>
        </w:rPr>
        <w:t>infection</w:t>
      </w:r>
      <w:proofErr w:type="spellEnd"/>
      <w:r w:rsidRPr="00AD2CB9">
        <w:rPr>
          <w:sz w:val="22"/>
        </w:rPr>
        <w:t xml:space="preserve"> has </w:t>
      </w:r>
      <w:proofErr w:type="spellStart"/>
      <w:r w:rsidRPr="00AD2CB9">
        <w:rPr>
          <w:sz w:val="22"/>
        </w:rPr>
        <w:t>been</w:t>
      </w:r>
      <w:proofErr w:type="spellEnd"/>
      <w:r w:rsidRPr="00AD2CB9">
        <w:rPr>
          <w:sz w:val="22"/>
        </w:rPr>
        <w:t xml:space="preserve"> </w:t>
      </w:r>
      <w:proofErr w:type="spellStart"/>
      <w:r w:rsidRPr="00AD2CB9">
        <w:rPr>
          <w:sz w:val="22"/>
        </w:rPr>
        <w:t>reported</w:t>
      </w:r>
      <w:proofErr w:type="spellEnd"/>
      <w:r w:rsidRPr="00AD2CB9">
        <w:rPr>
          <w:sz w:val="22"/>
        </w:rPr>
        <w:t xml:space="preserve">.  </w:t>
      </w:r>
    </w:p>
    <w:p w:rsidR="003722EE" w:rsidRPr="00AD2CB9" w:rsidRDefault="003722EE" w:rsidP="003722EE">
      <w:pPr>
        <w:rPr>
          <w:sz w:val="22"/>
        </w:rPr>
      </w:pPr>
    </w:p>
    <w:p w:rsidR="003722EE" w:rsidRPr="00AD2CB9" w:rsidRDefault="003722EE" w:rsidP="003722EE">
      <w:pPr>
        <w:rPr>
          <w:sz w:val="22"/>
        </w:rPr>
      </w:pPr>
    </w:p>
    <w:p w:rsidR="003722EE" w:rsidRPr="00AD2CB9" w:rsidRDefault="003722EE" w:rsidP="003722EE">
      <w:pPr>
        <w:rPr>
          <w:b/>
          <w:bCs/>
          <w:sz w:val="22"/>
        </w:rPr>
      </w:pPr>
      <w:r w:rsidRPr="00AD2CB9">
        <w:rPr>
          <w:b/>
          <w:bCs/>
          <w:sz w:val="22"/>
        </w:rPr>
        <w:t>PARASITOLOGICAL INFORMATION</w:t>
      </w:r>
    </w:p>
    <w:p w:rsidR="003722EE" w:rsidRPr="00AD2CB9" w:rsidRDefault="003722EE" w:rsidP="003722E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944"/>
        <w:gridCol w:w="3150"/>
        <w:gridCol w:w="2088"/>
      </w:tblGrid>
      <w:tr w:rsidR="003722EE" w:rsidRPr="00AD2CB9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D2CB9">
              <w:rPr>
                <w:b/>
                <w:bCs/>
                <w:i/>
                <w:iCs/>
                <w:sz w:val="22"/>
              </w:rPr>
              <w:t xml:space="preserve">Leishmania </w:t>
            </w:r>
          </w:p>
          <w:p w:rsidR="003722EE" w:rsidRPr="00AD2CB9" w:rsidRDefault="003722EE" w:rsidP="00A7768B">
            <w:pPr>
              <w:jc w:val="center"/>
              <w:rPr>
                <w:sz w:val="22"/>
                <w:lang w:val="en-US"/>
              </w:rPr>
            </w:pPr>
            <w:proofErr w:type="spellStart"/>
            <w:r w:rsidRPr="00AD2CB9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jc w:val="center"/>
              <w:rPr>
                <w:b/>
                <w:bCs/>
                <w:sz w:val="22"/>
              </w:rPr>
            </w:pPr>
          </w:p>
          <w:p w:rsidR="003722EE" w:rsidRPr="00AD2CB9" w:rsidRDefault="003722EE" w:rsidP="00A7768B">
            <w:pPr>
              <w:jc w:val="center"/>
              <w:rPr>
                <w:sz w:val="22"/>
                <w:lang w:val="en-US"/>
              </w:rPr>
            </w:pPr>
            <w:proofErr w:type="spellStart"/>
            <w:r w:rsidRPr="00AD2CB9">
              <w:rPr>
                <w:b/>
                <w:bCs/>
                <w:sz w:val="22"/>
              </w:rPr>
              <w:t>Clinical</w:t>
            </w:r>
            <w:proofErr w:type="spellEnd"/>
            <w:r w:rsidRPr="00AD2CB9">
              <w:rPr>
                <w:b/>
                <w:bCs/>
                <w:sz w:val="22"/>
              </w:rPr>
              <w:t xml:space="preserve"> </w:t>
            </w:r>
            <w:proofErr w:type="spellStart"/>
            <w:r w:rsidRPr="00AD2CB9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jc w:val="center"/>
              <w:rPr>
                <w:b/>
                <w:bCs/>
                <w:sz w:val="22"/>
              </w:rPr>
            </w:pPr>
          </w:p>
          <w:p w:rsidR="003722EE" w:rsidRPr="00AD2CB9" w:rsidRDefault="003722EE" w:rsidP="00A7768B">
            <w:pPr>
              <w:jc w:val="center"/>
              <w:rPr>
                <w:sz w:val="22"/>
                <w:lang w:val="en-US"/>
              </w:rPr>
            </w:pPr>
            <w:r w:rsidRPr="00AD2CB9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AD2CB9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jc w:val="center"/>
              <w:rPr>
                <w:b/>
                <w:bCs/>
                <w:sz w:val="22"/>
              </w:rPr>
            </w:pPr>
          </w:p>
          <w:p w:rsidR="003722EE" w:rsidRPr="00AD2CB9" w:rsidRDefault="003722EE" w:rsidP="00A7768B">
            <w:pPr>
              <w:jc w:val="center"/>
              <w:rPr>
                <w:sz w:val="22"/>
                <w:lang w:val="en-US"/>
              </w:rPr>
            </w:pPr>
            <w:proofErr w:type="spellStart"/>
            <w:r w:rsidRPr="00AD2CB9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3722EE" w:rsidRPr="00AD2CB9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D2CB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D2CB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D2CB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Lu. </w:t>
            </w:r>
            <w:proofErr w:type="spellStart"/>
            <w:r w:rsidRPr="00AD2CB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longipalpis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E" w:rsidRPr="00AD2CB9" w:rsidRDefault="003722E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AD2CB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AD2CB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AD2CB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3722EE" w:rsidRDefault="003722EE" w:rsidP="003722EE">
      <w:pPr>
        <w:rPr>
          <w:b/>
          <w:bCs/>
          <w:sz w:val="22"/>
        </w:rPr>
      </w:pPr>
    </w:p>
    <w:p w:rsidR="003722EE" w:rsidRDefault="003722EE" w:rsidP="003722EE">
      <w:pPr>
        <w:rPr>
          <w:b/>
          <w:bCs/>
          <w:sz w:val="22"/>
        </w:rPr>
      </w:pPr>
    </w:p>
    <w:p w:rsidR="003722EE" w:rsidRPr="00AD2CB9" w:rsidRDefault="003722EE" w:rsidP="003722EE">
      <w:pPr>
        <w:rPr>
          <w:b/>
          <w:bCs/>
          <w:sz w:val="22"/>
        </w:rPr>
      </w:pPr>
      <w:r w:rsidRPr="00AD2CB9">
        <w:rPr>
          <w:b/>
          <w:bCs/>
          <w:sz w:val="22"/>
        </w:rPr>
        <w:lastRenderedPageBreak/>
        <w:t>MAPS AND TRENDS</w:t>
      </w:r>
    </w:p>
    <w:p w:rsidR="003722EE" w:rsidRDefault="003722EE" w:rsidP="003722EE">
      <w:pPr>
        <w:rPr>
          <w:b/>
          <w:bCs/>
        </w:rPr>
      </w:pPr>
    </w:p>
    <w:p w:rsidR="003722EE" w:rsidRDefault="003722EE" w:rsidP="003722EE">
      <w:pPr>
        <w:rPr>
          <w:b/>
          <w:bCs/>
        </w:rPr>
      </w:pPr>
      <w:r>
        <w:rPr>
          <w:b/>
          <w:bCs/>
        </w:rPr>
        <w:t>Cutaneous leishmaniasis</w:t>
      </w:r>
    </w:p>
    <w:p w:rsidR="003722EE" w:rsidRDefault="003722EE" w:rsidP="003722EE">
      <w:pPr>
        <w:rPr>
          <w:b/>
          <w:bCs/>
        </w:rPr>
      </w:pPr>
    </w:p>
    <w:p w:rsidR="003722EE" w:rsidRDefault="003722EE" w:rsidP="003722EE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3771900" cy="2667635"/>
            <wp:effectExtent l="19050" t="0" r="0" b="0"/>
            <wp:docPr id="2" name="Picture 2" descr="SVCL03_07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CL03_07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17049F">
        <w:rPr>
          <w:rFonts w:eastAsia="Times New Roman"/>
          <w:b/>
          <w:bCs/>
          <w:sz w:val="22"/>
          <w:lang w:val="en-GB" w:eastAsia="es-ES"/>
        </w:rPr>
        <w:t xml:space="preserve">Cutaneous </w:t>
      </w:r>
      <w:r>
        <w:rPr>
          <w:rFonts w:eastAsia="Times New Roman"/>
          <w:b/>
          <w:bCs/>
          <w:sz w:val="22"/>
          <w:lang w:val="en-GB" w:eastAsia="es-ES"/>
        </w:rPr>
        <w:t>l</w:t>
      </w:r>
      <w:r w:rsidRPr="0017049F">
        <w:rPr>
          <w:rFonts w:eastAsia="Times New Roman"/>
          <w:b/>
          <w:bCs/>
          <w:sz w:val="22"/>
          <w:lang w:val="en-GB" w:eastAsia="es-ES"/>
        </w:rPr>
        <w:t>eishmania</w:t>
      </w:r>
      <w:r>
        <w:rPr>
          <w:rFonts w:eastAsia="Times New Roman"/>
          <w:b/>
          <w:bCs/>
          <w:sz w:val="22"/>
          <w:lang w:val="en-GB" w:eastAsia="es-ES"/>
        </w:rPr>
        <w:t>s</w:t>
      </w:r>
      <w:r w:rsidRPr="0017049F">
        <w:rPr>
          <w:rFonts w:eastAsia="Times New Roman"/>
          <w:b/>
          <w:bCs/>
          <w:sz w:val="22"/>
          <w:lang w:val="en-GB" w:eastAsia="es-ES"/>
        </w:rPr>
        <w:t>is trend</w:t>
      </w: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104775</wp:posOffset>
            </wp:positionV>
            <wp:extent cx="5372100" cy="193929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722EE" w:rsidRPr="0017049F" w:rsidRDefault="003722EE" w:rsidP="003722E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17049F">
        <w:rPr>
          <w:rFonts w:eastAsia="Times New Roman"/>
          <w:b/>
          <w:bCs/>
          <w:sz w:val="22"/>
          <w:lang w:val="en-GB" w:eastAsia="es-ES"/>
        </w:rPr>
        <w:t>CONTROL</w:t>
      </w:r>
    </w:p>
    <w:p w:rsidR="003722EE" w:rsidRPr="0017049F" w:rsidRDefault="003722EE" w:rsidP="003722EE">
      <w:pPr>
        <w:ind w:left="0" w:firstLine="0"/>
        <w:rPr>
          <w:rFonts w:eastAsia="Times New Roman"/>
          <w:sz w:val="22"/>
          <w:lang w:val="en-GB" w:eastAsia="es-ES"/>
        </w:rPr>
      </w:pPr>
    </w:p>
    <w:p w:rsidR="003722EE" w:rsidRPr="00AD2CB9" w:rsidRDefault="003722EE" w:rsidP="003722EE">
      <w:pPr>
        <w:ind w:left="0" w:firstLine="0"/>
        <w:rPr>
          <w:rFonts w:eastAsia="Times New Roman"/>
          <w:sz w:val="22"/>
          <w:lang w:val="en-US" w:eastAsia="es-ES"/>
        </w:rPr>
      </w:pPr>
      <w:r w:rsidRPr="00AD2CB9">
        <w:rPr>
          <w:rFonts w:eastAsia="Times New Roman"/>
          <w:sz w:val="22"/>
          <w:lang w:val="en-US" w:eastAsia="es-ES"/>
        </w:rPr>
        <w:t xml:space="preserve">Notification of leishmaniasis </w:t>
      </w:r>
      <w:r>
        <w:rPr>
          <w:rFonts w:eastAsia="Times New Roman"/>
          <w:sz w:val="22"/>
          <w:lang w:val="en-US" w:eastAsia="es-ES"/>
        </w:rPr>
        <w:t>has been</w:t>
      </w:r>
      <w:r w:rsidRPr="00AD2CB9">
        <w:rPr>
          <w:rFonts w:eastAsia="Times New Roman"/>
          <w:sz w:val="22"/>
          <w:lang w:val="en-US" w:eastAsia="es-ES"/>
        </w:rPr>
        <w:t xml:space="preserve"> mandatory since 1991</w:t>
      </w:r>
      <w:r>
        <w:rPr>
          <w:rFonts w:eastAsia="Times New Roman"/>
          <w:sz w:val="22"/>
          <w:lang w:val="en-US" w:eastAsia="es-ES"/>
        </w:rPr>
        <w:t>;</w:t>
      </w:r>
      <w:r w:rsidRPr="00AD2CB9">
        <w:rPr>
          <w:rFonts w:eastAsia="Times New Roman"/>
          <w:sz w:val="22"/>
          <w:lang w:val="en-US" w:eastAsia="es-ES"/>
        </w:rPr>
        <w:t xml:space="preserve"> the completion of an individual case report form has been mandatory since 2005. Case detection is passive, and there are no established vector or reservoir control programs. </w:t>
      </w:r>
    </w:p>
    <w:p w:rsidR="003722EE" w:rsidRPr="00AD2CB9" w:rsidRDefault="003722EE" w:rsidP="003722EE">
      <w:pPr>
        <w:ind w:left="0" w:firstLine="0"/>
        <w:rPr>
          <w:rFonts w:eastAsia="Times New Roman"/>
          <w:sz w:val="22"/>
          <w:lang w:val="en-US" w:eastAsia="es-ES"/>
        </w:rPr>
      </w:pPr>
    </w:p>
    <w:p w:rsidR="003722EE" w:rsidRPr="00AD2CB9" w:rsidRDefault="003722EE" w:rsidP="003722EE">
      <w:pPr>
        <w:ind w:left="0" w:firstLine="0"/>
        <w:rPr>
          <w:rFonts w:eastAsia="Times New Roman"/>
          <w:sz w:val="22"/>
          <w:lang w:val="en-US" w:eastAsia="es-ES"/>
        </w:rPr>
      </w:pPr>
    </w:p>
    <w:p w:rsidR="003722EE" w:rsidRPr="00AD2CB9" w:rsidRDefault="003722EE" w:rsidP="003722EE">
      <w:pPr>
        <w:spacing w:line="360" w:lineRule="auto"/>
        <w:ind w:left="0" w:firstLine="0"/>
        <w:rPr>
          <w:rFonts w:eastAsia="SimSun"/>
          <w:b/>
          <w:sz w:val="22"/>
          <w:lang w:val="en-US" w:eastAsia="zh-CN"/>
        </w:rPr>
      </w:pPr>
      <w:r w:rsidRPr="00AD2CB9">
        <w:rPr>
          <w:b/>
          <w:sz w:val="22"/>
          <w:lang w:val="en-US"/>
        </w:rPr>
        <w:t xml:space="preserve">DIAGNOSIS, TREATMENT </w:t>
      </w:r>
    </w:p>
    <w:p w:rsidR="003722EE" w:rsidRPr="00AD2CB9" w:rsidRDefault="003722EE" w:rsidP="003722EE">
      <w:pPr>
        <w:ind w:left="0" w:firstLine="0"/>
        <w:rPr>
          <w:b/>
          <w:bCs/>
          <w:sz w:val="22"/>
          <w:lang w:val="en-US"/>
        </w:rPr>
      </w:pPr>
      <w:r w:rsidRPr="00AD2CB9">
        <w:rPr>
          <w:b/>
          <w:bCs/>
          <w:sz w:val="22"/>
          <w:lang w:val="en-US"/>
        </w:rPr>
        <w:t xml:space="preserve">Diagnosis: </w:t>
      </w:r>
    </w:p>
    <w:p w:rsidR="003722EE" w:rsidRDefault="003722EE" w:rsidP="003722EE">
      <w:pPr>
        <w:ind w:left="0" w:firstLine="0"/>
        <w:rPr>
          <w:sz w:val="22"/>
          <w:lang w:val="en-US"/>
        </w:rPr>
      </w:pPr>
      <w:r w:rsidRPr="00AD2CB9">
        <w:rPr>
          <w:b/>
          <w:bCs/>
          <w:sz w:val="22"/>
          <w:lang w:val="en-US"/>
        </w:rPr>
        <w:t xml:space="preserve">CL: </w:t>
      </w:r>
      <w:r w:rsidRPr="00AD2CB9">
        <w:rPr>
          <w:sz w:val="22"/>
          <w:lang w:val="en-US"/>
        </w:rPr>
        <w:t xml:space="preserve">microscopic examination of skin lesion samples. </w:t>
      </w:r>
    </w:p>
    <w:p w:rsidR="003722EE" w:rsidRPr="00AD2CB9" w:rsidRDefault="003722EE" w:rsidP="003722EE">
      <w:pPr>
        <w:ind w:left="0" w:firstLine="0"/>
        <w:rPr>
          <w:sz w:val="22"/>
          <w:lang w:val="en-US"/>
        </w:rPr>
      </w:pPr>
    </w:p>
    <w:p w:rsidR="003722EE" w:rsidRPr="00AD2CB9" w:rsidRDefault="003722EE" w:rsidP="003722EE">
      <w:pPr>
        <w:ind w:left="0" w:firstLine="0"/>
        <w:rPr>
          <w:b/>
          <w:bCs/>
          <w:sz w:val="22"/>
          <w:lang w:val="en-US"/>
        </w:rPr>
      </w:pPr>
      <w:r w:rsidRPr="00AD2CB9">
        <w:rPr>
          <w:b/>
          <w:bCs/>
          <w:sz w:val="22"/>
          <w:lang w:val="en-US"/>
        </w:rPr>
        <w:t>Treatment:</w:t>
      </w:r>
    </w:p>
    <w:p w:rsidR="003722EE" w:rsidRPr="00AD2CB9" w:rsidRDefault="003722EE" w:rsidP="003722EE">
      <w:pPr>
        <w:ind w:left="0" w:firstLine="0"/>
        <w:rPr>
          <w:b/>
          <w:bCs/>
          <w:sz w:val="22"/>
          <w:lang w:val="en-US"/>
        </w:rPr>
      </w:pPr>
      <w:r w:rsidRPr="00262C9B">
        <w:rPr>
          <w:b/>
          <w:sz w:val="22"/>
          <w:lang w:val="en-GB"/>
        </w:rPr>
        <w:t>CL</w:t>
      </w:r>
      <w:r w:rsidRPr="00262C9B">
        <w:rPr>
          <w:bCs/>
          <w:sz w:val="22"/>
          <w:lang w:val="en-GB"/>
        </w:rPr>
        <w:t>: antimonials</w:t>
      </w:r>
      <w:r>
        <w:rPr>
          <w:bCs/>
          <w:sz w:val="22"/>
          <w:lang w:val="en-GB"/>
        </w:rPr>
        <w:t>,</w:t>
      </w:r>
      <w:r w:rsidRPr="00262C9B">
        <w:rPr>
          <w:bCs/>
          <w:sz w:val="22"/>
          <w:lang w:val="en-GB"/>
        </w:rPr>
        <w:t xml:space="preserve"> 10-20 </w:t>
      </w:r>
      <w:proofErr w:type="spellStart"/>
      <w:r w:rsidRPr="00262C9B">
        <w:rPr>
          <w:bCs/>
          <w:color w:val="000000"/>
          <w:sz w:val="22"/>
          <w:lang w:val="en-GB"/>
        </w:rPr>
        <w:t>Sb</w:t>
      </w:r>
      <w:r w:rsidRPr="00262C9B">
        <w:rPr>
          <w:bCs/>
          <w:color w:val="000000"/>
          <w:sz w:val="22"/>
          <w:vertAlign w:val="superscript"/>
          <w:lang w:val="en-GB"/>
        </w:rPr>
        <w:t>v</w:t>
      </w:r>
      <w:proofErr w:type="spellEnd"/>
      <w:r w:rsidRPr="00262C9B">
        <w:rPr>
          <w:bCs/>
          <w:color w:val="000000"/>
          <w:sz w:val="22"/>
          <w:lang w:val="en-GB"/>
        </w:rPr>
        <w:t>/kg/day</w:t>
      </w:r>
      <w:r>
        <w:rPr>
          <w:bCs/>
          <w:color w:val="000000"/>
          <w:sz w:val="22"/>
          <w:lang w:val="en-GB"/>
        </w:rPr>
        <w:t>.</w:t>
      </w:r>
      <w:r w:rsidRPr="00262C9B">
        <w:rPr>
          <w:bCs/>
          <w:sz w:val="22"/>
          <w:lang w:val="en-GB"/>
        </w:rPr>
        <w:t xml:space="preserve"> </w:t>
      </w:r>
    </w:p>
    <w:p w:rsidR="003722EE" w:rsidRPr="00AD2CB9" w:rsidRDefault="003722EE" w:rsidP="003722EE">
      <w:pPr>
        <w:pStyle w:val="BodyText"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D2CB9">
        <w:rPr>
          <w:rFonts w:ascii="Arial" w:eastAsia="Calibri" w:hAnsi="Arial" w:cs="Arial"/>
          <w:b/>
          <w:sz w:val="22"/>
          <w:szCs w:val="22"/>
          <w:lang w:val="en-GB"/>
        </w:rPr>
        <w:lastRenderedPageBreak/>
        <w:t>VL</w:t>
      </w:r>
      <w:r w:rsidRPr="00AD2CB9">
        <w:rPr>
          <w:rFonts w:ascii="Arial" w:eastAsia="Calibri" w:hAnsi="Arial" w:cs="Arial"/>
          <w:bCs/>
          <w:sz w:val="22"/>
          <w:szCs w:val="22"/>
          <w:lang w:val="en-GB"/>
        </w:rPr>
        <w:t>: antimonials</w:t>
      </w:r>
      <w:r>
        <w:rPr>
          <w:rFonts w:ascii="Arial" w:eastAsia="Calibri" w:hAnsi="Arial" w:cs="Arial"/>
          <w:bCs/>
          <w:sz w:val="22"/>
          <w:szCs w:val="22"/>
          <w:lang w:val="en-GB"/>
        </w:rPr>
        <w:t>,</w:t>
      </w:r>
      <w:r w:rsidRPr="00AD2CB9">
        <w:rPr>
          <w:rFonts w:ascii="Arial" w:eastAsia="Calibri" w:hAnsi="Arial" w:cs="Arial"/>
          <w:bCs/>
          <w:sz w:val="22"/>
          <w:szCs w:val="22"/>
          <w:lang w:val="en-GB"/>
        </w:rPr>
        <w:t xml:space="preserve"> 10-20 </w:t>
      </w:r>
      <w:proofErr w:type="spellStart"/>
      <w:r w:rsidRPr="00AD2CB9">
        <w:rPr>
          <w:rFonts w:ascii="Arial" w:hAnsi="Arial" w:cs="Arial"/>
          <w:bCs/>
          <w:color w:val="000000"/>
          <w:sz w:val="22"/>
          <w:szCs w:val="22"/>
          <w:lang w:val="en-GB"/>
        </w:rPr>
        <w:t>Sb</w:t>
      </w:r>
      <w:r w:rsidRPr="00AD2CB9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v</w:t>
      </w:r>
      <w:proofErr w:type="spellEnd"/>
      <w:r w:rsidRPr="00AD2CB9">
        <w:rPr>
          <w:rFonts w:ascii="Arial" w:hAnsi="Arial" w:cs="Arial"/>
          <w:bCs/>
          <w:color w:val="000000"/>
          <w:sz w:val="22"/>
          <w:szCs w:val="22"/>
          <w:lang w:val="en-GB"/>
        </w:rPr>
        <w:t>/kg/day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  <w:r w:rsidRPr="00AD2CB9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</w:p>
    <w:p w:rsidR="003722EE" w:rsidRPr="00AD2CB9" w:rsidRDefault="003722EE" w:rsidP="003722EE">
      <w:pPr>
        <w:ind w:left="0" w:firstLine="0"/>
        <w:rPr>
          <w:sz w:val="22"/>
          <w:lang w:val="en-GB"/>
        </w:rPr>
      </w:pPr>
    </w:p>
    <w:p w:rsidR="003722EE" w:rsidRPr="00AD2CB9" w:rsidRDefault="003722EE" w:rsidP="003722EE">
      <w:pPr>
        <w:spacing w:line="360" w:lineRule="auto"/>
        <w:ind w:left="0" w:firstLine="0"/>
        <w:rPr>
          <w:b/>
          <w:bCs/>
          <w:sz w:val="22"/>
          <w:lang w:val="en-US"/>
        </w:rPr>
      </w:pPr>
      <w:r w:rsidRPr="00AD2CB9">
        <w:rPr>
          <w:b/>
          <w:bCs/>
          <w:sz w:val="22"/>
          <w:lang w:val="en-US"/>
        </w:rPr>
        <w:t xml:space="preserve">ACCESS TO CARE </w:t>
      </w:r>
    </w:p>
    <w:p w:rsidR="003722EE" w:rsidRPr="00AD2CB9" w:rsidRDefault="003722EE" w:rsidP="003722EE">
      <w:pPr>
        <w:ind w:left="0" w:firstLine="0"/>
        <w:rPr>
          <w:bCs/>
          <w:sz w:val="22"/>
          <w:lang w:val="en-GB"/>
        </w:rPr>
      </w:pPr>
      <w:r w:rsidRPr="00AD2CB9">
        <w:rPr>
          <w:sz w:val="22"/>
          <w:lang w:val="en-US"/>
        </w:rPr>
        <w:t>Drugs are provided by the Ministry of Health</w:t>
      </w:r>
      <w:r>
        <w:rPr>
          <w:sz w:val="22"/>
          <w:lang w:val="en-US"/>
        </w:rPr>
        <w:t>,</w:t>
      </w:r>
      <w:r w:rsidRPr="00AD2CB9">
        <w:rPr>
          <w:sz w:val="22"/>
          <w:lang w:val="en-US"/>
        </w:rPr>
        <w:t xml:space="preserve"> free of charge.</w:t>
      </w:r>
      <w:r w:rsidRPr="00262C9B">
        <w:rPr>
          <w:sz w:val="22"/>
          <w:lang w:val="en-GB"/>
        </w:rPr>
        <w:t xml:space="preserve"> Access to treatment is poor. There is an important lack of awareness of CL and VL among health workers and the population</w:t>
      </w:r>
      <w:r>
        <w:rPr>
          <w:sz w:val="22"/>
          <w:lang w:val="en-GB"/>
        </w:rPr>
        <w:t>.</w:t>
      </w:r>
      <w:r w:rsidRPr="00262C9B">
        <w:rPr>
          <w:sz w:val="22"/>
          <w:lang w:val="en-GB"/>
        </w:rPr>
        <w:t xml:space="preserve"> </w:t>
      </w:r>
      <w:r>
        <w:rPr>
          <w:sz w:val="22"/>
          <w:lang w:val="en-GB"/>
        </w:rPr>
        <w:t>D</w:t>
      </w:r>
      <w:r w:rsidRPr="00262C9B">
        <w:rPr>
          <w:sz w:val="22"/>
          <w:lang w:val="en-GB"/>
        </w:rPr>
        <w:t xml:space="preserve">iagnosis is only possible in a few specialized centres. </w:t>
      </w:r>
    </w:p>
    <w:p w:rsidR="003722EE" w:rsidRPr="00262C9B" w:rsidRDefault="003722EE" w:rsidP="003722EE">
      <w:pPr>
        <w:ind w:left="0" w:firstLine="0"/>
        <w:rPr>
          <w:sz w:val="22"/>
          <w:lang w:val="en-GB"/>
        </w:rPr>
      </w:pPr>
    </w:p>
    <w:p w:rsidR="003722EE" w:rsidRPr="00262C9B" w:rsidRDefault="003722EE" w:rsidP="003722EE">
      <w:pPr>
        <w:ind w:left="0" w:firstLine="0"/>
        <w:rPr>
          <w:sz w:val="22"/>
          <w:lang w:val="en-GB"/>
        </w:rPr>
      </w:pPr>
    </w:p>
    <w:p w:rsidR="003722EE" w:rsidRPr="00262C9B" w:rsidRDefault="003722EE" w:rsidP="003722EE">
      <w:pPr>
        <w:ind w:left="0" w:firstLine="0"/>
        <w:rPr>
          <w:sz w:val="22"/>
          <w:lang w:val="en-GB"/>
        </w:rPr>
      </w:pPr>
      <w:r w:rsidRPr="00262C9B">
        <w:rPr>
          <w:b/>
          <w:sz w:val="22"/>
          <w:lang w:val="en-GB"/>
        </w:rPr>
        <w:t>ACCESS TO DRUGS</w:t>
      </w:r>
      <w:r w:rsidRPr="00262C9B">
        <w:rPr>
          <w:sz w:val="22"/>
          <w:lang w:val="en-GB"/>
        </w:rPr>
        <w:t xml:space="preserve"> </w:t>
      </w:r>
    </w:p>
    <w:p w:rsidR="003722EE" w:rsidRPr="00262C9B" w:rsidRDefault="003722EE" w:rsidP="003722EE">
      <w:pPr>
        <w:ind w:left="0" w:firstLine="0"/>
        <w:rPr>
          <w:sz w:val="22"/>
          <w:lang w:val="en-GB"/>
        </w:rPr>
      </w:pPr>
    </w:p>
    <w:p w:rsidR="003722EE" w:rsidRPr="00AD2CB9" w:rsidRDefault="003722EE" w:rsidP="003722EE">
      <w:pPr>
        <w:spacing w:line="360" w:lineRule="auto"/>
        <w:ind w:left="0" w:firstLine="0"/>
        <w:rPr>
          <w:b/>
          <w:sz w:val="22"/>
          <w:lang w:val="en-US"/>
        </w:rPr>
      </w:pPr>
      <w:r w:rsidRPr="00AD2CB9">
        <w:rPr>
          <w:sz w:val="22"/>
          <w:lang w:val="en-US"/>
        </w:rPr>
        <w:t>Meglumine a</w:t>
      </w:r>
      <w:r>
        <w:rPr>
          <w:sz w:val="22"/>
          <w:lang w:val="en-US"/>
        </w:rPr>
        <w:t xml:space="preserve">ntimoniate (Glucantime,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AD2CB9">
        <w:rPr>
          <w:sz w:val="22"/>
          <w:lang w:val="en-US"/>
        </w:rPr>
        <w:t xml:space="preserve">) is registered. </w:t>
      </w:r>
    </w:p>
    <w:p w:rsidR="003722EE" w:rsidRPr="00AD2CB9" w:rsidRDefault="003722EE" w:rsidP="003722EE">
      <w:pPr>
        <w:ind w:left="0" w:firstLine="0"/>
        <w:rPr>
          <w:sz w:val="22"/>
          <w:lang w:val="en-GB"/>
        </w:rPr>
      </w:pPr>
    </w:p>
    <w:p w:rsidR="003722EE" w:rsidRPr="00262C9B" w:rsidRDefault="003722EE" w:rsidP="003722EE">
      <w:pPr>
        <w:ind w:left="0" w:firstLine="0"/>
        <w:rPr>
          <w:b/>
          <w:sz w:val="22"/>
          <w:lang w:val="en-GB"/>
        </w:rPr>
      </w:pPr>
      <w:r w:rsidRPr="00262C9B">
        <w:rPr>
          <w:b/>
          <w:sz w:val="22"/>
          <w:lang w:val="en-GB"/>
        </w:rPr>
        <w:t>SOURCES OF INFORMATION</w:t>
      </w:r>
    </w:p>
    <w:p w:rsidR="003722EE" w:rsidRPr="00262C9B" w:rsidRDefault="003722EE" w:rsidP="003722EE">
      <w:pPr>
        <w:ind w:left="0" w:firstLine="0"/>
        <w:rPr>
          <w:b/>
          <w:sz w:val="22"/>
          <w:lang w:val="en-GB"/>
        </w:rPr>
      </w:pPr>
    </w:p>
    <w:p w:rsidR="003722EE" w:rsidRPr="00ED30A5" w:rsidRDefault="003722EE" w:rsidP="003722EE">
      <w:pPr>
        <w:numPr>
          <w:ilvl w:val="0"/>
          <w:numId w:val="5"/>
        </w:numPr>
        <w:rPr>
          <w:sz w:val="22"/>
          <w:lang w:val="es-ES"/>
        </w:rPr>
      </w:pPr>
      <w:proofErr w:type="spellStart"/>
      <w:r w:rsidRPr="00ED30A5">
        <w:rPr>
          <w:sz w:val="22"/>
          <w:lang w:val="es-ES"/>
        </w:rPr>
        <w:t>Dr</w:t>
      </w:r>
      <w:proofErr w:type="spellEnd"/>
      <w:r w:rsidRPr="00ED30A5">
        <w:rPr>
          <w:sz w:val="22"/>
          <w:lang w:val="es-ES"/>
        </w:rPr>
        <w:t xml:space="preserve"> Reina Hernández Santamaría. </w:t>
      </w:r>
      <w:r w:rsidRPr="00C16214">
        <w:rPr>
          <w:bCs/>
          <w:i/>
          <w:iCs/>
          <w:color w:val="000000"/>
          <w:sz w:val="22"/>
          <w:lang w:val="es-ES"/>
        </w:rPr>
        <w:t>Leishmaniasis en la Región de</w:t>
      </w:r>
      <w:r>
        <w:rPr>
          <w:bCs/>
          <w:i/>
          <w:iCs/>
          <w:color w:val="000000"/>
          <w:sz w:val="22"/>
          <w:lang w:val="es-ES"/>
        </w:rPr>
        <w:t xml:space="preserve"> las </w:t>
      </w:r>
      <w:r w:rsidRPr="00C16214">
        <w:rPr>
          <w:bCs/>
          <w:i/>
          <w:iCs/>
          <w:color w:val="000000"/>
          <w:sz w:val="22"/>
          <w:lang w:val="es-ES"/>
        </w:rPr>
        <w:t>América</w:t>
      </w:r>
      <w:r>
        <w:rPr>
          <w:bCs/>
          <w:i/>
          <w:iCs/>
          <w:color w:val="000000"/>
          <w:sz w:val="22"/>
          <w:lang w:val="es-ES"/>
        </w:rPr>
        <w:t>s</w:t>
      </w:r>
      <w:r w:rsidRPr="00C16214">
        <w:rPr>
          <w:bCs/>
          <w:i/>
          <w:iCs/>
          <w:color w:val="000000"/>
          <w:sz w:val="22"/>
          <w:lang w:val="es-ES"/>
        </w:rPr>
        <w:t xml:space="preserve">. </w:t>
      </w:r>
      <w:r w:rsidRPr="00697466">
        <w:rPr>
          <w:bCs/>
          <w:i/>
          <w:iCs/>
          <w:sz w:val="22"/>
          <w:lang w:val="es-ES"/>
        </w:rPr>
        <w:t>Reuni</w:t>
      </w:r>
      <w:r w:rsidRPr="00697466">
        <w:rPr>
          <w:bCs/>
          <w:i/>
          <w:iCs/>
          <w:color w:val="000000"/>
          <w:sz w:val="22"/>
          <w:lang w:val="es-ES"/>
        </w:rPr>
        <w:t>ó</w:t>
      </w:r>
      <w:r w:rsidRPr="00697466">
        <w:rPr>
          <w:bCs/>
          <w:i/>
          <w:iCs/>
          <w:sz w:val="22"/>
          <w:lang w:val="es-ES"/>
        </w:rPr>
        <w:t>n de coordinadores de Programa Nacional de Leishmaniasis.</w:t>
      </w:r>
      <w:r>
        <w:rPr>
          <w:bCs/>
          <w:i/>
          <w:iCs/>
          <w:sz w:val="22"/>
          <w:lang w:val="es-ES"/>
        </w:rPr>
        <w:t xml:space="preserve"> OPS/OMS.</w:t>
      </w:r>
      <w:r w:rsidRPr="00697466">
        <w:rPr>
          <w:bCs/>
          <w:i/>
          <w:iCs/>
          <w:sz w:val="22"/>
          <w:lang w:val="es-ES"/>
        </w:rPr>
        <w:t xml:space="preserve"> Medell</w:t>
      </w:r>
      <w:r w:rsidRPr="00697466">
        <w:rPr>
          <w:bCs/>
          <w:i/>
          <w:iCs/>
          <w:color w:val="000000"/>
          <w:sz w:val="22"/>
          <w:lang w:val="es-ES"/>
        </w:rPr>
        <w:t>í</w:t>
      </w:r>
      <w:r w:rsidRPr="00697466">
        <w:rPr>
          <w:bCs/>
          <w:i/>
          <w:iCs/>
          <w:sz w:val="22"/>
          <w:lang w:val="es-ES"/>
        </w:rPr>
        <w:t>n, Colombia</w:t>
      </w:r>
      <w:r>
        <w:rPr>
          <w:bCs/>
          <w:i/>
          <w:iCs/>
          <w:sz w:val="22"/>
          <w:lang w:val="es-ES"/>
        </w:rPr>
        <w:t>.</w:t>
      </w:r>
      <w:r w:rsidRPr="00697466">
        <w:rPr>
          <w:bCs/>
          <w:i/>
          <w:iCs/>
          <w:sz w:val="22"/>
          <w:lang w:val="es-ES"/>
        </w:rPr>
        <w:t xml:space="preserve"> 4-6 junio 2008</w:t>
      </w:r>
      <w:r>
        <w:rPr>
          <w:bCs/>
          <w:i/>
          <w:iCs/>
          <w:sz w:val="22"/>
          <w:lang w:val="es-ES"/>
        </w:rPr>
        <w:t>.</w:t>
      </w:r>
    </w:p>
    <w:p w:rsidR="003722EE" w:rsidRPr="003722EE" w:rsidRDefault="003722EE" w:rsidP="003722EE">
      <w:pPr>
        <w:rPr>
          <w:sz w:val="22"/>
          <w:lang w:val="es-ES"/>
        </w:rPr>
      </w:pPr>
    </w:p>
    <w:p w:rsidR="003722EE" w:rsidRPr="003722EE" w:rsidRDefault="003722EE" w:rsidP="003722EE">
      <w:pPr>
        <w:ind w:left="0" w:firstLine="0"/>
        <w:rPr>
          <w:sz w:val="22"/>
          <w:lang w:val="es-ES"/>
        </w:rPr>
      </w:pPr>
    </w:p>
    <w:p w:rsidR="003722EE" w:rsidRPr="003722EE" w:rsidRDefault="003722EE" w:rsidP="003722EE">
      <w:pPr>
        <w:ind w:left="0" w:firstLine="0"/>
        <w:rPr>
          <w:color w:val="000000"/>
          <w:sz w:val="22"/>
        </w:rPr>
      </w:pPr>
      <w:r w:rsidRPr="003722EE">
        <w:rPr>
          <w:color w:val="000000"/>
          <w:sz w:val="22"/>
          <w:lang w:val="en-GB"/>
        </w:rPr>
        <w:t xml:space="preserve">1. </w:t>
      </w:r>
      <w:proofErr w:type="spellStart"/>
      <w:r w:rsidRPr="003722EE">
        <w:rPr>
          <w:color w:val="000000"/>
          <w:sz w:val="22"/>
          <w:lang w:val="en-GB"/>
        </w:rPr>
        <w:t>Ramires</w:t>
      </w:r>
      <w:proofErr w:type="spellEnd"/>
      <w:r w:rsidRPr="003722EE">
        <w:rPr>
          <w:color w:val="000000"/>
          <w:sz w:val="22"/>
          <w:lang w:val="en-GB"/>
        </w:rPr>
        <w:t xml:space="preserve"> O (1986). </w:t>
      </w:r>
      <w:proofErr w:type="spellStart"/>
      <w:proofErr w:type="gramStart"/>
      <w:r w:rsidRPr="003722EE">
        <w:rPr>
          <w:color w:val="000000"/>
          <w:sz w:val="22"/>
          <w:lang w:val="en-GB"/>
        </w:rPr>
        <w:t>Autochtonous</w:t>
      </w:r>
      <w:proofErr w:type="spellEnd"/>
      <w:r w:rsidRPr="003722EE">
        <w:rPr>
          <w:color w:val="000000"/>
          <w:sz w:val="22"/>
          <w:lang w:val="en-GB"/>
        </w:rPr>
        <w:t xml:space="preserve"> cutaneous leishmaniasis in El Salvador.</w:t>
      </w:r>
      <w:proofErr w:type="gramEnd"/>
      <w:r w:rsidRPr="003722EE">
        <w:rPr>
          <w:color w:val="000000"/>
          <w:sz w:val="22"/>
          <w:lang w:val="en-GB"/>
        </w:rPr>
        <w:t xml:space="preserve"> </w:t>
      </w:r>
      <w:proofErr w:type="gramStart"/>
      <w:r w:rsidRPr="003722EE">
        <w:rPr>
          <w:color w:val="000000"/>
          <w:sz w:val="22"/>
          <w:lang w:val="en-GB"/>
        </w:rPr>
        <w:t>Report of 5 cases.</w:t>
      </w:r>
      <w:proofErr w:type="gramEnd"/>
      <w:r w:rsidRPr="003722EE">
        <w:rPr>
          <w:color w:val="000000"/>
          <w:sz w:val="22"/>
          <w:lang w:val="en-GB"/>
        </w:rPr>
        <w:t xml:space="preserve"> </w:t>
      </w:r>
      <w:hyperlink r:id="rId8" w:tooltip="Medicina cutánea ibero-latino-americana." w:history="1">
        <w:proofErr w:type="spellStart"/>
        <w:r w:rsidRPr="003722EE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3722EE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3722EE">
          <w:rPr>
            <w:rStyle w:val="Hyperlink"/>
            <w:color w:val="000000"/>
            <w:sz w:val="22"/>
            <w:u w:val="none"/>
          </w:rPr>
          <w:t>Cutan</w:t>
        </w:r>
        <w:proofErr w:type="spellEnd"/>
        <w:r w:rsidRPr="003722EE">
          <w:rPr>
            <w:rStyle w:val="Hyperlink"/>
            <w:color w:val="000000"/>
            <w:sz w:val="22"/>
            <w:u w:val="none"/>
          </w:rPr>
          <w:t xml:space="preserve"> Ibero </w:t>
        </w:r>
        <w:proofErr w:type="spellStart"/>
        <w:r w:rsidRPr="003722EE">
          <w:rPr>
            <w:rStyle w:val="Hyperlink"/>
            <w:color w:val="000000"/>
            <w:sz w:val="22"/>
            <w:u w:val="none"/>
          </w:rPr>
          <w:t>Lat</w:t>
        </w:r>
        <w:proofErr w:type="spellEnd"/>
        <w:r w:rsidRPr="003722EE">
          <w:rPr>
            <w:rStyle w:val="Hyperlink"/>
            <w:color w:val="000000"/>
            <w:sz w:val="22"/>
            <w:u w:val="none"/>
          </w:rPr>
          <w:t xml:space="preserve"> Am.</w:t>
        </w:r>
      </w:hyperlink>
      <w:r w:rsidRPr="003722EE">
        <w:rPr>
          <w:color w:val="000000"/>
          <w:sz w:val="22"/>
        </w:rPr>
        <w:t>14(2):91-4.</w:t>
      </w:r>
    </w:p>
    <w:p w:rsidR="003722EE" w:rsidRPr="003722EE" w:rsidRDefault="003722EE" w:rsidP="003722EE">
      <w:pPr>
        <w:ind w:left="0" w:firstLine="0"/>
        <w:rPr>
          <w:color w:val="000000"/>
          <w:sz w:val="22"/>
        </w:rPr>
      </w:pPr>
    </w:p>
    <w:p w:rsidR="003722EE" w:rsidRPr="003722EE" w:rsidRDefault="003722EE" w:rsidP="003722EE">
      <w:pPr>
        <w:ind w:left="0" w:firstLine="0"/>
        <w:rPr>
          <w:color w:val="000000"/>
          <w:sz w:val="22"/>
        </w:rPr>
      </w:pPr>
      <w:r w:rsidRPr="003722EE">
        <w:rPr>
          <w:color w:val="000000"/>
          <w:sz w:val="22"/>
        </w:rPr>
        <w:t xml:space="preserve">2. </w:t>
      </w:r>
      <w:hyperlink r:id="rId9" w:history="1">
        <w:r w:rsidRPr="003722EE">
          <w:rPr>
            <w:rStyle w:val="Hyperlink"/>
            <w:color w:val="000000"/>
            <w:sz w:val="22"/>
            <w:u w:val="none"/>
          </w:rPr>
          <w:t xml:space="preserve">Guillen </w:t>
        </w:r>
        <w:proofErr w:type="spellStart"/>
        <w:r w:rsidRPr="003722EE">
          <w:rPr>
            <w:rStyle w:val="Hyperlink"/>
            <w:color w:val="000000"/>
            <w:sz w:val="22"/>
            <w:u w:val="none"/>
          </w:rPr>
          <w:t>Alvarez</w:t>
        </w:r>
        <w:proofErr w:type="spellEnd"/>
        <w:r w:rsidRPr="003722EE">
          <w:rPr>
            <w:rStyle w:val="Hyperlink"/>
            <w:color w:val="000000"/>
            <w:sz w:val="22"/>
            <w:u w:val="none"/>
          </w:rPr>
          <w:t xml:space="preserve"> G</w:t>
        </w:r>
      </w:hyperlink>
      <w:r w:rsidRPr="003722EE">
        <w:rPr>
          <w:color w:val="000000"/>
          <w:sz w:val="22"/>
        </w:rPr>
        <w:t xml:space="preserve"> (1954). </w:t>
      </w:r>
      <w:proofErr w:type="spellStart"/>
      <w:r w:rsidRPr="003722EE">
        <w:rPr>
          <w:color w:val="000000"/>
          <w:sz w:val="22"/>
        </w:rPr>
        <w:t>First</w:t>
      </w:r>
      <w:proofErr w:type="spellEnd"/>
      <w:r w:rsidRPr="003722EE">
        <w:rPr>
          <w:color w:val="000000"/>
          <w:sz w:val="22"/>
        </w:rPr>
        <w:t xml:space="preserve"> </w:t>
      </w:r>
      <w:proofErr w:type="spellStart"/>
      <w:r w:rsidRPr="003722EE">
        <w:rPr>
          <w:color w:val="000000"/>
          <w:sz w:val="22"/>
        </w:rPr>
        <w:t>four</w:t>
      </w:r>
      <w:proofErr w:type="spellEnd"/>
      <w:r w:rsidRPr="003722EE">
        <w:rPr>
          <w:color w:val="000000"/>
          <w:sz w:val="22"/>
        </w:rPr>
        <w:t xml:space="preserve"> cases of kala-azar </w:t>
      </w:r>
      <w:proofErr w:type="spellStart"/>
      <w:r w:rsidRPr="003722EE">
        <w:rPr>
          <w:color w:val="000000"/>
          <w:sz w:val="22"/>
        </w:rPr>
        <w:t>discovered</w:t>
      </w:r>
      <w:proofErr w:type="spellEnd"/>
      <w:r w:rsidRPr="003722EE">
        <w:rPr>
          <w:color w:val="000000"/>
          <w:sz w:val="22"/>
        </w:rPr>
        <w:t xml:space="preserve"> in El Salvador. </w:t>
      </w:r>
      <w:hyperlink r:id="rId10" w:tooltip="Archivos del Colegio Médico de El Salvador." w:history="1">
        <w:proofErr w:type="spellStart"/>
        <w:r w:rsidRPr="003722EE">
          <w:rPr>
            <w:rStyle w:val="Hyperlink"/>
            <w:color w:val="000000"/>
            <w:sz w:val="22"/>
            <w:u w:val="none"/>
          </w:rPr>
          <w:t>Arch</w:t>
        </w:r>
        <w:proofErr w:type="spellEnd"/>
        <w:r w:rsidRPr="003722EE">
          <w:rPr>
            <w:rStyle w:val="Hyperlink"/>
            <w:color w:val="000000"/>
            <w:sz w:val="22"/>
            <w:u w:val="none"/>
          </w:rPr>
          <w:t xml:space="preserve"> Col </w:t>
        </w:r>
        <w:proofErr w:type="spellStart"/>
        <w:r w:rsidRPr="003722EE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3722EE">
          <w:rPr>
            <w:rStyle w:val="Hyperlink"/>
            <w:color w:val="000000"/>
            <w:sz w:val="22"/>
            <w:u w:val="none"/>
          </w:rPr>
          <w:t xml:space="preserve"> El Salv.</w:t>
        </w:r>
      </w:hyperlink>
      <w:r w:rsidRPr="003722EE">
        <w:rPr>
          <w:color w:val="000000"/>
          <w:sz w:val="22"/>
        </w:rPr>
        <w:t>7(3):238-45.</w:t>
      </w:r>
    </w:p>
    <w:p w:rsidR="003722EE" w:rsidRPr="003722EE" w:rsidRDefault="003722EE" w:rsidP="003722EE"/>
    <w:p w:rsidR="003722EE" w:rsidRPr="003722EE" w:rsidRDefault="003722EE" w:rsidP="003722EE">
      <w:pPr>
        <w:rPr>
          <w:b/>
        </w:rPr>
      </w:pPr>
    </w:p>
    <w:p w:rsidR="002F7C1A" w:rsidRDefault="002F7C1A" w:rsidP="003722EE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0CE6BCF"/>
    <w:multiLevelType w:val="hybridMultilevel"/>
    <w:tmpl w:val="198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22EE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22EE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B3DCF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EE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3722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3722EE"/>
    <w:rPr>
      <w:color w:val="0000FF"/>
      <w:u w:val="single"/>
    </w:rPr>
  </w:style>
  <w:style w:type="paragraph" w:styleId="BodyText">
    <w:name w:val="Body Text"/>
    <w:basedOn w:val="Normal"/>
    <w:link w:val="BodyTextChar"/>
    <w:rsid w:val="003722EE"/>
    <w:pPr>
      <w:spacing w:after="120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22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E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3528714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/14362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GUILLEN%20ALVAREZ%20G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88808664259926"/>
          <c:y val="4.6391752577319569E-2"/>
          <c:w val="0.87906137184115518"/>
          <c:h val="0.690721649484536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74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8"/>
                <c:pt idx="0">
                  <c:v>26</c:v>
                </c:pt>
                <c:pt idx="1">
                  <c:v>29</c:v>
                </c:pt>
                <c:pt idx="2">
                  <c:v>11</c:v>
                </c:pt>
                <c:pt idx="3">
                  <c:v>9</c:v>
                </c:pt>
                <c:pt idx="4">
                  <c:v>16</c:v>
                </c:pt>
                <c:pt idx="5">
                  <c:v>31</c:v>
                </c:pt>
                <c:pt idx="6">
                  <c:v>0</c:v>
                </c:pt>
                <c:pt idx="7">
                  <c:v>14</c:v>
                </c:pt>
              </c:numCache>
            </c:numRef>
          </c:val>
        </c:ser>
        <c:gapDepth val="0"/>
        <c:shape val="box"/>
        <c:axId val="275380864"/>
        <c:axId val="285525504"/>
        <c:axId val="0"/>
      </c:bar3DChart>
      <c:catAx>
        <c:axId val="275380864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5504"/>
        <c:crosses val="autoZero"/>
        <c:auto val="1"/>
        <c:lblAlgn val="ctr"/>
        <c:lblOffset val="100"/>
        <c:tickLblSkip val="1"/>
        <c:tickMarkSkip val="1"/>
      </c:catAx>
      <c:valAx>
        <c:axId val="285525504"/>
        <c:scaling>
          <c:orientation val="minMax"/>
        </c:scaling>
        <c:axPos val="l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5380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4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2012-04-01T20:33:00Z</dcterms:created>
  <dcterms:modified xsi:type="dcterms:W3CDTF">2012-04-01T20:36:00Z</dcterms:modified>
</cp:coreProperties>
</file>