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0E" w:rsidRPr="008E57D5" w:rsidRDefault="008E57D5" w:rsidP="002C7D0E">
      <w:pPr>
        <w:pStyle w:val="Heading2"/>
        <w:numPr>
          <w:ilvl w:val="0"/>
          <w:numId w:val="0"/>
        </w:numPr>
        <w:spacing w:before="0" w:line="240" w:lineRule="auto"/>
        <w:rPr>
          <w:rFonts w:ascii="Times New Roman" w:hAnsi="Times New Roman"/>
          <w:i w:val="0"/>
          <w:sz w:val="32"/>
          <w:szCs w:val="32"/>
        </w:rPr>
      </w:pPr>
      <w:r w:rsidRPr="008E57D5">
        <w:rPr>
          <w:rFonts w:ascii="Times New Roman" w:hAnsi="Times New Roman"/>
          <w:i w:val="0"/>
          <w:sz w:val="32"/>
          <w:szCs w:val="32"/>
        </w:rPr>
        <w:t xml:space="preserve">Supplementary Text S1: </w:t>
      </w:r>
      <w:r w:rsidR="002C7D0E" w:rsidRPr="008E57D5">
        <w:rPr>
          <w:rFonts w:ascii="Times New Roman" w:hAnsi="Times New Roman"/>
          <w:i w:val="0"/>
          <w:sz w:val="32"/>
          <w:szCs w:val="32"/>
        </w:rPr>
        <w:t>Detailed PCR Protocols</w:t>
      </w:r>
    </w:p>
    <w:p w:rsidR="002C7D0E" w:rsidRPr="005C003C" w:rsidRDefault="002C7D0E" w:rsidP="002C7D0E">
      <w:pPr>
        <w:pStyle w:val="Heading3"/>
        <w:numPr>
          <w:ilvl w:val="0"/>
          <w:numId w:val="0"/>
        </w:numPr>
        <w:spacing w:line="240" w:lineRule="auto"/>
        <w:rPr>
          <w:i w:val="0"/>
          <w:iCs w:val="0"/>
        </w:rPr>
      </w:pPr>
      <w:r w:rsidRPr="005C003C">
        <w:rPr>
          <w:i w:val="0"/>
          <w:iCs w:val="0"/>
        </w:rPr>
        <w:t xml:space="preserve">Oligonucleotides and primers design </w:t>
      </w:r>
    </w:p>
    <w:p w:rsidR="002C7D0E" w:rsidRDefault="002C7D0E" w:rsidP="002C7D0E">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Regular RT-PCR primers used for quantification of </w:t>
      </w:r>
      <w:r>
        <w:rPr>
          <w:rFonts w:ascii="Times New Roman" w:hAnsi="Times New Roman" w:cs="Times New Roman"/>
          <w:i/>
          <w:sz w:val="24"/>
          <w:szCs w:val="24"/>
        </w:rPr>
        <w:t>ACTB</w:t>
      </w:r>
      <w:r>
        <w:rPr>
          <w:rFonts w:ascii="Times New Roman" w:hAnsi="Times New Roman" w:cs="Times New Roman"/>
          <w:sz w:val="24"/>
          <w:szCs w:val="24"/>
        </w:rPr>
        <w:t xml:space="preserve">, </w:t>
      </w:r>
      <w:r>
        <w:rPr>
          <w:rFonts w:ascii="Times New Roman" w:hAnsi="Times New Roman" w:cs="Times New Roman"/>
          <w:i/>
          <w:iCs/>
          <w:sz w:val="24"/>
          <w:szCs w:val="24"/>
        </w:rPr>
        <w:t>DDX58</w:t>
      </w:r>
      <w:r>
        <w:rPr>
          <w:rFonts w:ascii="Times New Roman" w:hAnsi="Times New Roman" w:cs="Times New Roman"/>
          <w:sz w:val="24"/>
          <w:szCs w:val="24"/>
        </w:rPr>
        <w:t xml:space="preserve"> and </w:t>
      </w:r>
      <w:r>
        <w:rPr>
          <w:rFonts w:ascii="Times New Roman" w:hAnsi="Times New Roman" w:cs="Times New Roman"/>
          <w:i/>
          <w:iCs/>
          <w:sz w:val="24"/>
          <w:szCs w:val="24"/>
        </w:rPr>
        <w:t>IFNB1</w:t>
      </w:r>
      <w:r>
        <w:rPr>
          <w:rFonts w:ascii="Times New Roman" w:hAnsi="Times New Roman" w:cs="Times New Roman"/>
          <w:sz w:val="24"/>
          <w:szCs w:val="24"/>
        </w:rPr>
        <w:t xml:space="preserve"> in total RNA samples were described previously </w:t>
      </w:r>
      <w:r w:rsidR="0094609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&lt;EndNote&gt;&lt;Cite&gt;&lt;Author&gt;Hu&lt;/Author&gt;&lt;Year&gt;2007&lt;/Year&gt;&lt;RecNum&gt;9&lt;/RecNum&gt;&lt;record&gt;&lt;rec-number&gt;9&lt;/rec-number&gt;&lt;foreign-keys&gt;&lt;key app="EN" db-id="fve9rxr0j5a9eiesxs85vw0td2rvttrsfwvz"&gt;9&lt;/key&gt;&lt;/foreign-keys&gt;&lt;ref-type name="Journal Article"&gt;17&lt;/ref-type&gt;&lt;contributors&gt;&lt;authors&gt;&lt;author&gt;Hu, J.&lt;/author&gt;&lt;author&gt;Sealfon, S. C.&lt;/author&gt;&lt;author&gt;Hayot, F.&lt;/author&gt;&lt;author&gt;Jayaprakash, C.&lt;/author&gt;&lt;author&gt;Kumar, M.&lt;/author&gt;&lt;author&gt;Pendleton, A. C.&lt;/author&gt;&lt;author&gt;Ganee, A.&lt;/author&gt;&lt;author&gt;Fernandez-Sesma, A.&lt;/author&gt;&lt;author&gt;Moran, T. M.&lt;/author&gt;&lt;author&gt;Wetmur, J. G.&lt;/author&gt;&lt;/authors&gt;&lt;/contributors&gt;&lt;auth-address&gt;Department of Microbiology, Mount Sinai School of Medicine, New York 10029, USA.&lt;/auth-address&gt;&lt;titles&gt;&lt;title&gt;Chromosome-specific and noisy IFNB1 transcription in individual virus-infected human primary dendritic cells&lt;/title&gt;&lt;secondary-title&gt;Nucleic Acids Res&lt;/secondary-title&gt;&lt;/titles&gt;&lt;pages&gt;5232-41&lt;/pages&gt;&lt;volume&gt;35&lt;/volume&gt;&lt;number&gt;15&lt;/number&gt;&lt;keywords&gt;&lt;keyword&gt;Alleles&lt;/keyword&gt;&lt;keyword&gt;Cells, Cultured&lt;/keyword&gt;&lt;keyword&gt;Chromosomes, Human/genetics&lt;/keyword&gt;&lt;keyword&gt;Dendritic Cells/*immunology/*virology&lt;/keyword&gt;&lt;keyword&gt;Humans&lt;/keyword&gt;&lt;keyword&gt;Interferon-beta/*biosynthesis/genetics&lt;/keyword&gt;&lt;keyword&gt;Models, Genetic&lt;/keyword&gt;&lt;keyword&gt;Newcastle disease virus/genetics&lt;/keyword&gt;&lt;keyword&gt;RNA Stability&lt;/keyword&gt;&lt;keyword&gt;RNA, Messenger/metabolism&lt;/keyword&gt;&lt;keyword&gt;RNA, Viral/biosynthesis&lt;/keyword&gt;&lt;keyword&gt;Stochastic Processes&lt;/keyword&gt;&lt;keyword&gt;Trans-Activation (Genetics)&lt;/keyword&gt;&lt;/keywords&gt;&lt;dates&gt;&lt;year&gt;2007&lt;/year&gt;&lt;/dates&gt;&lt;accession-num&gt;17675303&lt;/accession-num&gt;&lt;urls&gt;&lt;related-urls&gt;&lt;url&gt;http://www.ncbi.nlm.nih.gov/entrez/query.fcgi?cmd=Retrieve&amp;amp;db=PubMed&amp;amp;dopt=Citation&amp;amp;list_uids=17675303 &lt;/url&gt;&lt;/related-urls&gt;&lt;/urls&gt;&lt;/record&gt;&lt;/Cite&gt;&lt;/EndNote&gt;</w:instrText>
      </w:r>
      <w:r w:rsidR="0094609B">
        <w:rPr>
          <w:rFonts w:ascii="Times New Roman" w:hAnsi="Times New Roman" w:cs="Times New Roman"/>
          <w:sz w:val="24"/>
          <w:szCs w:val="24"/>
        </w:rPr>
        <w:fldChar w:fldCharType="separate"/>
      </w:r>
      <w:r>
        <w:rPr>
          <w:rFonts w:ascii="Times New Roman" w:hAnsi="Times New Roman" w:cs="Times New Roman"/>
          <w:noProof/>
          <w:sz w:val="24"/>
          <w:szCs w:val="24"/>
        </w:rPr>
        <w:t>[13]</w:t>
      </w:r>
      <w:r w:rsidR="0094609B">
        <w:rPr>
          <w:rFonts w:ascii="Times New Roman" w:hAnsi="Times New Roman" w:cs="Times New Roman"/>
          <w:sz w:val="24"/>
          <w:szCs w:val="24"/>
        </w:rPr>
        <w:fldChar w:fldCharType="end"/>
      </w:r>
      <w:r>
        <w:rPr>
          <w:rFonts w:ascii="Times New Roman" w:hAnsi="Times New Roman" w:cs="Times New Roman"/>
          <w:sz w:val="24"/>
          <w:szCs w:val="24"/>
        </w:rPr>
        <w:t xml:space="preserve">. For hemi-nested real time RT-PCR, the primers were redesigned to be compatible with the </w:t>
      </w:r>
      <w:r>
        <w:rPr>
          <w:rFonts w:ascii="Times New Roman" w:hAnsi="Times New Roman" w:cs="Times New Roman"/>
          <w:bCs/>
          <w:sz w:val="24"/>
          <w:szCs w:val="24"/>
        </w:rPr>
        <w:t>Roche</w:t>
      </w:r>
      <w:r>
        <w:rPr>
          <w:rFonts w:ascii="Times New Roman" w:hAnsi="Times New Roman" w:cs="Times New Roman"/>
          <w:sz w:val="24"/>
          <w:szCs w:val="24"/>
        </w:rPr>
        <w:t xml:space="preserve"> Universal </w:t>
      </w:r>
      <w:r>
        <w:rPr>
          <w:rFonts w:ascii="Times New Roman" w:hAnsi="Times New Roman" w:cs="Times New Roman"/>
          <w:bCs/>
          <w:sz w:val="24"/>
          <w:szCs w:val="24"/>
        </w:rPr>
        <w:t>Probe Library</w:t>
      </w:r>
      <w:r>
        <w:rPr>
          <w:rFonts w:ascii="Times New Roman" w:hAnsi="Times New Roman" w:cs="Times New Roman"/>
          <w:sz w:val="24"/>
          <w:szCs w:val="24"/>
        </w:rPr>
        <w:t xml:space="preserve"> (UPL). Sequences of the </w:t>
      </w:r>
      <w:r>
        <w:rPr>
          <w:rFonts w:ascii="Times New Roman" w:hAnsi="Times New Roman" w:cs="Times New Roman"/>
          <w:i/>
          <w:iCs/>
          <w:sz w:val="24"/>
          <w:szCs w:val="24"/>
        </w:rPr>
        <w:t>IFNB1</w:t>
      </w:r>
      <w:r>
        <w:rPr>
          <w:rFonts w:ascii="Times New Roman" w:hAnsi="Times New Roman" w:cs="Times New Roman"/>
          <w:sz w:val="24"/>
          <w:szCs w:val="24"/>
        </w:rPr>
        <w:t xml:space="preserve"> and </w:t>
      </w:r>
      <w:r>
        <w:rPr>
          <w:rFonts w:ascii="Times New Roman" w:hAnsi="Times New Roman" w:cs="Times New Roman"/>
          <w:i/>
          <w:iCs/>
          <w:sz w:val="24"/>
          <w:szCs w:val="24"/>
        </w:rPr>
        <w:t>DDX58</w:t>
      </w:r>
      <w:r>
        <w:rPr>
          <w:rFonts w:ascii="Times New Roman" w:hAnsi="Times New Roman" w:cs="Times New Roman"/>
          <w:sz w:val="24"/>
          <w:szCs w:val="24"/>
        </w:rPr>
        <w:t xml:space="preserve"> primers and control oligonucleotides (IDT Technologies) and LNA probes (Roche Applied Science) for human single cell assays are given in the table below. The primer sequences for the intron-containing genes </w:t>
      </w:r>
      <w:r>
        <w:rPr>
          <w:rFonts w:ascii="Times New Roman" w:hAnsi="Times New Roman" w:cs="Times New Roman"/>
          <w:i/>
          <w:iCs/>
          <w:sz w:val="24"/>
          <w:szCs w:val="24"/>
        </w:rPr>
        <w:t>DDX58</w:t>
      </w:r>
      <w:r>
        <w:rPr>
          <w:rFonts w:ascii="Times New Roman" w:hAnsi="Times New Roman" w:cs="Times New Roman"/>
          <w:sz w:val="24"/>
          <w:szCs w:val="24"/>
        </w:rPr>
        <w:t xml:space="preserve"> and </w:t>
      </w:r>
      <w:r>
        <w:rPr>
          <w:rFonts w:ascii="Times New Roman" w:hAnsi="Times New Roman" w:cs="Times New Roman"/>
          <w:i/>
          <w:sz w:val="24"/>
          <w:szCs w:val="24"/>
        </w:rPr>
        <w:t>ACTB</w:t>
      </w:r>
      <w:r>
        <w:rPr>
          <w:rFonts w:ascii="Times New Roman" w:hAnsi="Times New Roman" w:cs="Times New Roman"/>
          <w:sz w:val="24"/>
          <w:szCs w:val="24"/>
        </w:rPr>
        <w:t xml:space="preserve"> were derived from adjacent </w:t>
      </w:r>
      <w:proofErr w:type="spellStart"/>
      <w:r>
        <w:rPr>
          <w:rFonts w:ascii="Times New Roman" w:hAnsi="Times New Roman" w:cs="Times New Roman"/>
          <w:sz w:val="24"/>
          <w:szCs w:val="24"/>
        </w:rPr>
        <w:t>exons</w:t>
      </w:r>
      <w:proofErr w:type="spellEnd"/>
      <w:r>
        <w:rPr>
          <w:rFonts w:ascii="Times New Roman" w:hAnsi="Times New Roman" w:cs="Times New Roman"/>
          <w:sz w:val="24"/>
          <w:szCs w:val="24"/>
        </w:rPr>
        <w:t xml:space="preserve">. Our multiplex transcription measurement uses sequential PCR reactions. Forward and reverse primers for the first PCR were designed to anneal to and amplify both the cDNA template and spiked control oligonucleotides. Internal control oligonucleotides for </w:t>
      </w:r>
      <w:r>
        <w:rPr>
          <w:rFonts w:ascii="Times New Roman" w:hAnsi="Times New Roman" w:cs="Times New Roman"/>
          <w:i/>
          <w:iCs/>
          <w:sz w:val="24"/>
          <w:szCs w:val="24"/>
        </w:rPr>
        <w:t>IFNB1</w:t>
      </w:r>
      <w:r>
        <w:rPr>
          <w:rFonts w:ascii="Times New Roman" w:hAnsi="Times New Roman" w:cs="Times New Roman"/>
          <w:sz w:val="24"/>
          <w:szCs w:val="24"/>
        </w:rPr>
        <w:t xml:space="preserve"> and </w:t>
      </w:r>
      <w:r>
        <w:rPr>
          <w:rFonts w:ascii="Times New Roman" w:hAnsi="Times New Roman" w:cs="Times New Roman"/>
          <w:i/>
          <w:iCs/>
          <w:sz w:val="24"/>
          <w:szCs w:val="24"/>
        </w:rPr>
        <w:t>DDX58</w:t>
      </w:r>
      <w:r>
        <w:rPr>
          <w:rFonts w:ascii="Times New Roman" w:hAnsi="Times New Roman" w:cs="Times New Roman"/>
          <w:sz w:val="24"/>
          <w:szCs w:val="24"/>
        </w:rPr>
        <w:t xml:space="preserve"> were designed to be identical to the cDNA sequence but with a 2nt substitution replacing 8nt including the 6nt Roche LNA probe binding site to prevent extension by either allele-specific primer and to prevent probe binding and detection. </w:t>
      </w:r>
      <w:r>
        <w:rPr>
          <w:rFonts w:ascii="Times New Roman" w:hAnsi="Times New Roman" w:cs="Times New Roman"/>
          <w:bCs/>
          <w:sz w:val="24"/>
          <w:szCs w:val="24"/>
        </w:rPr>
        <w:t>PCR Primers were dissolved in DEPC-treated H</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O at 20 µM. </w:t>
      </w:r>
      <w:r>
        <w:rPr>
          <w:rFonts w:ascii="Times New Roman" w:hAnsi="Times New Roman" w:cs="Times New Roman"/>
          <w:sz w:val="24"/>
          <w:szCs w:val="24"/>
        </w:rPr>
        <w:t xml:space="preserve">Control oligonucleotides were stocked at 20 </w:t>
      </w:r>
      <w:r>
        <w:rPr>
          <w:rFonts w:ascii="Times New Roman" w:hAnsi="Times New Roman" w:cs="Times New Roman"/>
          <w:bCs/>
          <w:sz w:val="24"/>
          <w:szCs w:val="24"/>
        </w:rPr>
        <w:t xml:space="preserve">µM in DEPC-treated water </w:t>
      </w:r>
      <w:proofErr w:type="gramStart"/>
      <w:r>
        <w:rPr>
          <w:rFonts w:ascii="Times New Roman" w:hAnsi="Times New Roman" w:cs="Times New Roman"/>
          <w:bCs/>
          <w:sz w:val="24"/>
          <w:szCs w:val="24"/>
        </w:rPr>
        <w:t xml:space="preserve">with 20 </w:t>
      </w:r>
      <w:proofErr w:type="spellStart"/>
      <w:r>
        <w:rPr>
          <w:rFonts w:ascii="Times New Roman" w:hAnsi="Times New Roman" w:cs="Times New Roman"/>
          <w:bCs/>
          <w:sz w:val="24"/>
          <w:szCs w:val="24"/>
        </w:rPr>
        <w:t>ng</w:t>
      </w:r>
      <w:proofErr w:type="spellEnd"/>
      <w:r>
        <w:rPr>
          <w:rFonts w:ascii="Times New Roman" w:hAnsi="Times New Roman" w:cs="Times New Roman"/>
          <w:bCs/>
          <w:sz w:val="24"/>
          <w:szCs w:val="24"/>
        </w:rPr>
        <w:t xml:space="preserve">/µL </w:t>
      </w:r>
      <w:proofErr w:type="spellStart"/>
      <w:r>
        <w:rPr>
          <w:rFonts w:ascii="Times New Roman" w:hAnsi="Times New Roman" w:cs="Times New Roman"/>
          <w:bCs/>
          <w:sz w:val="24"/>
          <w:szCs w:val="24"/>
        </w:rPr>
        <w:t>Polyinosinic</w:t>
      </w:r>
      <w:proofErr w:type="spellEnd"/>
      <w:r>
        <w:rPr>
          <w:rFonts w:ascii="Times New Roman" w:hAnsi="Times New Roman" w:cs="Times New Roman"/>
          <w:bCs/>
          <w:sz w:val="24"/>
          <w:szCs w:val="24"/>
        </w:rPr>
        <w:t xml:space="preserve"> Acid (Sigma-Aldrich)</w:t>
      </w:r>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In the second PCR, allele specific forward primers were designed to anneal with only the cDNA sequence. </w:t>
      </w:r>
    </w:p>
    <w:p w:rsidR="002C7D0E" w:rsidRDefault="002C7D0E" w:rsidP="002C7D0E">
      <w:pPr>
        <w:spacing w:after="0" w:line="240" w:lineRule="auto"/>
        <w:ind w:firstLine="0"/>
        <w:rPr>
          <w:rFonts w:ascii="Times New Roman" w:hAnsi="Times New Roman" w:cs="Times New Roman"/>
          <w:sz w:val="24"/>
          <w:szCs w:val="24"/>
        </w:rPr>
      </w:pPr>
    </w:p>
    <w:p w:rsidR="002C7D0E" w:rsidRDefault="002C7D0E" w:rsidP="002C7D0E">
      <w:pPr>
        <w:pStyle w:val="Heading3"/>
        <w:tabs>
          <w:tab w:val="left" w:pos="0"/>
          <w:tab w:val="num" w:pos="720"/>
        </w:tabs>
        <w:spacing w:before="0" w:line="240" w:lineRule="auto"/>
        <w:rPr>
          <w:rFonts w:ascii="Times New Roman" w:hAnsi="Times New Roman"/>
          <w:i w:val="0"/>
          <w:sz w:val="24"/>
          <w:szCs w:val="24"/>
        </w:rPr>
      </w:pPr>
      <w:r>
        <w:rPr>
          <w:rFonts w:ascii="Times New Roman" w:hAnsi="Times New Roman"/>
          <w:i w:val="0"/>
          <w:sz w:val="24"/>
          <w:szCs w:val="24"/>
        </w:rPr>
        <w:t>Hemi-nested PCR</w:t>
      </w:r>
    </w:p>
    <w:p w:rsidR="002C7D0E" w:rsidRDefault="002C7D0E" w:rsidP="002C7D0E">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Measuring gene expression in single cells required a quantitative multiplex method for quantifying transcripts at low copy numbers. Nested PCR has been found to improve PCR sensitivity and specificity by selecting against non-specific priming. We have extended the technology of our previous single cell studies </w:t>
      </w:r>
      <w:r w:rsidR="0094609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&lt;EndNote&gt;&lt;Cite&gt;&lt;Author&gt;Hu&lt;/Author&gt;&lt;Year&gt;2007&lt;/Year&gt;&lt;RecNum&gt;9&lt;/RecNum&gt;&lt;record&gt;&lt;rec-number&gt;9&lt;/rec-number&gt;&lt;foreign-keys&gt;&lt;key app="EN" db-id="fve9rxr0j5a9eiesxs85vw0td2rvttrsfwvz"&gt;9&lt;/key&gt;&lt;/foreign-keys&gt;&lt;ref-type name="Journal Article"&gt;17&lt;/ref-type&gt;&lt;contributors&gt;&lt;authors&gt;&lt;author&gt;Hu, J.&lt;/author&gt;&lt;author&gt;Sealfon, S. C.&lt;/author&gt;&lt;author&gt;Hayot, F.&lt;/author&gt;&lt;author&gt;Jayaprakash, C.&lt;/author&gt;&lt;author&gt;Kumar, M.&lt;/author&gt;&lt;author&gt;Pendleton, A. C.&lt;/author&gt;&lt;author&gt;Ganee, A.&lt;/author&gt;&lt;author&gt;Fernandez-Sesma, A.&lt;/author&gt;&lt;author&gt;Moran, T. M.&lt;/author&gt;&lt;author&gt;Wetmur, J. G.&lt;/author&gt;&lt;/authors&gt;&lt;/contributors&gt;&lt;auth-address&gt;Department of Microbiology, Mount Sinai School of Medicine, New York 10029, USA.&lt;/auth-address&gt;&lt;titles&gt;&lt;title&gt;Chromosome-specific and noisy IFNB1 transcription in individual virus-infected human primary dendritic cells&lt;/title&gt;&lt;secondary-title&gt;Nucleic Acids Res&lt;/secondary-title&gt;&lt;/titles&gt;&lt;pages&gt;5232-41&lt;/pages&gt;&lt;volume&gt;35&lt;/volume&gt;&lt;number&gt;15&lt;/number&gt;&lt;keywords&gt;&lt;keyword&gt;Alleles&lt;/keyword&gt;&lt;keyword&gt;Cells, Cultured&lt;/keyword&gt;&lt;keyword&gt;Chromosomes, Human/genetics&lt;/keyword&gt;&lt;keyword&gt;Dendritic Cells/*immunology/*virology&lt;/keyword&gt;&lt;keyword&gt;Humans&lt;/keyword&gt;&lt;keyword&gt;Interferon-beta/*biosynthesis/genetics&lt;/keyword&gt;&lt;keyword&gt;Models, Genetic&lt;/keyword&gt;&lt;keyword&gt;Newcastle disease virus/genetics&lt;/keyword&gt;&lt;keyword&gt;RNA Stability&lt;/keyword&gt;&lt;keyword&gt;RNA, Messenger/metabolism&lt;/keyword&gt;&lt;keyword&gt;RNA, Viral/biosynthesis&lt;/keyword&gt;&lt;keyword&gt;Stochastic Processes&lt;/keyword&gt;&lt;keyword&gt;Trans-Activation (Genetics)&lt;/keyword&gt;&lt;/keywords&gt;&lt;dates&gt;&lt;year&gt;2007&lt;/year&gt;&lt;/dates&gt;&lt;accession-num&gt;17675303&lt;/accession-num&gt;&lt;urls&gt;&lt;related-urls&gt;&lt;url&gt;http://www.ncbi.nlm.nih.gov/entrez/query.fcgi?cmd=Retrieve&amp;amp;db=PubMed&amp;amp;dopt=Citation&amp;amp;list_uids=17675303 &lt;/url&gt;&lt;/related-urls&gt;&lt;/urls&gt;&lt;/record&gt;&lt;/Cite&gt;&lt;/EndNote&gt;</w:instrText>
      </w:r>
      <w:r w:rsidR="0094609B">
        <w:rPr>
          <w:rFonts w:ascii="Times New Roman" w:hAnsi="Times New Roman" w:cs="Times New Roman"/>
          <w:sz w:val="24"/>
          <w:szCs w:val="24"/>
        </w:rPr>
        <w:fldChar w:fldCharType="separate"/>
      </w:r>
      <w:r>
        <w:rPr>
          <w:rFonts w:ascii="Times New Roman" w:hAnsi="Times New Roman" w:cs="Times New Roman"/>
          <w:noProof/>
          <w:sz w:val="24"/>
          <w:szCs w:val="24"/>
        </w:rPr>
        <w:t>[13]</w:t>
      </w:r>
      <w:r w:rsidR="0094609B">
        <w:rPr>
          <w:rFonts w:ascii="Times New Roman" w:hAnsi="Times New Roman" w:cs="Times New Roman"/>
          <w:sz w:val="24"/>
          <w:szCs w:val="24"/>
        </w:rPr>
        <w:fldChar w:fldCharType="end"/>
      </w:r>
      <w:r>
        <w:rPr>
          <w:rFonts w:ascii="Times New Roman" w:hAnsi="Times New Roman" w:cs="Times New Roman"/>
          <w:sz w:val="24"/>
          <w:szCs w:val="24"/>
        </w:rPr>
        <w:t xml:space="preserve"> by using hemi-nested single cell PCR with locked nuclear acid (LNA) </w:t>
      </w:r>
      <w:proofErr w:type="spellStart"/>
      <w:r>
        <w:rPr>
          <w:rFonts w:ascii="Times New Roman" w:hAnsi="Times New Roman" w:cs="Times New Roman"/>
          <w:sz w:val="24"/>
          <w:szCs w:val="24"/>
        </w:rPr>
        <w:t>Taqman</w:t>
      </w:r>
      <w:proofErr w:type="spellEnd"/>
      <w:r>
        <w:rPr>
          <w:rFonts w:ascii="Times New Roman" w:hAnsi="Times New Roman" w:cs="Times New Roman"/>
          <w:sz w:val="24"/>
          <w:szCs w:val="24"/>
        </w:rPr>
        <w:t xml:space="preserve"> detection to quantify low copy numbers of </w:t>
      </w:r>
      <w:r>
        <w:rPr>
          <w:rFonts w:ascii="Times New Roman" w:hAnsi="Times New Roman" w:cs="Times New Roman"/>
          <w:i/>
          <w:iCs/>
          <w:sz w:val="24"/>
          <w:szCs w:val="24"/>
        </w:rPr>
        <w:t>IFNB1</w:t>
      </w:r>
      <w:r>
        <w:rPr>
          <w:rFonts w:ascii="Times New Roman" w:hAnsi="Times New Roman" w:cs="Times New Roman"/>
          <w:sz w:val="24"/>
          <w:szCs w:val="24"/>
        </w:rPr>
        <w:t xml:space="preserve"> and </w:t>
      </w:r>
      <w:r>
        <w:rPr>
          <w:rFonts w:ascii="Times New Roman" w:hAnsi="Times New Roman" w:cs="Times New Roman"/>
          <w:i/>
          <w:iCs/>
          <w:sz w:val="24"/>
          <w:szCs w:val="24"/>
        </w:rPr>
        <w:t>DDX58</w:t>
      </w:r>
      <w:r>
        <w:rPr>
          <w:rFonts w:ascii="Times New Roman" w:hAnsi="Times New Roman" w:cs="Times New Roman"/>
          <w:sz w:val="24"/>
          <w:szCs w:val="24"/>
        </w:rPr>
        <w:t xml:space="preserve"> transcripts in the same single human DCs. An illustration of the protocol is shown in Supplementary </w:t>
      </w:r>
      <w:r w:rsidRPr="00713418">
        <w:rPr>
          <w:rFonts w:ascii="Times New Roman" w:hAnsi="Times New Roman" w:cs="Times New Roman"/>
          <w:b/>
          <w:sz w:val="24"/>
          <w:szCs w:val="24"/>
        </w:rPr>
        <w:t>Figure S4</w:t>
      </w:r>
      <w:r>
        <w:rPr>
          <w:rFonts w:ascii="Times New Roman" w:hAnsi="Times New Roman" w:cs="Times New Roman"/>
          <w:sz w:val="24"/>
          <w:szCs w:val="24"/>
        </w:rPr>
        <w:t>.</w:t>
      </w:r>
    </w:p>
    <w:p w:rsidR="002C7D0E" w:rsidRDefault="002C7D0E" w:rsidP="002C7D0E">
      <w:pPr>
        <w:spacing w:after="0" w:line="240" w:lineRule="auto"/>
        <w:ind w:firstLine="0"/>
        <w:rPr>
          <w:rFonts w:ascii="Times New Roman" w:hAnsi="Times New Roman" w:cs="Times New Roman"/>
          <w:sz w:val="24"/>
          <w:szCs w:val="24"/>
        </w:rPr>
      </w:pPr>
    </w:p>
    <w:p w:rsidR="002C7D0E" w:rsidRDefault="002C7D0E" w:rsidP="002C7D0E">
      <w:pPr>
        <w:pStyle w:val="Heading3"/>
        <w:tabs>
          <w:tab w:val="left" w:pos="0"/>
          <w:tab w:val="num" w:pos="720"/>
        </w:tabs>
        <w:spacing w:before="0" w:line="240" w:lineRule="auto"/>
        <w:rPr>
          <w:rFonts w:ascii="Times New Roman" w:hAnsi="Times New Roman"/>
          <w:i w:val="0"/>
          <w:sz w:val="24"/>
          <w:szCs w:val="24"/>
        </w:rPr>
      </w:pPr>
      <w:r>
        <w:rPr>
          <w:rFonts w:ascii="Times New Roman" w:hAnsi="Times New Roman"/>
          <w:i w:val="0"/>
          <w:sz w:val="24"/>
          <w:szCs w:val="24"/>
        </w:rPr>
        <w:t xml:space="preserve">Validation of hemi-nested PCR method </w:t>
      </w:r>
    </w:p>
    <w:p w:rsidR="002C7D0E" w:rsidRDefault="002C7D0E" w:rsidP="002C7D0E">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To evaluate the sensitivity of the hemi-nested PCR, human genomic DNA (</w:t>
      </w:r>
      <w:proofErr w:type="spellStart"/>
      <w:r>
        <w:rPr>
          <w:rFonts w:ascii="Times New Roman" w:hAnsi="Times New Roman" w:cs="Times New Roman"/>
          <w:sz w:val="24"/>
          <w:szCs w:val="24"/>
        </w:rPr>
        <w:t>Promega</w:t>
      </w:r>
      <w:proofErr w:type="spellEnd"/>
      <w:r>
        <w:rPr>
          <w:rFonts w:ascii="Times New Roman" w:hAnsi="Times New Roman" w:cs="Times New Roman"/>
          <w:sz w:val="24"/>
          <w:szCs w:val="24"/>
        </w:rPr>
        <w:t xml:space="preserve">) was serially diluted in </w:t>
      </w:r>
      <w:r>
        <w:rPr>
          <w:rFonts w:ascii="Times New Roman" w:hAnsi="Times New Roman" w:cs="Times New Roman"/>
          <w:bCs/>
          <w:sz w:val="24"/>
          <w:szCs w:val="24"/>
        </w:rPr>
        <w:t>DEPC treated water with 20ng/</w:t>
      </w:r>
      <w:proofErr w:type="spellStart"/>
      <w:r>
        <w:rPr>
          <w:rFonts w:ascii="Times New Roman" w:hAnsi="Times New Roman" w:cs="Times New Roman"/>
          <w:bCs/>
          <w:sz w:val="24"/>
          <w:szCs w:val="24"/>
        </w:rPr>
        <w:t>μ</w:t>
      </w:r>
      <w:r>
        <w:rPr>
          <w:rFonts w:ascii="Times New Roman" w:hAnsi="Times New Roman" w:cs="Times New Roman"/>
          <w:sz w:val="24"/>
          <w:szCs w:val="24"/>
        </w:rPr>
        <w:t>l</w:t>
      </w:r>
      <w:proofErr w:type="spellEnd"/>
      <w:r>
        <w:rPr>
          <w:rFonts w:ascii="Times New Roman" w:hAnsi="Times New Roman" w:cs="Times New Roman"/>
          <w:bCs/>
          <w:sz w:val="24"/>
          <w:szCs w:val="24"/>
        </w:rPr>
        <w:t xml:space="preserve"> Poly I</w:t>
      </w:r>
      <w:r>
        <w:rPr>
          <w:rFonts w:ascii="Times New Roman" w:hAnsi="Times New Roman" w:cs="Times New Roman"/>
          <w:sz w:val="24"/>
          <w:szCs w:val="24"/>
        </w:rPr>
        <w:t>, containing 2000, 200, 20, 2 and 0 copies of DNA in 1</w:t>
      </w:r>
      <w:r>
        <w:rPr>
          <w:rFonts w:ascii="Times New Roman" w:hAnsi="Times New Roman" w:cs="Times New Roman"/>
          <w:bCs/>
          <w:sz w:val="24"/>
          <w:szCs w:val="24"/>
        </w:rPr>
        <w:t>μ</w:t>
      </w:r>
      <w:r>
        <w:rPr>
          <w:rFonts w:ascii="Times New Roman" w:hAnsi="Times New Roman" w:cs="Times New Roman"/>
          <w:sz w:val="24"/>
          <w:szCs w:val="24"/>
        </w:rPr>
        <w:t>l. The first 10</w:t>
      </w:r>
      <w:r>
        <w:rPr>
          <w:rFonts w:ascii="Times New Roman" w:hAnsi="Times New Roman" w:cs="Times New Roman"/>
          <w:bCs/>
          <w:sz w:val="24"/>
          <w:szCs w:val="24"/>
        </w:rPr>
        <w:t xml:space="preserve">μl </w:t>
      </w:r>
      <w:r>
        <w:rPr>
          <w:rFonts w:ascii="Times New Roman" w:hAnsi="Times New Roman" w:cs="Times New Roman"/>
          <w:sz w:val="24"/>
          <w:szCs w:val="24"/>
        </w:rPr>
        <w:t>PCR reaction contained 5</w:t>
      </w:r>
      <w:r>
        <w:rPr>
          <w:rFonts w:ascii="Times New Roman" w:hAnsi="Times New Roman" w:cs="Times New Roman"/>
          <w:bCs/>
          <w:sz w:val="24"/>
          <w:szCs w:val="24"/>
        </w:rPr>
        <w:t>μ</w:t>
      </w:r>
      <w:r>
        <w:rPr>
          <w:rFonts w:ascii="Times New Roman" w:hAnsi="Times New Roman" w:cs="Times New Roman"/>
          <w:sz w:val="24"/>
          <w:szCs w:val="24"/>
        </w:rPr>
        <w:t xml:space="preserve">l of 2x Roche </w:t>
      </w:r>
      <w:proofErr w:type="spellStart"/>
      <w:r>
        <w:rPr>
          <w:rFonts w:ascii="Times New Roman" w:hAnsi="Times New Roman" w:cs="Times New Roman"/>
          <w:sz w:val="24"/>
          <w:szCs w:val="24"/>
        </w:rPr>
        <w:t>Lightcycler</w:t>
      </w:r>
      <w:proofErr w:type="spellEnd"/>
      <w:r>
        <w:rPr>
          <w:rFonts w:ascii="Times New Roman" w:hAnsi="Times New Roman" w:cs="Times New Roman"/>
          <w:sz w:val="24"/>
          <w:szCs w:val="24"/>
        </w:rPr>
        <w:t xml:space="preserve"> Probe Master Mix (with polymerase), 0.1µM final concentration of universal primer sets for </w:t>
      </w:r>
      <w:r>
        <w:rPr>
          <w:rFonts w:ascii="Times New Roman" w:hAnsi="Times New Roman" w:cs="Times New Roman"/>
          <w:i/>
          <w:iCs/>
          <w:sz w:val="24"/>
          <w:szCs w:val="24"/>
        </w:rPr>
        <w:t>IFNB1</w:t>
      </w:r>
      <w:r>
        <w:rPr>
          <w:rFonts w:ascii="Times New Roman" w:hAnsi="Times New Roman" w:cs="Times New Roman"/>
          <w:sz w:val="24"/>
          <w:szCs w:val="24"/>
        </w:rPr>
        <w:t xml:space="preserve">, control </w:t>
      </w:r>
      <w:r>
        <w:rPr>
          <w:rFonts w:ascii="Times New Roman" w:hAnsi="Times New Roman" w:cs="Times New Roman"/>
          <w:i/>
          <w:iCs/>
          <w:sz w:val="24"/>
          <w:szCs w:val="24"/>
        </w:rPr>
        <w:t>IFNB1</w:t>
      </w:r>
      <w:r>
        <w:rPr>
          <w:rFonts w:ascii="Times New Roman" w:hAnsi="Times New Roman" w:cs="Times New Roman"/>
          <w:sz w:val="24"/>
          <w:szCs w:val="24"/>
        </w:rPr>
        <w:t xml:space="preserve"> oligonucleotides at 200 copies, and 2</w:t>
      </w:r>
      <w:r>
        <w:rPr>
          <w:rFonts w:ascii="Times New Roman" w:hAnsi="Times New Roman" w:cs="Times New Roman"/>
          <w:bCs/>
          <w:sz w:val="24"/>
          <w:szCs w:val="24"/>
        </w:rPr>
        <w:t>μ</w:t>
      </w:r>
      <w:r>
        <w:rPr>
          <w:rFonts w:ascii="Times New Roman" w:hAnsi="Times New Roman" w:cs="Times New Roman"/>
          <w:sz w:val="24"/>
          <w:szCs w:val="24"/>
        </w:rPr>
        <w:t xml:space="preserve">l of template genomic DNA standard. Real time PCR was performed in a Roche </w:t>
      </w:r>
      <w:proofErr w:type="spellStart"/>
      <w:r>
        <w:rPr>
          <w:rFonts w:ascii="Times New Roman" w:hAnsi="Times New Roman" w:cs="Times New Roman"/>
          <w:sz w:val="24"/>
          <w:szCs w:val="24"/>
        </w:rPr>
        <w:t>Lightcycler</w:t>
      </w:r>
      <w:proofErr w:type="spellEnd"/>
      <w:r>
        <w:rPr>
          <w:rFonts w:ascii="Times New Roman" w:hAnsi="Times New Roman" w:cs="Times New Roman"/>
          <w:sz w:val="24"/>
          <w:szCs w:val="24"/>
        </w:rPr>
        <w:t xml:space="preserve"> 480. The samples were amplified according to the following procedure: polymerase activation at 95°C for 10 minutes, followed by 8 cycles at 94°C for 10s, 60°C for 15s, and 72°C for 15s. PCR without control oligonucleotides and PCR detected by SYBR green were performed in the same plate as controls. After the 8 cycles, 2µL </w:t>
      </w:r>
      <w:r>
        <w:rPr>
          <w:rFonts w:ascii="Times New Roman" w:hAnsi="Times New Roman" w:cs="Times New Roman"/>
          <w:sz w:val="24"/>
          <w:szCs w:val="24"/>
        </w:rPr>
        <w:lastRenderedPageBreak/>
        <w:t xml:space="preserve">first PCR products were added to each of 2 wells, mixed with 8µl PCR reaction mix [5µl of 2x </w:t>
      </w:r>
      <w:proofErr w:type="spellStart"/>
      <w:r>
        <w:rPr>
          <w:rFonts w:ascii="Times New Roman" w:hAnsi="Times New Roman" w:cs="Times New Roman"/>
          <w:sz w:val="24"/>
          <w:szCs w:val="24"/>
        </w:rPr>
        <w:t>Lightcycler</w:t>
      </w:r>
      <w:proofErr w:type="spellEnd"/>
      <w:r>
        <w:rPr>
          <w:rFonts w:ascii="Times New Roman" w:hAnsi="Times New Roman" w:cs="Times New Roman"/>
          <w:sz w:val="24"/>
          <w:szCs w:val="24"/>
        </w:rPr>
        <w:t xml:space="preserve"> Probe Master Mix, 0.2</w:t>
      </w:r>
      <w:r>
        <w:rPr>
          <w:rFonts w:ascii="Times New Roman" w:hAnsi="Times New Roman" w:cs="Times New Roman"/>
          <w:bCs/>
          <w:sz w:val="24"/>
          <w:szCs w:val="24"/>
        </w:rPr>
        <w:t>μ</w:t>
      </w:r>
      <w:r>
        <w:rPr>
          <w:rFonts w:ascii="Times New Roman" w:hAnsi="Times New Roman" w:cs="Times New Roman"/>
          <w:sz w:val="24"/>
          <w:szCs w:val="24"/>
        </w:rPr>
        <w:t xml:space="preserve">M final concentration of allele specific primer set </w:t>
      </w:r>
      <w:r>
        <w:rPr>
          <w:rFonts w:ascii="Times New Roman" w:hAnsi="Times New Roman" w:cs="Times New Roman"/>
          <w:i/>
          <w:iCs/>
          <w:sz w:val="24"/>
          <w:szCs w:val="24"/>
        </w:rPr>
        <w:t>IFNB1</w:t>
      </w:r>
      <w:r>
        <w:rPr>
          <w:rFonts w:ascii="Times New Roman" w:hAnsi="Times New Roman" w:cs="Times New Roman"/>
          <w:i/>
          <w:sz w:val="24"/>
          <w:szCs w:val="24"/>
        </w:rPr>
        <w:t xml:space="preserve"> </w:t>
      </w:r>
      <w:r>
        <w:rPr>
          <w:rFonts w:ascii="Times New Roman" w:hAnsi="Times New Roman" w:cs="Times New Roman"/>
          <w:sz w:val="24"/>
          <w:szCs w:val="24"/>
        </w:rPr>
        <w:t>MF/R, and 0.1</w:t>
      </w:r>
      <w:r>
        <w:rPr>
          <w:rFonts w:ascii="Times New Roman" w:hAnsi="Times New Roman" w:cs="Times New Roman"/>
          <w:bCs/>
          <w:sz w:val="24"/>
          <w:szCs w:val="24"/>
        </w:rPr>
        <w:t>μ</w:t>
      </w:r>
      <w:r>
        <w:rPr>
          <w:rFonts w:ascii="Times New Roman" w:hAnsi="Times New Roman" w:cs="Times New Roman"/>
          <w:sz w:val="24"/>
          <w:szCs w:val="24"/>
        </w:rPr>
        <w:t xml:space="preserve">M final concentration of Roche LNA probe #79]. The second PCR amplification was carried out using a polymerase activation at 95°C for 10 minutes, followed for 50 cycles at 94ºC for 10s, 62ºC for 20s and 72ºC for 10s. The PCR amplification curves (Supplementary </w:t>
      </w:r>
      <w:r w:rsidRPr="00713418">
        <w:rPr>
          <w:rFonts w:ascii="Times New Roman" w:hAnsi="Times New Roman" w:cs="Times New Roman"/>
          <w:b/>
          <w:sz w:val="24"/>
          <w:szCs w:val="24"/>
        </w:rPr>
        <w:t>Figure S5A</w:t>
      </w:r>
      <w:r>
        <w:rPr>
          <w:rFonts w:ascii="Times New Roman" w:hAnsi="Times New Roman" w:cs="Times New Roman"/>
          <w:sz w:val="24"/>
          <w:szCs w:val="24"/>
        </w:rPr>
        <w:t xml:space="preserve">) and regression plot (inset in Supplementary </w:t>
      </w:r>
      <w:r w:rsidRPr="00713418">
        <w:rPr>
          <w:rFonts w:ascii="Times New Roman" w:hAnsi="Times New Roman" w:cs="Times New Roman"/>
          <w:b/>
          <w:sz w:val="24"/>
          <w:szCs w:val="24"/>
        </w:rPr>
        <w:t>Figure S5A</w:t>
      </w:r>
      <w:r>
        <w:rPr>
          <w:rFonts w:ascii="Times New Roman" w:hAnsi="Times New Roman" w:cs="Times New Roman"/>
          <w:sz w:val="24"/>
          <w:szCs w:val="24"/>
        </w:rPr>
        <w:t xml:space="preserve">) of the real-time hemi-nested PCR for the </w:t>
      </w:r>
      <w:r>
        <w:rPr>
          <w:rFonts w:ascii="Times New Roman" w:hAnsi="Times New Roman" w:cs="Times New Roman"/>
          <w:i/>
          <w:iCs/>
          <w:sz w:val="24"/>
          <w:szCs w:val="24"/>
        </w:rPr>
        <w:t xml:space="preserve">IFNB1 </w:t>
      </w:r>
      <w:r>
        <w:rPr>
          <w:rFonts w:ascii="Times New Roman" w:hAnsi="Times New Roman" w:cs="Times New Roman"/>
          <w:sz w:val="24"/>
          <w:szCs w:val="24"/>
        </w:rPr>
        <w:t xml:space="preserve">gene demonstrated that the quantity of </w:t>
      </w:r>
      <w:r>
        <w:rPr>
          <w:rFonts w:ascii="Times New Roman" w:hAnsi="Times New Roman" w:cs="Times New Roman"/>
          <w:i/>
          <w:iCs/>
          <w:sz w:val="24"/>
          <w:szCs w:val="24"/>
        </w:rPr>
        <w:t>IFNB1</w:t>
      </w:r>
      <w:r>
        <w:rPr>
          <w:rFonts w:ascii="Times New Roman" w:hAnsi="Times New Roman" w:cs="Times New Roman"/>
          <w:sz w:val="24"/>
          <w:szCs w:val="24"/>
        </w:rPr>
        <w:t xml:space="preserve"> can be detected accurately down to 4 copies of template, where the standard error in cycle numbers (Cp) expands only to 1.3 for 12 repeated measurements. Furthermore, the consistency or variation of PCR efficiency among the wells in the PCR plate was tested by running a parallel real-time PCR with SYBR green readout and the primer </w:t>
      </w:r>
      <w:r>
        <w:rPr>
          <w:rFonts w:ascii="Times New Roman" w:hAnsi="Times New Roman" w:cs="Times New Roman"/>
          <w:i/>
          <w:iCs/>
          <w:sz w:val="24"/>
          <w:szCs w:val="24"/>
        </w:rPr>
        <w:t>IFNB1</w:t>
      </w:r>
      <w:r>
        <w:rPr>
          <w:rFonts w:ascii="Times New Roman" w:hAnsi="Times New Roman" w:cs="Times New Roman"/>
          <w:sz w:val="24"/>
          <w:szCs w:val="24"/>
        </w:rPr>
        <w:t xml:space="preserve"> OF that only uses the control oligonucleotides, present at 200 copies, as its template (Supplementary </w:t>
      </w:r>
      <w:r w:rsidRPr="00713418">
        <w:rPr>
          <w:rFonts w:ascii="Times New Roman" w:hAnsi="Times New Roman" w:cs="Times New Roman"/>
          <w:b/>
          <w:sz w:val="24"/>
          <w:szCs w:val="24"/>
        </w:rPr>
        <w:t>Figure S5</w:t>
      </w:r>
      <w:r>
        <w:rPr>
          <w:rFonts w:ascii="Times New Roman" w:hAnsi="Times New Roman" w:cs="Times New Roman"/>
          <w:b/>
          <w:sz w:val="24"/>
          <w:szCs w:val="24"/>
        </w:rPr>
        <w:t>B</w:t>
      </w:r>
      <w:r>
        <w:rPr>
          <w:rFonts w:ascii="Times New Roman" w:hAnsi="Times New Roman" w:cs="Times New Roman"/>
          <w:sz w:val="24"/>
          <w:szCs w:val="24"/>
        </w:rPr>
        <w:t xml:space="preserve">). This control assay demonstrated a very tight distribution in the presence of the genomic standard dilution series, suggesting PCR efficiency was independent of genomic DNA copy number.  Finally, we demonstrated that omission of the control oligonucleotides had no effect on the overall accuracy of the hemi-nested TaqMan PCR using LNA probes (data not shown). </w:t>
      </w:r>
    </w:p>
    <w:p w:rsidR="002C7D0E" w:rsidRDefault="002C7D0E" w:rsidP="002C7D0E">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ab/>
        <w:t xml:space="preserve">To evaluate the multiplex hemi-nested PCR of </w:t>
      </w:r>
      <w:r>
        <w:rPr>
          <w:rFonts w:ascii="Times New Roman" w:hAnsi="Times New Roman" w:cs="Times New Roman"/>
          <w:i/>
          <w:iCs/>
          <w:sz w:val="24"/>
          <w:szCs w:val="24"/>
        </w:rPr>
        <w:t>IFNB1</w:t>
      </w:r>
      <w:r>
        <w:rPr>
          <w:rFonts w:ascii="Times New Roman" w:hAnsi="Times New Roman" w:cs="Times New Roman"/>
          <w:sz w:val="24"/>
          <w:szCs w:val="24"/>
        </w:rPr>
        <w:t xml:space="preserve"> and </w:t>
      </w:r>
      <w:r>
        <w:rPr>
          <w:rFonts w:ascii="Times New Roman" w:hAnsi="Times New Roman" w:cs="Times New Roman"/>
          <w:i/>
          <w:iCs/>
          <w:sz w:val="24"/>
          <w:szCs w:val="24"/>
        </w:rPr>
        <w:t>DDX58</w:t>
      </w:r>
      <w:r>
        <w:rPr>
          <w:rFonts w:ascii="Times New Roman" w:hAnsi="Times New Roman" w:cs="Times New Roman"/>
          <w:sz w:val="24"/>
          <w:szCs w:val="24"/>
        </w:rPr>
        <w:t>, total RNAs were extracted from DCs from the same donor studied in for the single cell RT described below and were diluted to approximately 1 copy as determined by the PCR result above for genomic DNA. The 2-step PCR protocol was carried out as described above except that the first PCR used 5µL of 2xAccuRT PCR reaction mix [2xAccuRT buffer, 4mM magnesium acetate, 0.2</w:t>
      </w:r>
      <w:r>
        <w:rPr>
          <w:rFonts w:ascii="Times New Roman" w:hAnsi="Times New Roman" w:cs="Times New Roman"/>
          <w:bCs/>
          <w:sz w:val="24"/>
          <w:szCs w:val="24"/>
        </w:rPr>
        <w:t>μ</w:t>
      </w:r>
      <w:r>
        <w:rPr>
          <w:rFonts w:ascii="Times New Roman" w:hAnsi="Times New Roman" w:cs="Times New Roman"/>
          <w:sz w:val="24"/>
          <w:szCs w:val="24"/>
        </w:rPr>
        <w:t xml:space="preserve">M universal primer sets for each </w:t>
      </w:r>
      <w:r>
        <w:rPr>
          <w:rFonts w:ascii="Times New Roman" w:hAnsi="Times New Roman" w:cs="Times New Roman"/>
          <w:i/>
          <w:iCs/>
          <w:sz w:val="24"/>
          <w:szCs w:val="24"/>
        </w:rPr>
        <w:t>IFNB1</w:t>
      </w:r>
      <w:r>
        <w:rPr>
          <w:rFonts w:ascii="Times New Roman" w:hAnsi="Times New Roman" w:cs="Times New Roman"/>
          <w:sz w:val="24"/>
          <w:szCs w:val="24"/>
        </w:rPr>
        <w:t xml:space="preserve"> and </w:t>
      </w:r>
      <w:r>
        <w:rPr>
          <w:rFonts w:ascii="Times New Roman" w:hAnsi="Times New Roman" w:cs="Times New Roman"/>
          <w:i/>
          <w:iCs/>
          <w:sz w:val="24"/>
          <w:szCs w:val="24"/>
        </w:rPr>
        <w:t>DDX58</w:t>
      </w:r>
      <w:r>
        <w:rPr>
          <w:rFonts w:ascii="Times New Roman" w:hAnsi="Times New Roman" w:cs="Times New Roman"/>
          <w:sz w:val="24"/>
          <w:szCs w:val="24"/>
        </w:rPr>
        <w:t xml:space="preserve">, 200copies/well </w:t>
      </w:r>
      <w:r>
        <w:rPr>
          <w:rFonts w:ascii="Times New Roman" w:hAnsi="Times New Roman" w:cs="Times New Roman"/>
          <w:i/>
          <w:iCs/>
          <w:sz w:val="24"/>
          <w:szCs w:val="24"/>
        </w:rPr>
        <w:t>IFNB1</w:t>
      </w:r>
      <w:r>
        <w:rPr>
          <w:rFonts w:ascii="Times New Roman" w:hAnsi="Times New Roman" w:cs="Times New Roman"/>
          <w:sz w:val="24"/>
          <w:szCs w:val="24"/>
        </w:rPr>
        <w:t xml:space="preserve"> and </w:t>
      </w:r>
      <w:r>
        <w:rPr>
          <w:rFonts w:ascii="Times New Roman" w:hAnsi="Times New Roman" w:cs="Times New Roman"/>
          <w:i/>
          <w:iCs/>
          <w:sz w:val="24"/>
          <w:szCs w:val="24"/>
        </w:rPr>
        <w:t>DDX58</w:t>
      </w:r>
      <w:r>
        <w:rPr>
          <w:rFonts w:ascii="Times New Roman" w:hAnsi="Times New Roman" w:cs="Times New Roman"/>
          <w:sz w:val="24"/>
          <w:szCs w:val="24"/>
        </w:rPr>
        <w:t xml:space="preserve"> control oligonucleotides, 0.2mM each dNTP (</w:t>
      </w:r>
      <w:proofErr w:type="spellStart"/>
      <w:r>
        <w:rPr>
          <w:rFonts w:ascii="Times New Roman" w:hAnsi="Times New Roman" w:cs="Times New Roman"/>
          <w:sz w:val="24"/>
          <w:szCs w:val="24"/>
        </w:rPr>
        <w:t>dUTP</w:t>
      </w:r>
      <w:proofErr w:type="spellEnd"/>
      <w:r>
        <w:rPr>
          <w:rFonts w:ascii="Times New Roman" w:hAnsi="Times New Roman" w:cs="Times New Roman"/>
          <w:sz w:val="24"/>
          <w:szCs w:val="24"/>
        </w:rPr>
        <w:t xml:space="preserve">) and 0.375U/µL </w:t>
      </w:r>
      <w:proofErr w:type="spellStart"/>
      <w:r>
        <w:rPr>
          <w:rFonts w:ascii="Times New Roman" w:hAnsi="Times New Roman" w:cs="Times New Roman"/>
          <w:sz w:val="24"/>
          <w:szCs w:val="24"/>
        </w:rPr>
        <w:t>AccuRT</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aptamer</w:t>
      </w:r>
      <w:proofErr w:type="spellEnd"/>
      <w:r>
        <w:rPr>
          <w:rFonts w:ascii="Times New Roman" w:hAnsi="Times New Roman" w:cs="Times New Roman"/>
          <w:sz w:val="24"/>
          <w:szCs w:val="24"/>
        </w:rPr>
        <w:t xml:space="preserve"> (a dual functional RNA-DNA polymerase kindly provided by </w:t>
      </w:r>
      <w:r>
        <w:rPr>
          <w:rFonts w:ascii="Times New Roman" w:hAnsi="Times New Roman" w:cs="Times New Roman"/>
          <w:bCs/>
          <w:sz w:val="24"/>
          <w:szCs w:val="24"/>
        </w:rPr>
        <w:t xml:space="preserve">Dr. Tom Myers of </w:t>
      </w:r>
      <w:r>
        <w:rPr>
          <w:rFonts w:ascii="Times New Roman" w:hAnsi="Times New Roman" w:cs="Times New Roman"/>
          <w:sz w:val="24"/>
          <w:szCs w:val="24"/>
        </w:rPr>
        <w:t>Roche Molecular Systems)]. The first RT-PCR was carried out with a 65°C reverse transcription for 30 min and 8 cycles of 94°C for 15s and 60°C for 50s. After the 8 cycles, 2µL of first PCR products were added to 4 wells, mixed with 8</w:t>
      </w:r>
      <w:r>
        <w:rPr>
          <w:rFonts w:ascii="Times New Roman" w:hAnsi="Times New Roman" w:cs="Times New Roman"/>
          <w:bCs/>
          <w:sz w:val="24"/>
          <w:szCs w:val="24"/>
        </w:rPr>
        <w:t>μ</w:t>
      </w:r>
      <w:r>
        <w:rPr>
          <w:rFonts w:ascii="Times New Roman" w:hAnsi="Times New Roman" w:cs="Times New Roman"/>
          <w:sz w:val="24"/>
          <w:szCs w:val="24"/>
        </w:rPr>
        <w:t xml:space="preserve">L PCR reaction mix described above for genomic DNA, containing either 0.2µM </w:t>
      </w:r>
      <w:r>
        <w:rPr>
          <w:rFonts w:ascii="Times New Roman" w:hAnsi="Times New Roman" w:cs="Times New Roman"/>
          <w:i/>
          <w:iCs/>
          <w:sz w:val="24"/>
          <w:szCs w:val="24"/>
        </w:rPr>
        <w:t>IFNB1</w:t>
      </w:r>
      <w:r>
        <w:rPr>
          <w:rFonts w:ascii="Times New Roman" w:hAnsi="Times New Roman" w:cs="Times New Roman"/>
          <w:sz w:val="24"/>
          <w:szCs w:val="24"/>
        </w:rPr>
        <w:t xml:space="preserve"> or </w:t>
      </w:r>
      <w:r>
        <w:rPr>
          <w:rFonts w:ascii="Times New Roman" w:hAnsi="Times New Roman" w:cs="Times New Roman"/>
          <w:i/>
          <w:iCs/>
          <w:sz w:val="24"/>
          <w:szCs w:val="24"/>
        </w:rPr>
        <w:t>DDX58</w:t>
      </w:r>
      <w:r>
        <w:rPr>
          <w:rFonts w:ascii="Times New Roman" w:hAnsi="Times New Roman" w:cs="Times New Roman"/>
          <w:sz w:val="24"/>
          <w:szCs w:val="24"/>
        </w:rPr>
        <w:t xml:space="preserve"> allele specific primer set and the corresponded Roche LNA probe (#79 for </w:t>
      </w:r>
      <w:r>
        <w:rPr>
          <w:rFonts w:ascii="Times New Roman" w:hAnsi="Times New Roman" w:cs="Times New Roman"/>
          <w:i/>
          <w:iCs/>
          <w:sz w:val="24"/>
          <w:szCs w:val="24"/>
        </w:rPr>
        <w:t>IFNB1</w:t>
      </w:r>
      <w:r>
        <w:rPr>
          <w:rFonts w:ascii="Times New Roman" w:hAnsi="Times New Roman" w:cs="Times New Roman"/>
          <w:sz w:val="24"/>
          <w:szCs w:val="24"/>
        </w:rPr>
        <w:t xml:space="preserve"> and #6 for </w:t>
      </w:r>
      <w:r>
        <w:rPr>
          <w:rFonts w:ascii="Times New Roman" w:hAnsi="Times New Roman" w:cs="Times New Roman"/>
          <w:i/>
          <w:iCs/>
          <w:sz w:val="24"/>
          <w:szCs w:val="24"/>
        </w:rPr>
        <w:t>DDX58</w:t>
      </w:r>
      <w:r>
        <w:rPr>
          <w:rFonts w:ascii="Times New Roman" w:hAnsi="Times New Roman" w:cs="Times New Roman"/>
          <w:sz w:val="24"/>
          <w:szCs w:val="24"/>
        </w:rPr>
        <w:t xml:space="preserve">). Multiplex RT-PCR measurement of </w:t>
      </w:r>
      <w:r>
        <w:rPr>
          <w:rFonts w:ascii="Times New Roman" w:hAnsi="Times New Roman" w:cs="Times New Roman"/>
          <w:i/>
          <w:iCs/>
          <w:sz w:val="24"/>
          <w:szCs w:val="24"/>
        </w:rPr>
        <w:t>IFNB1</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iCs/>
          <w:sz w:val="24"/>
          <w:szCs w:val="24"/>
        </w:rPr>
        <w:t>DDX58</w:t>
      </w:r>
      <w:r>
        <w:rPr>
          <w:rFonts w:ascii="Times New Roman" w:hAnsi="Times New Roman" w:cs="Times New Roman"/>
          <w:sz w:val="24"/>
          <w:szCs w:val="24"/>
        </w:rPr>
        <w:t xml:space="preserve"> transcripts (Supplementary </w:t>
      </w:r>
      <w:r w:rsidRPr="00713418">
        <w:rPr>
          <w:rFonts w:ascii="Times New Roman" w:hAnsi="Times New Roman" w:cs="Times New Roman"/>
          <w:b/>
          <w:sz w:val="24"/>
          <w:szCs w:val="24"/>
        </w:rPr>
        <w:t>Figure S</w:t>
      </w:r>
      <w:r>
        <w:rPr>
          <w:rFonts w:ascii="Times New Roman" w:hAnsi="Times New Roman" w:cs="Times New Roman"/>
          <w:b/>
          <w:sz w:val="24"/>
          <w:szCs w:val="24"/>
        </w:rPr>
        <w:t>6</w:t>
      </w:r>
      <w:r>
        <w:rPr>
          <w:rFonts w:ascii="Times New Roman" w:hAnsi="Times New Roman" w:cs="Times New Roman"/>
          <w:sz w:val="24"/>
          <w:szCs w:val="24"/>
        </w:rPr>
        <w:t xml:space="preserve">) were performed on serially diluted total RNA samples. We evaluated 4 10-fold dilutions for </w:t>
      </w:r>
      <w:r>
        <w:rPr>
          <w:rFonts w:ascii="Times New Roman" w:hAnsi="Times New Roman" w:cs="Times New Roman"/>
          <w:i/>
          <w:iCs/>
          <w:sz w:val="24"/>
          <w:szCs w:val="24"/>
        </w:rPr>
        <w:t>IFNB1</w:t>
      </w:r>
      <w:r>
        <w:rPr>
          <w:rFonts w:ascii="Times New Roman" w:hAnsi="Times New Roman" w:cs="Times New Roman"/>
          <w:i/>
          <w:sz w:val="24"/>
          <w:szCs w:val="24"/>
        </w:rPr>
        <w:t xml:space="preserve"> </w:t>
      </w:r>
      <w:r>
        <w:rPr>
          <w:rFonts w:ascii="Times New Roman" w:hAnsi="Times New Roman" w:cs="Times New Roman"/>
          <w:sz w:val="24"/>
          <w:szCs w:val="24"/>
        </w:rPr>
        <w:t xml:space="preserve">(Supplementary </w:t>
      </w:r>
      <w:r w:rsidRPr="00713418">
        <w:rPr>
          <w:rFonts w:ascii="Times New Roman" w:hAnsi="Times New Roman" w:cs="Times New Roman"/>
          <w:b/>
          <w:sz w:val="24"/>
          <w:szCs w:val="24"/>
        </w:rPr>
        <w:t>Figure S</w:t>
      </w:r>
      <w:r>
        <w:rPr>
          <w:rFonts w:ascii="Times New Roman" w:hAnsi="Times New Roman" w:cs="Times New Roman"/>
          <w:b/>
          <w:sz w:val="24"/>
          <w:szCs w:val="24"/>
        </w:rPr>
        <w:t>6</w:t>
      </w:r>
      <w:r w:rsidRPr="00713418">
        <w:rPr>
          <w:rFonts w:ascii="Times New Roman" w:hAnsi="Times New Roman" w:cs="Times New Roman"/>
          <w:b/>
          <w:sz w:val="24"/>
          <w:szCs w:val="24"/>
        </w:rPr>
        <w:t>A</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whereas we evaluated only 3 dilutions for </w:t>
      </w:r>
      <w:r>
        <w:rPr>
          <w:rFonts w:ascii="Times New Roman" w:hAnsi="Times New Roman" w:cs="Times New Roman"/>
          <w:i/>
          <w:iCs/>
          <w:sz w:val="24"/>
          <w:szCs w:val="24"/>
        </w:rPr>
        <w:t>DDX58</w:t>
      </w:r>
      <w:r>
        <w:rPr>
          <w:rFonts w:ascii="Times New Roman" w:hAnsi="Times New Roman" w:cs="Times New Roman"/>
          <w:sz w:val="24"/>
          <w:szCs w:val="24"/>
        </w:rPr>
        <w:t xml:space="preserve"> (Supplementary </w:t>
      </w:r>
      <w:r w:rsidRPr="00713418">
        <w:rPr>
          <w:rFonts w:ascii="Times New Roman" w:hAnsi="Times New Roman" w:cs="Times New Roman"/>
          <w:b/>
          <w:sz w:val="24"/>
          <w:szCs w:val="24"/>
        </w:rPr>
        <w:t>Figure S</w:t>
      </w:r>
      <w:r>
        <w:rPr>
          <w:rFonts w:ascii="Times New Roman" w:hAnsi="Times New Roman" w:cs="Times New Roman"/>
          <w:b/>
          <w:sz w:val="24"/>
          <w:szCs w:val="24"/>
        </w:rPr>
        <w:t>6B</w:t>
      </w:r>
      <w:r>
        <w:rPr>
          <w:rFonts w:ascii="Times New Roman" w:hAnsi="Times New Roman" w:cs="Times New Roman"/>
          <w:sz w:val="24"/>
          <w:szCs w:val="24"/>
        </w:rPr>
        <w:t xml:space="preserve">) because the lower expression level of </w:t>
      </w:r>
      <w:r>
        <w:rPr>
          <w:rFonts w:ascii="Times New Roman" w:hAnsi="Times New Roman" w:cs="Times New Roman"/>
          <w:i/>
          <w:iCs/>
          <w:sz w:val="24"/>
          <w:szCs w:val="24"/>
        </w:rPr>
        <w:t>DDX58</w:t>
      </w:r>
      <w:r>
        <w:rPr>
          <w:rFonts w:ascii="Times New Roman" w:hAnsi="Times New Roman" w:cs="Times New Roman"/>
          <w:i/>
          <w:sz w:val="24"/>
          <w:szCs w:val="24"/>
        </w:rPr>
        <w:t xml:space="preserve"> </w:t>
      </w:r>
      <w:r>
        <w:rPr>
          <w:rFonts w:ascii="Times New Roman" w:hAnsi="Times New Roman" w:cs="Times New Roman"/>
          <w:sz w:val="24"/>
          <w:szCs w:val="24"/>
        </w:rPr>
        <w:t xml:space="preserve">led to less than 1 copy of template at the lowest dilution. The measurement of both </w:t>
      </w:r>
      <w:r>
        <w:rPr>
          <w:rFonts w:ascii="Times New Roman" w:hAnsi="Times New Roman" w:cs="Times New Roman"/>
          <w:i/>
          <w:iCs/>
          <w:sz w:val="24"/>
          <w:szCs w:val="24"/>
        </w:rPr>
        <w:t>DDX58</w:t>
      </w:r>
      <w:r>
        <w:rPr>
          <w:rFonts w:ascii="Times New Roman" w:hAnsi="Times New Roman" w:cs="Times New Roman"/>
          <w:sz w:val="24"/>
          <w:szCs w:val="24"/>
        </w:rPr>
        <w:t xml:space="preserve"> and </w:t>
      </w:r>
      <w:r>
        <w:rPr>
          <w:rFonts w:ascii="Times New Roman" w:hAnsi="Times New Roman" w:cs="Times New Roman"/>
          <w:i/>
          <w:iCs/>
          <w:sz w:val="24"/>
          <w:szCs w:val="24"/>
        </w:rPr>
        <w:t>IFNB1</w:t>
      </w:r>
      <w:r>
        <w:rPr>
          <w:rFonts w:ascii="Times New Roman" w:hAnsi="Times New Roman" w:cs="Times New Roman"/>
          <w:sz w:val="24"/>
          <w:szCs w:val="24"/>
        </w:rPr>
        <w:t xml:space="preserve"> transcripts by this hemi-nested PCR method showed similar precision when compared to the single </w:t>
      </w:r>
      <w:r>
        <w:rPr>
          <w:rFonts w:ascii="Times New Roman" w:hAnsi="Times New Roman" w:cs="Times New Roman"/>
          <w:i/>
          <w:iCs/>
          <w:sz w:val="24"/>
          <w:szCs w:val="24"/>
        </w:rPr>
        <w:t>IFNB1</w:t>
      </w:r>
      <w:r>
        <w:rPr>
          <w:rFonts w:ascii="Times New Roman" w:hAnsi="Times New Roman" w:cs="Times New Roman"/>
          <w:i/>
          <w:sz w:val="24"/>
          <w:szCs w:val="24"/>
        </w:rPr>
        <w:t xml:space="preserve"> </w:t>
      </w:r>
      <w:r>
        <w:rPr>
          <w:rFonts w:ascii="Times New Roman" w:hAnsi="Times New Roman" w:cs="Times New Roman"/>
          <w:sz w:val="24"/>
          <w:szCs w:val="24"/>
        </w:rPr>
        <w:t xml:space="preserve">gene using the genomic DNA standards (Supplementary </w:t>
      </w:r>
      <w:r w:rsidRPr="00713418">
        <w:rPr>
          <w:rFonts w:ascii="Times New Roman" w:hAnsi="Times New Roman" w:cs="Times New Roman"/>
          <w:b/>
          <w:sz w:val="24"/>
          <w:szCs w:val="24"/>
        </w:rPr>
        <w:t>Figure S</w:t>
      </w:r>
      <w:r>
        <w:rPr>
          <w:rFonts w:ascii="Times New Roman" w:hAnsi="Times New Roman" w:cs="Times New Roman"/>
          <w:b/>
          <w:sz w:val="24"/>
          <w:szCs w:val="24"/>
        </w:rPr>
        <w:t>5</w:t>
      </w:r>
      <w:r w:rsidRPr="00713418">
        <w:rPr>
          <w:rFonts w:ascii="Times New Roman" w:hAnsi="Times New Roman" w:cs="Times New Roman"/>
          <w:b/>
          <w:sz w:val="24"/>
          <w:szCs w:val="24"/>
        </w:rPr>
        <w:t>A</w:t>
      </w:r>
      <w:r>
        <w:rPr>
          <w:rFonts w:ascii="Times New Roman" w:hAnsi="Times New Roman" w:cs="Times New Roman"/>
          <w:sz w:val="24"/>
          <w:szCs w:val="24"/>
        </w:rPr>
        <w:t xml:space="preserve">). </w:t>
      </w:r>
    </w:p>
    <w:p w:rsidR="002C7D0E" w:rsidRDefault="002C7D0E" w:rsidP="002C7D0E">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2C7D0E" w:rsidRPr="005C003C" w:rsidRDefault="002C7D0E" w:rsidP="002C7D0E">
      <w:pPr>
        <w:pStyle w:val="Heading2"/>
        <w:numPr>
          <w:ilvl w:val="0"/>
          <w:numId w:val="0"/>
        </w:numPr>
        <w:spacing w:line="240" w:lineRule="auto"/>
        <w:rPr>
          <w:i w:val="0"/>
          <w:iCs w:val="0"/>
        </w:rPr>
      </w:pPr>
      <w:r>
        <w:rPr>
          <w:i w:val="0"/>
          <w:iCs w:val="0"/>
        </w:rPr>
        <w:lastRenderedPageBreak/>
        <w:t xml:space="preserve">Table of </w:t>
      </w:r>
      <w:r w:rsidRPr="005C003C">
        <w:rPr>
          <w:i w:val="0"/>
          <w:iCs w:val="0"/>
        </w:rPr>
        <w:t>PCR primers and oligonucleotides for the real time PCR</w:t>
      </w:r>
    </w:p>
    <w:tbl>
      <w:tblPr>
        <w:tblW w:w="0" w:type="auto"/>
        <w:tblInd w:w="-5" w:type="dxa"/>
        <w:tblLayout w:type="fixed"/>
        <w:tblLook w:val="0000"/>
      </w:tblPr>
      <w:tblGrid>
        <w:gridCol w:w="1733"/>
        <w:gridCol w:w="7570"/>
      </w:tblGrid>
      <w:tr w:rsidR="002C7D0E" w:rsidTr="00D62BFA">
        <w:tc>
          <w:tcPr>
            <w:tcW w:w="9298" w:type="dxa"/>
            <w:gridSpan w:val="2"/>
            <w:tcBorders>
              <w:top w:val="single" w:sz="4" w:space="0" w:color="000000"/>
              <w:left w:val="single" w:sz="4" w:space="0" w:color="000000"/>
              <w:bottom w:val="single" w:sz="4" w:space="0" w:color="000000"/>
              <w:right w:val="single" w:sz="4" w:space="0" w:color="000000"/>
            </w:tcBorders>
          </w:tcPr>
          <w:p w:rsidR="002C7D0E" w:rsidRDefault="002C7D0E" w:rsidP="00D62BFA">
            <w:pPr>
              <w:suppressAutoHyphens w:val="0"/>
              <w:snapToGrid w:val="0"/>
              <w:spacing w:after="0" w:line="240" w:lineRule="auto"/>
              <w:ind w:firstLine="0"/>
              <w:jc w:val="both"/>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 xml:space="preserve">PCR primers for human total RNA real time RT-PCR assays </w:t>
            </w:r>
          </w:p>
        </w:tc>
      </w:tr>
      <w:tr w:rsidR="002C7D0E" w:rsidTr="00D62BFA">
        <w:tc>
          <w:tcPr>
            <w:tcW w:w="1728" w:type="dxa"/>
            <w:tcBorders>
              <w:top w:val="single" w:sz="4" w:space="0" w:color="000000"/>
              <w:left w:val="single" w:sz="4" w:space="0" w:color="000000"/>
              <w:bottom w:val="single" w:sz="4" w:space="0" w:color="000000"/>
            </w:tcBorders>
          </w:tcPr>
          <w:p w:rsidR="002C7D0E" w:rsidRDefault="002C7D0E" w:rsidP="00D62BFA">
            <w:pPr>
              <w:suppressAutoHyphens w:val="0"/>
              <w:snapToGrid w:val="0"/>
              <w:spacing w:after="0" w:line="240" w:lineRule="auto"/>
              <w:ind w:firstLine="0"/>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IFNB1 R</w:t>
            </w:r>
          </w:p>
          <w:p w:rsidR="002C7D0E" w:rsidRDefault="002C7D0E" w:rsidP="00D62BFA">
            <w:pPr>
              <w:suppressAutoHyphens w:val="0"/>
              <w:spacing w:after="0" w:line="240" w:lineRule="auto"/>
              <w:ind w:firstLine="0"/>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IFNB1 F</w:t>
            </w:r>
          </w:p>
          <w:p w:rsidR="002C7D0E" w:rsidRDefault="002C7D0E" w:rsidP="00D62BFA">
            <w:pPr>
              <w:suppressAutoHyphens w:val="0"/>
              <w:spacing w:after="0" w:line="240" w:lineRule="auto"/>
              <w:ind w:firstLine="0"/>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DDX58 R</w:t>
            </w:r>
          </w:p>
          <w:p w:rsidR="002C7D0E" w:rsidRDefault="002C7D0E" w:rsidP="00D62BFA">
            <w:pPr>
              <w:suppressAutoHyphens w:val="0"/>
              <w:spacing w:after="0" w:line="240" w:lineRule="auto"/>
              <w:ind w:firstLine="0"/>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DDX58 F</w:t>
            </w:r>
          </w:p>
          <w:p w:rsidR="002C7D0E" w:rsidRDefault="002C7D0E" w:rsidP="00D62BFA">
            <w:pPr>
              <w:suppressAutoHyphens w:val="0"/>
              <w:spacing w:after="0" w:line="240" w:lineRule="auto"/>
              <w:ind w:firstLine="0"/>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ACTB R</w:t>
            </w:r>
          </w:p>
          <w:p w:rsidR="002C7D0E" w:rsidRDefault="002C7D0E" w:rsidP="00D62BFA">
            <w:pPr>
              <w:suppressAutoHyphens w:val="0"/>
              <w:spacing w:after="0" w:line="240" w:lineRule="auto"/>
              <w:ind w:firstLine="0"/>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ACTB F</w:t>
            </w:r>
          </w:p>
        </w:tc>
        <w:tc>
          <w:tcPr>
            <w:tcW w:w="7570" w:type="dxa"/>
            <w:tcBorders>
              <w:top w:val="single" w:sz="4" w:space="0" w:color="000000"/>
              <w:left w:val="single" w:sz="4" w:space="0" w:color="000000"/>
              <w:bottom w:val="single" w:sz="4" w:space="0" w:color="000000"/>
              <w:right w:val="single" w:sz="4" w:space="0" w:color="000000"/>
            </w:tcBorders>
          </w:tcPr>
          <w:p w:rsidR="002C7D0E" w:rsidRDefault="002C7D0E" w:rsidP="00D62BFA">
            <w:pPr>
              <w:suppressAutoHyphens w:val="0"/>
              <w:snapToGrid w:val="0"/>
              <w:spacing w:after="0" w:line="240" w:lineRule="auto"/>
              <w:ind w:firstLine="0"/>
              <w:jc w:val="both"/>
              <w:rPr>
                <w:rFonts w:ascii="Times New Roman" w:hAnsi="Times New Roman" w:cs="Times New Roman"/>
                <w:color w:val="000000"/>
                <w:szCs w:val="24"/>
                <w:lang w:eastAsia="ar-SA" w:bidi="ar-SA"/>
              </w:rPr>
            </w:pPr>
            <w:r>
              <w:rPr>
                <w:rFonts w:ascii="Times New Roman" w:hAnsi="Times New Roman" w:cs="Times New Roman"/>
                <w:color w:val="000000"/>
                <w:szCs w:val="24"/>
                <w:lang w:eastAsia="ar-SA" w:bidi="ar-SA"/>
              </w:rPr>
              <w:t>TTCTTCCAGGACTGTCTTCAGATGGTT</w:t>
            </w:r>
          </w:p>
          <w:p w:rsidR="002C7D0E" w:rsidRDefault="002C7D0E" w:rsidP="00D62BFA">
            <w:pPr>
              <w:suppressAutoHyphens w:val="0"/>
              <w:snapToGrid w:val="0"/>
              <w:spacing w:after="0" w:line="240" w:lineRule="auto"/>
              <w:ind w:firstLine="0"/>
              <w:jc w:val="both"/>
              <w:rPr>
                <w:rFonts w:ascii="Times New Roman" w:hAnsi="Times New Roman" w:cs="Times New Roman"/>
                <w:szCs w:val="24"/>
                <w:lang w:eastAsia="ar-SA" w:bidi="ar-SA"/>
              </w:rPr>
            </w:pPr>
            <w:r>
              <w:rPr>
                <w:rFonts w:ascii="Times New Roman" w:hAnsi="Times New Roman" w:cs="Times New Roman"/>
                <w:szCs w:val="24"/>
                <w:lang w:eastAsia="ar-SA" w:bidi="ar-SA"/>
              </w:rPr>
              <w:t xml:space="preserve">CACTGGCTGGAATGAGACTATT </w:t>
            </w:r>
          </w:p>
          <w:p w:rsidR="002C7D0E" w:rsidRDefault="002C7D0E" w:rsidP="00D62BFA">
            <w:pPr>
              <w:suppressAutoHyphens w:val="0"/>
              <w:spacing w:after="0" w:line="240" w:lineRule="auto"/>
              <w:ind w:firstLine="0"/>
              <w:jc w:val="both"/>
              <w:rPr>
                <w:rFonts w:ascii="Times New Roman" w:eastAsia="SimSun" w:hAnsi="Times New Roman" w:cs="Times New Roman"/>
                <w:color w:val="000000"/>
                <w:szCs w:val="54"/>
                <w:lang w:eastAsia="ar-SA" w:bidi="ar-SA"/>
              </w:rPr>
            </w:pPr>
            <w:r>
              <w:rPr>
                <w:rFonts w:ascii="Times New Roman" w:eastAsia="SimSun" w:hAnsi="Times New Roman" w:cs="Times New Roman"/>
                <w:color w:val="000000"/>
                <w:szCs w:val="54"/>
                <w:lang w:eastAsia="ar-SA" w:bidi="ar-SA"/>
              </w:rPr>
              <w:t xml:space="preserve">GAAGCACTTGCTACCTCTTGC </w:t>
            </w:r>
          </w:p>
          <w:p w:rsidR="002C7D0E" w:rsidRDefault="002C7D0E" w:rsidP="00D62BFA">
            <w:pPr>
              <w:suppressAutoHyphens w:val="0"/>
              <w:spacing w:after="0" w:line="240" w:lineRule="auto"/>
              <w:ind w:firstLine="0"/>
              <w:jc w:val="both"/>
              <w:rPr>
                <w:rFonts w:ascii="Times New Roman" w:eastAsia="SimSun" w:hAnsi="Times New Roman" w:cs="Times New Roman"/>
                <w:color w:val="000000"/>
                <w:szCs w:val="54"/>
                <w:lang w:eastAsia="ar-SA" w:bidi="ar-SA"/>
              </w:rPr>
            </w:pPr>
            <w:r>
              <w:rPr>
                <w:rFonts w:ascii="Times New Roman" w:eastAsia="SimSun" w:hAnsi="Times New Roman" w:cs="Times New Roman"/>
                <w:color w:val="000000"/>
                <w:szCs w:val="54"/>
                <w:lang w:eastAsia="ar-SA" w:bidi="ar-SA"/>
              </w:rPr>
              <w:t>ATGTGGGCAATGTCATCAAA</w:t>
            </w:r>
          </w:p>
          <w:p w:rsidR="002C7D0E" w:rsidRDefault="002C7D0E" w:rsidP="00D62BFA">
            <w:pPr>
              <w:suppressAutoHyphens w:val="0"/>
              <w:spacing w:after="0" w:line="240" w:lineRule="auto"/>
              <w:ind w:firstLine="0"/>
              <w:jc w:val="both"/>
              <w:rPr>
                <w:rFonts w:ascii="Times New Roman" w:eastAsia="SimSun" w:hAnsi="Times New Roman" w:cs="Times New Roman"/>
                <w:lang w:eastAsia="ar-SA" w:bidi="ar-SA"/>
              </w:rPr>
            </w:pPr>
            <w:r>
              <w:rPr>
                <w:rFonts w:ascii="Times New Roman" w:eastAsia="SimSun" w:hAnsi="Times New Roman" w:cs="Times New Roman"/>
                <w:lang w:eastAsia="ar-SA" w:bidi="ar-SA"/>
              </w:rPr>
              <w:t>GTGGACTTGGGAGAGGACTG</w:t>
            </w:r>
          </w:p>
          <w:p w:rsidR="002C7D0E" w:rsidRDefault="002C7D0E" w:rsidP="00D62BFA">
            <w:pPr>
              <w:suppressAutoHyphens w:val="0"/>
              <w:spacing w:after="0" w:line="240" w:lineRule="auto"/>
              <w:ind w:firstLine="0"/>
              <w:jc w:val="both"/>
              <w:rPr>
                <w:rFonts w:ascii="Times New Roman" w:eastAsia="SimSun" w:hAnsi="Times New Roman" w:cs="Times New Roman"/>
                <w:lang w:eastAsia="ar-SA" w:bidi="ar-SA"/>
              </w:rPr>
            </w:pPr>
            <w:r>
              <w:rPr>
                <w:rFonts w:ascii="Times New Roman" w:eastAsia="SimSun" w:hAnsi="Times New Roman" w:cs="Times New Roman"/>
                <w:lang w:eastAsia="ar-SA" w:bidi="ar-SA"/>
              </w:rPr>
              <w:t>ACTGGAACGGTGAAGGTGAC</w:t>
            </w:r>
          </w:p>
        </w:tc>
      </w:tr>
      <w:tr w:rsidR="002C7D0E" w:rsidTr="00D62BFA">
        <w:tc>
          <w:tcPr>
            <w:tcW w:w="9298" w:type="dxa"/>
            <w:gridSpan w:val="2"/>
            <w:tcBorders>
              <w:top w:val="single" w:sz="4" w:space="0" w:color="000000"/>
              <w:left w:val="single" w:sz="4" w:space="0" w:color="000000"/>
              <w:bottom w:val="single" w:sz="4" w:space="0" w:color="000000"/>
              <w:right w:val="single" w:sz="4" w:space="0" w:color="000000"/>
            </w:tcBorders>
          </w:tcPr>
          <w:p w:rsidR="002C7D0E" w:rsidRDefault="002C7D0E" w:rsidP="00D62BFA">
            <w:pPr>
              <w:suppressAutoHyphens w:val="0"/>
              <w:snapToGrid w:val="0"/>
              <w:spacing w:after="0" w:line="240" w:lineRule="auto"/>
              <w:ind w:firstLine="0"/>
              <w:jc w:val="both"/>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 xml:space="preserve">PCR primers and internal control oligonucleotides for single cell real time RT-PCR assays of human </w:t>
            </w:r>
            <w:r>
              <w:rPr>
                <w:rFonts w:ascii="Times New Roman" w:eastAsia="SimSun" w:hAnsi="Times New Roman" w:cs="Times New Roman"/>
                <w:i/>
                <w:szCs w:val="54"/>
                <w:lang w:eastAsia="ar-SA" w:bidi="ar-SA"/>
              </w:rPr>
              <w:t xml:space="preserve">IFNB1 </w:t>
            </w:r>
            <w:r>
              <w:rPr>
                <w:rFonts w:ascii="Times New Roman" w:eastAsia="SimSun" w:hAnsi="Times New Roman" w:cs="Times New Roman"/>
                <w:szCs w:val="54"/>
                <w:lang w:eastAsia="ar-SA" w:bidi="ar-SA"/>
              </w:rPr>
              <w:t xml:space="preserve">and </w:t>
            </w:r>
            <w:r>
              <w:rPr>
                <w:rFonts w:ascii="Times New Roman" w:eastAsia="SimSun" w:hAnsi="Times New Roman" w:cs="Times New Roman"/>
                <w:i/>
                <w:szCs w:val="54"/>
                <w:lang w:eastAsia="ar-SA" w:bidi="ar-SA"/>
              </w:rPr>
              <w:t>DDX58*</w:t>
            </w:r>
            <w:r>
              <w:rPr>
                <w:rFonts w:ascii="Times New Roman" w:eastAsia="SimSun" w:hAnsi="Times New Roman" w:cs="Times New Roman"/>
                <w:szCs w:val="54"/>
                <w:lang w:eastAsia="ar-SA" w:bidi="ar-SA"/>
              </w:rPr>
              <w:t xml:space="preserve"> </w:t>
            </w:r>
          </w:p>
        </w:tc>
      </w:tr>
      <w:tr w:rsidR="002C7D0E" w:rsidTr="00D62BFA">
        <w:tc>
          <w:tcPr>
            <w:tcW w:w="1733" w:type="dxa"/>
            <w:tcBorders>
              <w:top w:val="single" w:sz="4" w:space="0" w:color="000000"/>
              <w:left w:val="single" w:sz="4" w:space="0" w:color="000000"/>
              <w:bottom w:val="single" w:sz="4" w:space="0" w:color="000000"/>
            </w:tcBorders>
          </w:tcPr>
          <w:p w:rsidR="002C7D0E" w:rsidRDefault="002C7D0E" w:rsidP="00D62BFA">
            <w:pPr>
              <w:suppressAutoHyphens w:val="0"/>
              <w:snapToGrid w:val="0"/>
              <w:spacing w:before="0" w:after="0" w:line="240" w:lineRule="auto"/>
              <w:ind w:firstLine="0"/>
              <w:jc w:val="both"/>
              <w:rPr>
                <w:rFonts w:ascii="Times New Roman" w:eastAsia="SimSun" w:hAnsi="Times New Roman" w:cs="Times New Roman"/>
                <w:i/>
                <w:szCs w:val="54"/>
                <w:lang w:eastAsia="ar-SA" w:bidi="ar-SA"/>
              </w:rPr>
            </w:pPr>
          </w:p>
          <w:p w:rsidR="002C7D0E" w:rsidRDefault="002C7D0E" w:rsidP="00D62BFA">
            <w:pPr>
              <w:suppressAutoHyphens w:val="0"/>
              <w:snapToGrid w:val="0"/>
              <w:spacing w:before="0" w:after="0" w:line="240" w:lineRule="auto"/>
              <w:ind w:firstLine="0"/>
              <w:jc w:val="both"/>
              <w:rPr>
                <w:rFonts w:ascii="Times New Roman" w:eastAsia="SimSun" w:hAnsi="Times New Roman" w:cs="Times New Roman"/>
                <w:szCs w:val="54"/>
                <w:lang w:eastAsia="ar-SA" w:bidi="ar-SA"/>
              </w:rPr>
            </w:pPr>
            <w:r>
              <w:rPr>
                <w:rFonts w:ascii="Times New Roman" w:eastAsia="SimSun" w:hAnsi="Times New Roman" w:cs="Times New Roman"/>
                <w:i/>
                <w:szCs w:val="54"/>
                <w:lang w:eastAsia="ar-SA" w:bidi="ar-SA"/>
              </w:rPr>
              <w:t xml:space="preserve">IFNB1  </w:t>
            </w:r>
            <w:r>
              <w:rPr>
                <w:rFonts w:ascii="Times New Roman" w:eastAsia="SimSun" w:hAnsi="Times New Roman" w:cs="Times New Roman"/>
                <w:szCs w:val="54"/>
                <w:lang w:eastAsia="ar-SA" w:bidi="ar-SA"/>
              </w:rPr>
              <w:t>MF**</w:t>
            </w:r>
          </w:p>
          <w:p w:rsidR="002C7D0E" w:rsidRDefault="002C7D0E" w:rsidP="00D62BFA">
            <w:pPr>
              <w:suppressAutoHyphens w:val="0"/>
              <w:spacing w:before="0" w:after="0" w:line="240" w:lineRule="auto"/>
              <w:ind w:firstLine="0"/>
              <w:jc w:val="both"/>
              <w:rPr>
                <w:rFonts w:ascii="Times New Roman" w:eastAsia="SimSun" w:hAnsi="Times New Roman" w:cs="Times New Roman"/>
                <w:i/>
                <w:szCs w:val="54"/>
                <w:lang w:eastAsia="ar-SA" w:bidi="ar-SA"/>
              </w:rPr>
            </w:pPr>
          </w:p>
          <w:p w:rsidR="002C7D0E" w:rsidRDefault="002C7D0E" w:rsidP="00D62BFA">
            <w:pPr>
              <w:suppressAutoHyphens w:val="0"/>
              <w:spacing w:before="0" w:after="0" w:line="240" w:lineRule="auto"/>
              <w:ind w:firstLine="0"/>
              <w:jc w:val="both"/>
              <w:rPr>
                <w:rFonts w:ascii="Times New Roman" w:eastAsia="SimSun" w:hAnsi="Times New Roman" w:cs="Times New Roman"/>
                <w:i/>
                <w:szCs w:val="54"/>
                <w:lang w:eastAsia="ar-SA" w:bidi="ar-SA"/>
              </w:rPr>
            </w:pPr>
            <w:r>
              <w:rPr>
                <w:rFonts w:ascii="Times New Roman" w:eastAsia="SimSun" w:hAnsi="Times New Roman" w:cs="Times New Roman"/>
                <w:i/>
                <w:szCs w:val="54"/>
                <w:lang w:eastAsia="ar-SA" w:bidi="ar-SA"/>
              </w:rPr>
              <w:t xml:space="preserve">IFNB1 </w:t>
            </w:r>
            <w:r>
              <w:rPr>
                <w:rFonts w:ascii="Times New Roman" w:eastAsia="SimSun" w:hAnsi="Times New Roman" w:cs="Times New Roman"/>
                <w:szCs w:val="54"/>
                <w:lang w:eastAsia="ar-SA" w:bidi="ar-SA"/>
              </w:rPr>
              <w:t>OF</w:t>
            </w:r>
            <w:r>
              <w:rPr>
                <w:rFonts w:ascii="Times New Roman" w:eastAsia="SimSun" w:hAnsi="Times New Roman" w:cs="Times New Roman"/>
                <w:i/>
                <w:szCs w:val="54"/>
                <w:lang w:eastAsia="ar-SA" w:bidi="ar-SA"/>
              </w:rPr>
              <w:t>**</w:t>
            </w:r>
          </w:p>
          <w:p w:rsidR="002C7D0E" w:rsidRDefault="002C7D0E" w:rsidP="00D62BFA">
            <w:pPr>
              <w:suppressAutoHyphens w:val="0"/>
              <w:spacing w:before="0" w:after="0" w:line="240" w:lineRule="auto"/>
              <w:ind w:firstLine="0"/>
              <w:jc w:val="both"/>
              <w:rPr>
                <w:rFonts w:ascii="Times New Roman" w:eastAsia="SimSun" w:hAnsi="Times New Roman" w:cs="Times New Roman"/>
                <w:i/>
                <w:szCs w:val="54"/>
                <w:lang w:eastAsia="ar-SA" w:bidi="ar-SA"/>
              </w:rPr>
            </w:pPr>
          </w:p>
          <w:p w:rsidR="002C7D0E" w:rsidRDefault="002C7D0E" w:rsidP="00D62BFA">
            <w:pPr>
              <w:suppressAutoHyphens w:val="0"/>
              <w:spacing w:before="0" w:after="0" w:line="240" w:lineRule="auto"/>
              <w:ind w:firstLine="0"/>
              <w:jc w:val="both"/>
              <w:rPr>
                <w:rFonts w:ascii="Times New Roman" w:eastAsia="SimSun" w:hAnsi="Times New Roman" w:cs="Times New Roman"/>
                <w:szCs w:val="54"/>
                <w:lang w:eastAsia="ar-SA" w:bidi="ar-SA"/>
              </w:rPr>
            </w:pPr>
            <w:r>
              <w:rPr>
                <w:rFonts w:ascii="Times New Roman" w:eastAsia="SimSun" w:hAnsi="Times New Roman" w:cs="Times New Roman"/>
                <w:i/>
                <w:szCs w:val="54"/>
                <w:lang w:eastAsia="ar-SA" w:bidi="ar-SA"/>
              </w:rPr>
              <w:t xml:space="preserve">IFNB1 </w:t>
            </w:r>
            <w:proofErr w:type="spellStart"/>
            <w:r>
              <w:rPr>
                <w:rFonts w:ascii="Times New Roman" w:eastAsia="SimSun" w:hAnsi="Times New Roman" w:cs="Times New Roman"/>
                <w:szCs w:val="54"/>
                <w:lang w:eastAsia="ar-SA" w:bidi="ar-SA"/>
              </w:rPr>
              <w:t>oligo</w:t>
            </w:r>
            <w:proofErr w:type="spellEnd"/>
            <w:r>
              <w:rPr>
                <w:rFonts w:ascii="Times New Roman" w:eastAsia="SimSun" w:hAnsi="Times New Roman" w:cs="Times New Roman"/>
                <w:szCs w:val="54"/>
                <w:lang w:eastAsia="ar-SA" w:bidi="ar-SA"/>
              </w:rPr>
              <w:t>-</w:t>
            </w:r>
          </w:p>
          <w:p w:rsidR="002C7D0E" w:rsidRDefault="002C7D0E" w:rsidP="00D62BFA">
            <w:pPr>
              <w:suppressAutoHyphens w:val="0"/>
              <w:spacing w:before="0" w:after="0" w:line="240" w:lineRule="auto"/>
              <w:ind w:firstLine="0"/>
              <w:jc w:val="both"/>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 xml:space="preserve">   nucleotide</w:t>
            </w:r>
          </w:p>
          <w:p w:rsidR="002C7D0E" w:rsidRDefault="002C7D0E" w:rsidP="00D62BFA">
            <w:pPr>
              <w:suppressAutoHyphens w:val="0"/>
              <w:spacing w:before="0" w:after="0" w:line="240" w:lineRule="auto"/>
              <w:ind w:firstLine="0"/>
              <w:jc w:val="both"/>
              <w:rPr>
                <w:rFonts w:ascii="Times New Roman" w:eastAsia="SimSun" w:hAnsi="Times New Roman" w:cs="Times New Roman"/>
                <w:i/>
                <w:szCs w:val="54"/>
                <w:lang w:eastAsia="ar-SA" w:bidi="ar-SA"/>
              </w:rPr>
            </w:pPr>
          </w:p>
          <w:p w:rsidR="002C7D0E" w:rsidRDefault="002C7D0E" w:rsidP="00D62BFA">
            <w:pPr>
              <w:suppressAutoHyphens w:val="0"/>
              <w:spacing w:before="0" w:after="0" w:line="240" w:lineRule="auto"/>
              <w:ind w:firstLine="0"/>
              <w:jc w:val="both"/>
              <w:rPr>
                <w:rFonts w:ascii="Times New Roman" w:eastAsia="SimSun" w:hAnsi="Times New Roman" w:cs="Times New Roman"/>
                <w:i/>
                <w:szCs w:val="54"/>
                <w:lang w:eastAsia="ar-SA" w:bidi="ar-SA"/>
              </w:rPr>
            </w:pPr>
          </w:p>
          <w:p w:rsidR="002C7D0E" w:rsidRDefault="002C7D0E" w:rsidP="00D62BFA">
            <w:pPr>
              <w:suppressAutoHyphens w:val="0"/>
              <w:spacing w:before="0" w:after="0" w:line="240" w:lineRule="auto"/>
              <w:ind w:firstLine="0"/>
              <w:jc w:val="both"/>
              <w:rPr>
                <w:rFonts w:ascii="Times New Roman" w:eastAsia="SimSun" w:hAnsi="Times New Roman" w:cs="Times New Roman"/>
                <w:szCs w:val="54"/>
                <w:lang w:eastAsia="ar-SA" w:bidi="ar-SA"/>
              </w:rPr>
            </w:pPr>
            <w:r>
              <w:rPr>
                <w:rFonts w:ascii="Times New Roman" w:eastAsia="SimSun" w:hAnsi="Times New Roman" w:cs="Times New Roman"/>
                <w:i/>
                <w:szCs w:val="54"/>
                <w:lang w:eastAsia="ar-SA" w:bidi="ar-SA"/>
              </w:rPr>
              <w:t>DDX58</w:t>
            </w:r>
            <w:r>
              <w:rPr>
                <w:rFonts w:ascii="Times New Roman" w:eastAsia="SimSun" w:hAnsi="Times New Roman" w:cs="Times New Roman"/>
                <w:szCs w:val="54"/>
                <w:lang w:eastAsia="ar-SA" w:bidi="ar-SA"/>
              </w:rPr>
              <w:t xml:space="preserve"> MF**</w:t>
            </w:r>
          </w:p>
          <w:p w:rsidR="002C7D0E" w:rsidRDefault="002C7D0E" w:rsidP="00D62BFA">
            <w:pPr>
              <w:suppressAutoHyphens w:val="0"/>
              <w:spacing w:before="0" w:after="0" w:line="240" w:lineRule="auto"/>
              <w:ind w:firstLine="0"/>
              <w:jc w:val="both"/>
              <w:rPr>
                <w:rFonts w:ascii="Times New Roman" w:eastAsia="SimSun" w:hAnsi="Times New Roman" w:cs="Times New Roman"/>
                <w:i/>
                <w:szCs w:val="54"/>
                <w:lang w:eastAsia="ar-SA" w:bidi="ar-SA"/>
              </w:rPr>
            </w:pPr>
          </w:p>
          <w:p w:rsidR="002C7D0E" w:rsidRDefault="002C7D0E" w:rsidP="00D62BFA">
            <w:pPr>
              <w:suppressAutoHyphens w:val="0"/>
              <w:spacing w:before="0" w:after="0" w:line="240" w:lineRule="auto"/>
              <w:ind w:firstLine="0"/>
              <w:jc w:val="both"/>
              <w:rPr>
                <w:rFonts w:ascii="Times New Roman" w:eastAsia="SimSun" w:hAnsi="Times New Roman" w:cs="Times New Roman"/>
                <w:i/>
                <w:szCs w:val="54"/>
                <w:lang w:eastAsia="ar-SA" w:bidi="ar-SA"/>
              </w:rPr>
            </w:pPr>
            <w:r>
              <w:rPr>
                <w:rFonts w:ascii="Times New Roman" w:eastAsia="SimSun" w:hAnsi="Times New Roman" w:cs="Times New Roman"/>
                <w:i/>
                <w:szCs w:val="54"/>
                <w:lang w:eastAsia="ar-SA" w:bidi="ar-SA"/>
              </w:rPr>
              <w:t xml:space="preserve">DDX58 </w:t>
            </w:r>
            <w:r>
              <w:rPr>
                <w:rFonts w:ascii="Times New Roman" w:eastAsia="SimSun" w:hAnsi="Times New Roman" w:cs="Times New Roman"/>
                <w:szCs w:val="54"/>
                <w:lang w:eastAsia="ar-SA" w:bidi="ar-SA"/>
              </w:rPr>
              <w:t>OF</w:t>
            </w:r>
            <w:r>
              <w:rPr>
                <w:rFonts w:ascii="Times New Roman" w:eastAsia="SimSun" w:hAnsi="Times New Roman" w:cs="Times New Roman"/>
                <w:i/>
                <w:szCs w:val="54"/>
                <w:lang w:eastAsia="ar-SA" w:bidi="ar-SA"/>
              </w:rPr>
              <w:t>**</w:t>
            </w:r>
          </w:p>
          <w:p w:rsidR="002C7D0E" w:rsidRDefault="002C7D0E" w:rsidP="00D62BFA">
            <w:pPr>
              <w:suppressAutoHyphens w:val="0"/>
              <w:spacing w:before="0" w:after="0" w:line="240" w:lineRule="auto"/>
              <w:ind w:firstLine="0"/>
              <w:jc w:val="both"/>
              <w:rPr>
                <w:rFonts w:ascii="Times New Roman" w:eastAsia="SimSun" w:hAnsi="Times New Roman" w:cs="Times New Roman"/>
                <w:i/>
                <w:szCs w:val="54"/>
                <w:lang w:eastAsia="ar-SA" w:bidi="ar-SA"/>
              </w:rPr>
            </w:pPr>
          </w:p>
          <w:p w:rsidR="002C7D0E" w:rsidRDefault="002C7D0E" w:rsidP="00D62BFA">
            <w:pPr>
              <w:suppressAutoHyphens w:val="0"/>
              <w:spacing w:before="0" w:after="0" w:line="240" w:lineRule="auto"/>
              <w:ind w:firstLine="0"/>
              <w:jc w:val="both"/>
              <w:rPr>
                <w:rFonts w:ascii="Times New Roman" w:eastAsia="SimSun" w:hAnsi="Times New Roman" w:cs="Times New Roman"/>
                <w:szCs w:val="54"/>
                <w:lang w:eastAsia="ar-SA" w:bidi="ar-SA"/>
              </w:rPr>
            </w:pPr>
            <w:r>
              <w:rPr>
                <w:rFonts w:ascii="Times New Roman" w:eastAsia="SimSun" w:hAnsi="Times New Roman" w:cs="Times New Roman"/>
                <w:i/>
                <w:szCs w:val="54"/>
                <w:lang w:eastAsia="ar-SA" w:bidi="ar-SA"/>
              </w:rPr>
              <w:t>DDX58</w:t>
            </w:r>
            <w:r>
              <w:rPr>
                <w:rFonts w:ascii="Times New Roman" w:eastAsia="SimSun" w:hAnsi="Times New Roman" w:cs="Times New Roman"/>
                <w:szCs w:val="54"/>
                <w:lang w:eastAsia="ar-SA" w:bidi="ar-SA"/>
              </w:rPr>
              <w:t xml:space="preserve"> </w:t>
            </w:r>
            <w:proofErr w:type="spellStart"/>
            <w:r>
              <w:rPr>
                <w:rFonts w:ascii="Times New Roman" w:eastAsia="SimSun" w:hAnsi="Times New Roman" w:cs="Times New Roman"/>
                <w:szCs w:val="54"/>
                <w:lang w:eastAsia="ar-SA" w:bidi="ar-SA"/>
              </w:rPr>
              <w:t>oligo</w:t>
            </w:r>
            <w:proofErr w:type="spellEnd"/>
            <w:r>
              <w:rPr>
                <w:rFonts w:ascii="Times New Roman" w:eastAsia="SimSun" w:hAnsi="Times New Roman" w:cs="Times New Roman"/>
                <w:szCs w:val="54"/>
                <w:lang w:eastAsia="ar-SA" w:bidi="ar-SA"/>
              </w:rPr>
              <w:t>-</w:t>
            </w:r>
          </w:p>
          <w:p w:rsidR="002C7D0E" w:rsidRDefault="002C7D0E" w:rsidP="00D62BFA">
            <w:pPr>
              <w:suppressAutoHyphens w:val="0"/>
              <w:spacing w:before="0" w:after="0" w:line="240" w:lineRule="auto"/>
              <w:ind w:firstLine="0"/>
              <w:jc w:val="both"/>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 xml:space="preserve">   nucleotide</w:t>
            </w:r>
          </w:p>
        </w:tc>
        <w:tc>
          <w:tcPr>
            <w:tcW w:w="7565" w:type="dxa"/>
            <w:tcBorders>
              <w:top w:val="single" w:sz="4" w:space="0" w:color="000000"/>
              <w:left w:val="single" w:sz="4" w:space="0" w:color="000000"/>
              <w:bottom w:val="single" w:sz="4" w:space="0" w:color="000000"/>
              <w:right w:val="single" w:sz="4" w:space="0" w:color="000000"/>
            </w:tcBorders>
          </w:tcPr>
          <w:p w:rsidR="002C7D0E" w:rsidRDefault="002C7D0E" w:rsidP="002C7D0E">
            <w:pPr>
              <w:suppressAutoHyphens w:val="0"/>
              <w:snapToGrid w:val="0"/>
              <w:spacing w:before="0" w:after="0" w:line="240" w:lineRule="auto"/>
              <w:ind w:firstLine="0"/>
              <w:jc w:val="both"/>
              <w:rPr>
                <w:rFonts w:ascii="Times New Roman" w:eastAsia="SimSun" w:hAnsi="Times New Roman" w:cs="Times New Roman"/>
                <w:szCs w:val="54"/>
                <w:lang w:eastAsia="ar-SA" w:bidi="ar-SA"/>
              </w:rPr>
            </w:pPr>
          </w:p>
          <w:p w:rsidR="002C7D0E" w:rsidRDefault="002C7D0E" w:rsidP="002C7D0E">
            <w:pPr>
              <w:suppressAutoHyphens w:val="0"/>
              <w:snapToGrid w:val="0"/>
              <w:spacing w:before="0" w:after="0" w:line="240" w:lineRule="auto"/>
              <w:ind w:firstLine="0"/>
              <w:jc w:val="both"/>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ATCCCGTTGATCTCCAGGGAA</w:t>
            </w:r>
          </w:p>
          <w:p w:rsidR="002C7D0E" w:rsidRDefault="002C7D0E" w:rsidP="002C7D0E">
            <w:pPr>
              <w:suppressAutoHyphens w:val="0"/>
              <w:spacing w:before="0" w:after="0" w:line="240" w:lineRule="auto"/>
              <w:ind w:firstLine="0"/>
              <w:jc w:val="both"/>
              <w:rPr>
                <w:rFonts w:ascii="Times New Roman" w:eastAsia="SimSun" w:hAnsi="Times New Roman" w:cs="Times New Roman"/>
                <w:szCs w:val="54"/>
                <w:lang w:eastAsia="ar-SA" w:bidi="ar-SA"/>
              </w:rPr>
            </w:pPr>
          </w:p>
          <w:p w:rsidR="002C7D0E" w:rsidRDefault="002C7D0E" w:rsidP="002C7D0E">
            <w:pPr>
              <w:suppressAutoHyphens w:val="0"/>
              <w:spacing w:before="0" w:after="0" w:line="240" w:lineRule="auto"/>
              <w:ind w:firstLine="0"/>
              <w:jc w:val="both"/>
              <w:rPr>
                <w:rFonts w:ascii="Times New Roman" w:eastAsia="SimSun" w:hAnsi="Times New Roman" w:cs="Times New Roman"/>
                <w:szCs w:val="54"/>
                <w:lang w:eastAsia="ar-SA" w:bidi="ar-SA"/>
              </w:rPr>
            </w:pPr>
            <w:r>
              <w:rPr>
                <w:rFonts w:ascii="Times New Roman" w:eastAsia="SimSun" w:hAnsi="Times New Roman" w:cs="Times New Roman"/>
                <w:szCs w:val="54"/>
                <w:lang w:eastAsia="ar-SA" w:bidi="ar-SA"/>
              </w:rPr>
              <w:t>ATCCCGTTGATCTCCAGGGTT</w:t>
            </w:r>
          </w:p>
          <w:p w:rsidR="002C7D0E" w:rsidRDefault="002C7D0E" w:rsidP="002C7D0E">
            <w:pPr>
              <w:suppressAutoHyphens w:val="0"/>
              <w:spacing w:before="0" w:after="0" w:line="240" w:lineRule="auto"/>
              <w:ind w:firstLine="0"/>
              <w:jc w:val="both"/>
              <w:rPr>
                <w:rFonts w:ascii="Times New Roman" w:eastAsia="SimSun" w:hAnsi="Times New Roman" w:cs="Times New Roman"/>
                <w:color w:val="000000"/>
                <w:szCs w:val="54"/>
                <w:lang w:eastAsia="ar-SA" w:bidi="ar-SA"/>
              </w:rPr>
            </w:pPr>
          </w:p>
          <w:p w:rsidR="002C7D0E" w:rsidRDefault="002C7D0E" w:rsidP="002C7D0E">
            <w:pPr>
              <w:suppressAutoHyphens w:val="0"/>
              <w:spacing w:before="0" w:after="0" w:line="240" w:lineRule="auto"/>
              <w:ind w:firstLine="0"/>
              <w:jc w:val="both"/>
              <w:rPr>
                <w:rFonts w:ascii="Times New Roman" w:eastAsia="SimSun" w:hAnsi="Times New Roman" w:cs="Times New Roman"/>
                <w:color w:val="000000"/>
                <w:szCs w:val="54"/>
                <w:lang w:eastAsia="ar-SA" w:bidi="ar-SA"/>
              </w:rPr>
            </w:pPr>
            <w:r>
              <w:rPr>
                <w:rFonts w:ascii="Times New Roman" w:eastAsia="SimSun" w:hAnsi="Times New Roman" w:cs="Times New Roman"/>
                <w:color w:val="000000"/>
                <w:szCs w:val="54"/>
                <w:lang w:eastAsia="ar-SA" w:bidi="ar-SA"/>
              </w:rPr>
              <w:t>AAAGATTCATCTAGCACTGGCTGGAATGAGACTATTGTTGAG</w:t>
            </w:r>
            <w:r>
              <w:rPr>
                <w:rFonts w:ascii="Times New Roman" w:eastAsia="SimSun" w:hAnsi="Times New Roman" w:cs="Times New Roman"/>
                <w:b/>
                <w:i/>
                <w:color w:val="000000"/>
                <w:szCs w:val="54"/>
                <w:lang w:eastAsia="ar-SA" w:bidi="ar-SA"/>
              </w:rPr>
              <w:t>TT</w:t>
            </w:r>
            <w:r>
              <w:rPr>
                <w:rFonts w:ascii="Times New Roman" w:eastAsia="SimSun" w:hAnsi="Times New Roman" w:cs="Times New Roman"/>
                <w:color w:val="000000"/>
                <w:szCs w:val="54"/>
                <w:lang w:eastAsia="ar-SA" w:bidi="ar-SA"/>
              </w:rPr>
              <w:br/>
            </w:r>
            <w:r>
              <w:rPr>
                <w:rFonts w:ascii="Times New (W1)" w:eastAsia="SimSun" w:hAnsi="Times New (W1)" w:cs="Times New Roman"/>
                <w:b/>
                <w:color w:val="000000"/>
                <w:u w:val="single"/>
                <w:lang w:eastAsia="ar-SA" w:bidi="ar-SA"/>
              </w:rPr>
              <w:t>CCTCCT</w:t>
            </w:r>
            <w:r>
              <w:rPr>
                <w:rFonts w:ascii="Times New Roman" w:eastAsia="SimSun" w:hAnsi="Times New Roman" w:cs="Times New Roman"/>
                <w:color w:val="000000"/>
                <w:szCs w:val="54"/>
                <w:lang w:eastAsia="ar-SA" w:bidi="ar-SA"/>
              </w:rPr>
              <w:t>GGCTAATGTCTATCATCAGATAAACCTCTGAAGACAGT</w:t>
            </w:r>
            <w:r>
              <w:rPr>
                <w:rFonts w:ascii="Times New Roman" w:eastAsia="SimSun" w:hAnsi="Times New Roman" w:cs="Times New Roman"/>
                <w:color w:val="000000"/>
                <w:szCs w:val="54"/>
                <w:lang w:eastAsia="ar-SA" w:bidi="ar-SA"/>
              </w:rPr>
              <w:br/>
              <w:t>CCTGGAAGAAA</w:t>
            </w:r>
          </w:p>
          <w:p w:rsidR="002C7D0E" w:rsidRDefault="002C7D0E" w:rsidP="002C7D0E">
            <w:pPr>
              <w:suppressAutoHyphens w:val="0"/>
              <w:spacing w:before="0" w:after="0" w:line="240" w:lineRule="auto"/>
              <w:ind w:firstLine="0"/>
              <w:jc w:val="both"/>
              <w:rPr>
                <w:rFonts w:ascii="Times New Roman" w:eastAsia="SimSun" w:hAnsi="Times New Roman" w:cs="Times New Roman"/>
                <w:color w:val="000000"/>
                <w:szCs w:val="54"/>
                <w:lang w:eastAsia="ar-SA" w:bidi="ar-SA"/>
              </w:rPr>
            </w:pPr>
          </w:p>
          <w:p w:rsidR="002C7D0E" w:rsidRDefault="002C7D0E" w:rsidP="002C7D0E">
            <w:pPr>
              <w:suppressAutoHyphens w:val="0"/>
              <w:spacing w:before="0" w:after="0" w:line="240" w:lineRule="auto"/>
              <w:ind w:firstLine="0"/>
              <w:jc w:val="both"/>
              <w:rPr>
                <w:rFonts w:ascii="Times New Roman" w:eastAsia="SimSun" w:hAnsi="Times New Roman" w:cs="Times New Roman"/>
                <w:color w:val="000000"/>
                <w:szCs w:val="54"/>
                <w:lang w:eastAsia="ar-SA" w:bidi="ar-SA"/>
              </w:rPr>
            </w:pPr>
            <w:r>
              <w:rPr>
                <w:rFonts w:ascii="Times New Roman" w:eastAsia="SimSun" w:hAnsi="Times New Roman" w:cs="Times New Roman"/>
                <w:color w:val="000000"/>
                <w:szCs w:val="54"/>
                <w:lang w:eastAsia="ar-SA" w:bidi="ar-SA"/>
              </w:rPr>
              <w:t>ATGTGGGCAATGTCATCAAAATGATCCAA</w:t>
            </w:r>
          </w:p>
          <w:p w:rsidR="002C7D0E" w:rsidRDefault="002C7D0E" w:rsidP="002C7D0E">
            <w:pPr>
              <w:suppressAutoHyphens w:val="0"/>
              <w:spacing w:before="0" w:after="0" w:line="240" w:lineRule="auto"/>
              <w:ind w:firstLine="0"/>
              <w:jc w:val="both"/>
              <w:rPr>
                <w:rFonts w:ascii="Times New Roman" w:eastAsia="SimSun" w:hAnsi="Times New Roman" w:cs="Times New Roman"/>
                <w:color w:val="000000"/>
                <w:szCs w:val="54"/>
                <w:lang w:eastAsia="ar-SA" w:bidi="ar-SA"/>
              </w:rPr>
            </w:pPr>
          </w:p>
          <w:p w:rsidR="002C7D0E" w:rsidRDefault="002C7D0E" w:rsidP="002C7D0E">
            <w:pPr>
              <w:suppressAutoHyphens w:val="0"/>
              <w:spacing w:before="0" w:after="0" w:line="240" w:lineRule="auto"/>
              <w:ind w:firstLine="0"/>
              <w:jc w:val="both"/>
              <w:rPr>
                <w:rFonts w:ascii="Times New Roman" w:eastAsia="SimSun" w:hAnsi="Times New Roman" w:cs="Times New Roman"/>
                <w:color w:val="000000"/>
                <w:szCs w:val="54"/>
                <w:lang w:eastAsia="ar-SA" w:bidi="ar-SA"/>
              </w:rPr>
            </w:pPr>
            <w:r>
              <w:rPr>
                <w:rFonts w:ascii="Times New Roman" w:eastAsia="SimSun" w:hAnsi="Times New Roman" w:cs="Times New Roman"/>
                <w:color w:val="000000"/>
                <w:szCs w:val="54"/>
                <w:lang w:eastAsia="ar-SA" w:bidi="ar-SA"/>
              </w:rPr>
              <w:t>ATGTGGGCAATGTCATCAAAATGATCCTT</w:t>
            </w:r>
          </w:p>
          <w:p w:rsidR="002C7D0E" w:rsidRDefault="002C7D0E" w:rsidP="002C7D0E">
            <w:pPr>
              <w:suppressAutoHyphens w:val="0"/>
              <w:spacing w:before="0" w:after="0" w:line="240" w:lineRule="auto"/>
              <w:ind w:firstLine="0"/>
              <w:jc w:val="both"/>
              <w:rPr>
                <w:rFonts w:ascii="Times New Roman" w:eastAsia="SimSun" w:hAnsi="Times New Roman" w:cs="Times New Roman"/>
                <w:color w:val="000000"/>
                <w:szCs w:val="54"/>
                <w:lang w:eastAsia="ar-SA" w:bidi="ar-SA"/>
              </w:rPr>
            </w:pPr>
          </w:p>
          <w:p w:rsidR="002C7D0E" w:rsidRDefault="002C7D0E" w:rsidP="002C7D0E">
            <w:pPr>
              <w:suppressAutoHyphens w:val="0"/>
              <w:spacing w:before="0" w:after="0" w:line="240" w:lineRule="auto"/>
              <w:ind w:firstLine="0"/>
              <w:jc w:val="both"/>
              <w:rPr>
                <w:rFonts w:ascii="Times New Roman" w:eastAsia="SimSun" w:hAnsi="Times New Roman" w:cs="Times New Roman"/>
                <w:color w:val="000000"/>
                <w:szCs w:val="54"/>
                <w:lang w:eastAsia="ar-SA" w:bidi="ar-SA"/>
              </w:rPr>
            </w:pPr>
            <w:r>
              <w:rPr>
                <w:rFonts w:ascii="Times New Roman" w:eastAsia="SimSun" w:hAnsi="Times New Roman" w:cs="Times New Roman"/>
                <w:color w:val="000000"/>
                <w:szCs w:val="54"/>
                <w:lang w:eastAsia="ar-SA" w:bidi="ar-SA"/>
              </w:rPr>
              <w:t>GAGTATGTGGGCAATGTCATCAAAATGATCC</w:t>
            </w:r>
            <w:r>
              <w:rPr>
                <w:rFonts w:ascii="Times New Roman" w:eastAsia="SimSun" w:hAnsi="Times New Roman" w:cs="Times New Roman"/>
                <w:b/>
                <w:i/>
                <w:color w:val="000000"/>
                <w:szCs w:val="54"/>
                <w:lang w:eastAsia="ar-SA" w:bidi="ar-SA"/>
              </w:rPr>
              <w:t>TT</w:t>
            </w:r>
            <w:r>
              <w:rPr>
                <w:rFonts w:ascii="Times New Roman" w:eastAsia="SimSun" w:hAnsi="Times New Roman" w:cs="Times New Roman"/>
                <w:color w:val="000000"/>
                <w:szCs w:val="54"/>
                <w:lang w:eastAsia="ar-SA" w:bidi="ar-SA"/>
              </w:rPr>
              <w:t>ACCAG</w:t>
            </w:r>
            <w:r>
              <w:rPr>
                <w:rFonts w:ascii="Times New (W1)" w:eastAsia="SimSun" w:hAnsi="Times New (W1)" w:cs="Times New Roman"/>
                <w:b/>
                <w:color w:val="000000"/>
                <w:u w:val="single"/>
                <w:lang w:eastAsia="ar-SA" w:bidi="ar-SA"/>
              </w:rPr>
              <w:t>AGGCAG</w:t>
            </w:r>
            <w:r>
              <w:rPr>
                <w:rFonts w:ascii="Times New (W1)" w:eastAsia="SimSun" w:hAnsi="Times New (W1)" w:cs="Times New Roman"/>
                <w:dstrike/>
                <w:color w:val="000000"/>
                <w:szCs w:val="54"/>
                <w:lang w:eastAsia="ar-SA" w:bidi="ar-SA"/>
              </w:rPr>
              <w:br/>
            </w:r>
            <w:r>
              <w:rPr>
                <w:rFonts w:ascii="Times New Roman" w:eastAsia="SimSun" w:hAnsi="Times New Roman" w:cs="Times New Roman"/>
                <w:color w:val="000000"/>
                <w:szCs w:val="54"/>
                <w:lang w:eastAsia="ar-SA" w:bidi="ar-SA"/>
              </w:rPr>
              <w:t>AGGAAGAGCAAGAGGTAGCAAGTGCTTCCTTCTGAC</w:t>
            </w:r>
          </w:p>
        </w:tc>
      </w:tr>
    </w:tbl>
    <w:p w:rsidR="002C7D0E" w:rsidRDefault="002C7D0E" w:rsidP="002C7D0E">
      <w:pPr>
        <w:pStyle w:val="NoSpacing"/>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Internal</w:t>
      </w:r>
      <w:r>
        <w:rPr>
          <w:rFonts w:ascii="Times New Roman" w:hAnsi="Times New Roman" w:cs="Times New Roman"/>
          <w:b/>
        </w:rPr>
        <w:t xml:space="preserve"> </w:t>
      </w:r>
      <w:r>
        <w:rPr>
          <w:rFonts w:ascii="Times New Roman" w:hAnsi="Times New Roman" w:cs="Times New Roman"/>
        </w:rPr>
        <w:t xml:space="preserve">control oligonucleotides for </w:t>
      </w:r>
      <w:r>
        <w:rPr>
          <w:rFonts w:ascii="Times New Roman" w:hAnsi="Times New Roman" w:cs="Times New Roman"/>
          <w:i/>
        </w:rPr>
        <w:t>IFNB1</w:t>
      </w:r>
      <w:r>
        <w:rPr>
          <w:rFonts w:ascii="Times New Roman" w:hAnsi="Times New Roman" w:cs="Times New Roman"/>
        </w:rPr>
        <w:t xml:space="preserve"> and </w:t>
      </w:r>
      <w:r>
        <w:rPr>
          <w:rFonts w:ascii="Times New Roman" w:hAnsi="Times New Roman" w:cs="Times New Roman"/>
          <w:i/>
        </w:rPr>
        <w:t>DDX58</w:t>
      </w:r>
      <w:r>
        <w:rPr>
          <w:rFonts w:ascii="Times New Roman" w:hAnsi="Times New Roman" w:cs="Times New Roman"/>
        </w:rPr>
        <w:t xml:space="preserve"> were designed to have the identical cDNA sequence but with a 2nt substitution (letter bold italicized) and lack the 6nt Roche probe binding site (sequences bold underlined)</w:t>
      </w:r>
    </w:p>
    <w:p w:rsidR="002C7D0E" w:rsidRPr="00754CAF" w:rsidRDefault="002C7D0E" w:rsidP="002C7D0E">
      <w:pPr>
        <w:pStyle w:val="NoSpacing"/>
        <w:rPr>
          <w:rFonts w:ascii="Times New Roman" w:hAnsi="Times New Roman" w:cs="Times New Roman"/>
        </w:rPr>
      </w:pPr>
      <w:r>
        <w:rPr>
          <w:rFonts w:ascii="Times New Roman" w:hAnsi="Times New Roman" w:cs="Times New Roman"/>
        </w:rPr>
        <w:t>** Both MF primers were designed to have 2nt at 3’ end which specifically matched with the cDNA template, while OF primers were designed to specifically anneal with the PCR products initiated from the control oligonucleotides.</w:t>
      </w:r>
    </w:p>
    <w:p w:rsidR="006023DF" w:rsidRDefault="006023DF"/>
    <w:sectPr w:rsidR="006023DF" w:rsidSect="00184A0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35" w:rsidRDefault="001D3235" w:rsidP="0094609B">
      <w:pPr>
        <w:spacing w:before="0" w:after="0" w:line="240" w:lineRule="auto"/>
      </w:pPr>
      <w:r>
        <w:separator/>
      </w:r>
    </w:p>
  </w:endnote>
  <w:endnote w:type="continuationSeparator" w:id="0">
    <w:p w:rsidR="001D3235" w:rsidRDefault="001D3235" w:rsidP="0094609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C8" w:rsidRDefault="0094609B">
    <w:pPr>
      <w:pStyle w:val="Footer"/>
      <w:jc w:val="center"/>
    </w:pPr>
    <w:r>
      <w:fldChar w:fldCharType="begin"/>
    </w:r>
    <w:r w:rsidR="002C7D0E">
      <w:instrText xml:space="preserve"> PAGE </w:instrText>
    </w:r>
    <w:r>
      <w:fldChar w:fldCharType="separate"/>
    </w:r>
    <w:r w:rsidR="008E57D5">
      <w:rPr>
        <w:noProof/>
      </w:rPr>
      <w:t>1</w:t>
    </w:r>
    <w:r>
      <w:fldChar w:fldCharType="end"/>
    </w:r>
  </w:p>
  <w:p w:rsidR="00CA4EC8" w:rsidRDefault="001D3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35" w:rsidRDefault="001D3235" w:rsidP="0094609B">
      <w:pPr>
        <w:spacing w:before="0" w:after="0" w:line="240" w:lineRule="auto"/>
      </w:pPr>
      <w:r>
        <w:separator/>
      </w:r>
    </w:p>
  </w:footnote>
  <w:footnote w:type="continuationSeparator" w:id="0">
    <w:p w:rsidR="001D3235" w:rsidRDefault="001D3235" w:rsidP="0094609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C7D0E"/>
    <w:rsid w:val="001D3235"/>
    <w:rsid w:val="002C7D0E"/>
    <w:rsid w:val="005C1935"/>
    <w:rsid w:val="005F0278"/>
    <w:rsid w:val="006023DF"/>
    <w:rsid w:val="008E57D5"/>
    <w:rsid w:val="00946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0E"/>
    <w:pPr>
      <w:suppressAutoHyphens/>
      <w:spacing w:before="240" w:after="240" w:line="480" w:lineRule="auto"/>
      <w:ind w:firstLine="360"/>
    </w:pPr>
    <w:rPr>
      <w:rFonts w:ascii="Calibri" w:eastAsia="Times New Roman" w:hAnsi="Calibri" w:cs="Calibri"/>
      <w:sz w:val="22"/>
      <w:szCs w:val="22"/>
      <w:lang w:bidi="en-US"/>
    </w:rPr>
  </w:style>
  <w:style w:type="paragraph" w:styleId="Heading1">
    <w:name w:val="heading 1"/>
    <w:basedOn w:val="Normal"/>
    <w:next w:val="Normal"/>
    <w:link w:val="Heading1Char"/>
    <w:qFormat/>
    <w:rsid w:val="002C7D0E"/>
    <w:pPr>
      <w:numPr>
        <w:numId w:val="1"/>
      </w:numPr>
      <w:spacing w:before="600" w:after="0" w:line="360" w:lineRule="auto"/>
      <w:ind w:left="0" w:firstLine="0"/>
      <w:outlineLvl w:val="0"/>
    </w:pPr>
    <w:rPr>
      <w:rFonts w:ascii="Cambria" w:hAnsi="Cambria" w:cs="Times New Roman"/>
      <w:b/>
      <w:bCs/>
      <w:i/>
      <w:iCs/>
      <w:sz w:val="32"/>
      <w:szCs w:val="32"/>
    </w:rPr>
  </w:style>
  <w:style w:type="paragraph" w:styleId="Heading2">
    <w:name w:val="heading 2"/>
    <w:basedOn w:val="Normal"/>
    <w:next w:val="Normal"/>
    <w:link w:val="Heading2Char"/>
    <w:qFormat/>
    <w:rsid w:val="002C7D0E"/>
    <w:pPr>
      <w:numPr>
        <w:ilvl w:val="1"/>
        <w:numId w:val="1"/>
      </w:numPr>
      <w:spacing w:before="320" w:after="0" w:line="360" w:lineRule="auto"/>
      <w:outlineLvl w:val="1"/>
    </w:pPr>
    <w:rPr>
      <w:rFonts w:ascii="Cambria" w:hAnsi="Cambria" w:cs="Times New Roman"/>
      <w:b/>
      <w:bCs/>
      <w:i/>
      <w:iCs/>
      <w:sz w:val="28"/>
      <w:szCs w:val="28"/>
    </w:rPr>
  </w:style>
  <w:style w:type="paragraph" w:styleId="Heading3">
    <w:name w:val="heading 3"/>
    <w:basedOn w:val="Normal"/>
    <w:next w:val="Normal"/>
    <w:link w:val="Heading3Char"/>
    <w:qFormat/>
    <w:rsid w:val="002C7D0E"/>
    <w:pPr>
      <w:numPr>
        <w:ilvl w:val="2"/>
        <w:numId w:val="1"/>
      </w:numPr>
      <w:spacing w:before="320" w:after="0" w:line="360" w:lineRule="auto"/>
      <w:ind w:left="0" w:firstLine="0"/>
      <w:outlineLvl w:val="2"/>
    </w:pPr>
    <w:rPr>
      <w:rFonts w:ascii="Cambria" w:hAnsi="Cambria" w:cs="Times New Roman"/>
      <w:b/>
      <w:bCs/>
      <w:i/>
      <w:iCs/>
      <w:sz w:val="26"/>
      <w:szCs w:val="26"/>
    </w:rPr>
  </w:style>
  <w:style w:type="paragraph" w:styleId="Heading4">
    <w:name w:val="heading 4"/>
    <w:basedOn w:val="Normal"/>
    <w:next w:val="Normal"/>
    <w:link w:val="Heading4Char"/>
    <w:qFormat/>
    <w:rsid w:val="002C7D0E"/>
    <w:pPr>
      <w:numPr>
        <w:ilvl w:val="3"/>
        <w:numId w:val="1"/>
      </w:numPr>
      <w:spacing w:before="280" w:after="0" w:line="360" w:lineRule="auto"/>
      <w:ind w:left="0" w:firstLine="0"/>
      <w:outlineLvl w:val="3"/>
    </w:pPr>
    <w:rPr>
      <w:rFonts w:ascii="Cambria" w:hAnsi="Cambria" w:cs="Times New Roman"/>
      <w:b/>
      <w:bCs/>
      <w:i/>
      <w:iCs/>
      <w:sz w:val="24"/>
      <w:szCs w:val="24"/>
    </w:rPr>
  </w:style>
  <w:style w:type="paragraph" w:styleId="Heading5">
    <w:name w:val="heading 5"/>
    <w:basedOn w:val="Normal"/>
    <w:next w:val="Normal"/>
    <w:link w:val="Heading5Char"/>
    <w:qFormat/>
    <w:rsid w:val="002C7D0E"/>
    <w:pPr>
      <w:numPr>
        <w:ilvl w:val="4"/>
        <w:numId w:val="1"/>
      </w:numPr>
      <w:spacing w:before="280" w:after="0" w:line="360" w:lineRule="auto"/>
      <w:ind w:left="0" w:firstLine="0"/>
      <w:outlineLvl w:val="4"/>
    </w:pPr>
    <w:rPr>
      <w:rFonts w:ascii="Cambria" w:hAnsi="Cambria" w:cs="Times New Roman"/>
      <w:b/>
      <w:bCs/>
      <w:i/>
      <w:iCs/>
    </w:rPr>
  </w:style>
  <w:style w:type="paragraph" w:styleId="Heading6">
    <w:name w:val="heading 6"/>
    <w:basedOn w:val="Normal"/>
    <w:next w:val="Normal"/>
    <w:link w:val="Heading6Char"/>
    <w:qFormat/>
    <w:rsid w:val="002C7D0E"/>
    <w:pPr>
      <w:numPr>
        <w:ilvl w:val="5"/>
        <w:numId w:val="1"/>
      </w:numPr>
      <w:spacing w:before="280" w:after="80" w:line="360" w:lineRule="auto"/>
      <w:ind w:left="0" w:firstLine="0"/>
      <w:outlineLvl w:val="5"/>
    </w:pPr>
    <w:rPr>
      <w:rFonts w:ascii="Cambria" w:hAnsi="Cambria" w:cs="Times New Roman"/>
      <w:b/>
      <w:bCs/>
      <w:i/>
      <w:iCs/>
    </w:rPr>
  </w:style>
  <w:style w:type="paragraph" w:styleId="Heading7">
    <w:name w:val="heading 7"/>
    <w:basedOn w:val="Normal"/>
    <w:next w:val="Normal"/>
    <w:link w:val="Heading7Char"/>
    <w:qFormat/>
    <w:rsid w:val="002C7D0E"/>
    <w:pPr>
      <w:numPr>
        <w:ilvl w:val="6"/>
        <w:numId w:val="1"/>
      </w:numPr>
      <w:spacing w:before="280" w:after="0" w:line="360" w:lineRule="auto"/>
      <w:ind w:left="0" w:firstLine="0"/>
      <w:outlineLvl w:val="6"/>
    </w:pPr>
    <w:rPr>
      <w:rFonts w:ascii="Cambria" w:hAnsi="Cambria" w:cs="Times New Roman"/>
      <w:b/>
      <w:bCs/>
      <w:i/>
      <w:iCs/>
      <w:sz w:val="20"/>
      <w:szCs w:val="20"/>
    </w:rPr>
  </w:style>
  <w:style w:type="paragraph" w:styleId="Heading8">
    <w:name w:val="heading 8"/>
    <w:basedOn w:val="Normal"/>
    <w:next w:val="Normal"/>
    <w:link w:val="Heading8Char"/>
    <w:qFormat/>
    <w:rsid w:val="002C7D0E"/>
    <w:pPr>
      <w:numPr>
        <w:ilvl w:val="7"/>
        <w:numId w:val="1"/>
      </w:numPr>
      <w:spacing w:before="280" w:after="0" w:line="360" w:lineRule="auto"/>
      <w:ind w:left="0" w:firstLine="0"/>
      <w:outlineLvl w:val="7"/>
    </w:pPr>
    <w:rPr>
      <w:rFonts w:ascii="Cambria" w:hAnsi="Cambria" w:cs="Times New Roman"/>
      <w:b/>
      <w:bCs/>
      <w:i/>
      <w:iCs/>
      <w:sz w:val="18"/>
      <w:szCs w:val="18"/>
    </w:rPr>
  </w:style>
  <w:style w:type="paragraph" w:styleId="Heading9">
    <w:name w:val="heading 9"/>
    <w:basedOn w:val="Normal"/>
    <w:next w:val="Normal"/>
    <w:link w:val="Heading9Char"/>
    <w:qFormat/>
    <w:rsid w:val="002C7D0E"/>
    <w:pPr>
      <w:numPr>
        <w:ilvl w:val="8"/>
        <w:numId w:val="1"/>
      </w:numPr>
      <w:spacing w:before="280" w:after="0" w:line="360" w:lineRule="auto"/>
      <w:ind w:left="0" w:firstLine="0"/>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0E"/>
    <w:rPr>
      <w:rFonts w:ascii="Cambria" w:eastAsia="Times New Roman" w:hAnsi="Cambria"/>
      <w:b/>
      <w:bCs/>
      <w:i/>
      <w:iCs/>
      <w:sz w:val="32"/>
      <w:szCs w:val="32"/>
      <w:lang w:bidi="en-US"/>
    </w:rPr>
  </w:style>
  <w:style w:type="character" w:customStyle="1" w:styleId="Heading2Char">
    <w:name w:val="Heading 2 Char"/>
    <w:basedOn w:val="DefaultParagraphFont"/>
    <w:link w:val="Heading2"/>
    <w:rsid w:val="002C7D0E"/>
    <w:rPr>
      <w:rFonts w:ascii="Cambria" w:eastAsia="Times New Roman" w:hAnsi="Cambria"/>
      <w:b/>
      <w:bCs/>
      <w:i/>
      <w:iCs/>
      <w:sz w:val="28"/>
      <w:szCs w:val="28"/>
      <w:lang w:bidi="en-US"/>
    </w:rPr>
  </w:style>
  <w:style w:type="character" w:customStyle="1" w:styleId="Heading3Char">
    <w:name w:val="Heading 3 Char"/>
    <w:basedOn w:val="DefaultParagraphFont"/>
    <w:link w:val="Heading3"/>
    <w:rsid w:val="002C7D0E"/>
    <w:rPr>
      <w:rFonts w:ascii="Cambria" w:eastAsia="Times New Roman" w:hAnsi="Cambria"/>
      <w:b/>
      <w:bCs/>
      <w:i/>
      <w:iCs/>
      <w:sz w:val="26"/>
      <w:szCs w:val="26"/>
      <w:lang w:bidi="en-US"/>
    </w:rPr>
  </w:style>
  <w:style w:type="character" w:customStyle="1" w:styleId="Heading4Char">
    <w:name w:val="Heading 4 Char"/>
    <w:basedOn w:val="DefaultParagraphFont"/>
    <w:link w:val="Heading4"/>
    <w:rsid w:val="002C7D0E"/>
    <w:rPr>
      <w:rFonts w:ascii="Cambria" w:eastAsia="Times New Roman" w:hAnsi="Cambria"/>
      <w:b/>
      <w:bCs/>
      <w:i/>
      <w:iCs/>
      <w:lang w:bidi="en-US"/>
    </w:rPr>
  </w:style>
  <w:style w:type="character" w:customStyle="1" w:styleId="Heading5Char">
    <w:name w:val="Heading 5 Char"/>
    <w:basedOn w:val="DefaultParagraphFont"/>
    <w:link w:val="Heading5"/>
    <w:rsid w:val="002C7D0E"/>
    <w:rPr>
      <w:rFonts w:ascii="Cambria" w:eastAsia="Times New Roman" w:hAnsi="Cambria"/>
      <w:b/>
      <w:bCs/>
      <w:i/>
      <w:iCs/>
      <w:sz w:val="22"/>
      <w:szCs w:val="22"/>
      <w:lang w:bidi="en-US"/>
    </w:rPr>
  </w:style>
  <w:style w:type="character" w:customStyle="1" w:styleId="Heading6Char">
    <w:name w:val="Heading 6 Char"/>
    <w:basedOn w:val="DefaultParagraphFont"/>
    <w:link w:val="Heading6"/>
    <w:rsid w:val="002C7D0E"/>
    <w:rPr>
      <w:rFonts w:ascii="Cambria" w:eastAsia="Times New Roman" w:hAnsi="Cambria"/>
      <w:b/>
      <w:bCs/>
      <w:i/>
      <w:iCs/>
      <w:sz w:val="22"/>
      <w:szCs w:val="22"/>
      <w:lang w:bidi="en-US"/>
    </w:rPr>
  </w:style>
  <w:style w:type="character" w:customStyle="1" w:styleId="Heading7Char">
    <w:name w:val="Heading 7 Char"/>
    <w:basedOn w:val="DefaultParagraphFont"/>
    <w:link w:val="Heading7"/>
    <w:rsid w:val="002C7D0E"/>
    <w:rPr>
      <w:rFonts w:ascii="Cambria" w:eastAsia="Times New Roman" w:hAnsi="Cambria"/>
      <w:b/>
      <w:bCs/>
      <w:i/>
      <w:iCs/>
      <w:sz w:val="20"/>
      <w:szCs w:val="20"/>
      <w:lang w:bidi="en-US"/>
    </w:rPr>
  </w:style>
  <w:style w:type="character" w:customStyle="1" w:styleId="Heading8Char">
    <w:name w:val="Heading 8 Char"/>
    <w:basedOn w:val="DefaultParagraphFont"/>
    <w:link w:val="Heading8"/>
    <w:rsid w:val="002C7D0E"/>
    <w:rPr>
      <w:rFonts w:ascii="Cambria" w:eastAsia="Times New Roman" w:hAnsi="Cambria"/>
      <w:b/>
      <w:bCs/>
      <w:i/>
      <w:iCs/>
      <w:sz w:val="18"/>
      <w:szCs w:val="18"/>
      <w:lang w:bidi="en-US"/>
    </w:rPr>
  </w:style>
  <w:style w:type="character" w:customStyle="1" w:styleId="Heading9Char">
    <w:name w:val="Heading 9 Char"/>
    <w:basedOn w:val="DefaultParagraphFont"/>
    <w:link w:val="Heading9"/>
    <w:rsid w:val="002C7D0E"/>
    <w:rPr>
      <w:rFonts w:ascii="Cambria" w:eastAsia="Times New Roman" w:hAnsi="Cambria"/>
      <w:i/>
      <w:iCs/>
      <w:sz w:val="18"/>
      <w:szCs w:val="18"/>
      <w:lang w:bidi="en-US"/>
    </w:rPr>
  </w:style>
  <w:style w:type="paragraph" w:styleId="Footer">
    <w:name w:val="footer"/>
    <w:basedOn w:val="Normal"/>
    <w:link w:val="FooterChar"/>
    <w:rsid w:val="002C7D0E"/>
  </w:style>
  <w:style w:type="character" w:customStyle="1" w:styleId="FooterChar">
    <w:name w:val="Footer Char"/>
    <w:basedOn w:val="DefaultParagraphFont"/>
    <w:link w:val="Footer"/>
    <w:rsid w:val="002C7D0E"/>
    <w:rPr>
      <w:rFonts w:ascii="Calibri" w:eastAsia="Times New Roman" w:hAnsi="Calibri" w:cs="Calibri"/>
      <w:sz w:val="22"/>
      <w:szCs w:val="22"/>
      <w:lang w:bidi="en-US"/>
    </w:rPr>
  </w:style>
  <w:style w:type="paragraph" w:styleId="NoSpacing">
    <w:name w:val="No Spacing"/>
    <w:basedOn w:val="Normal"/>
    <w:qFormat/>
    <w:rsid w:val="002C7D0E"/>
    <w:pPr>
      <w:spacing w:before="0" w:after="0" w:line="240" w:lineRule="auto"/>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1615</Words>
  <Characters>9210</Characters>
  <Application>Microsoft Office Word</Application>
  <DocSecurity>0</DocSecurity>
  <Lines>76</Lines>
  <Paragraphs>21</Paragraphs>
  <ScaleCrop>false</ScaleCrop>
  <Company>Hewlett-Packard Company</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wetmur</dc:creator>
  <cp:lastModifiedBy>wetmur</cp:lastModifiedBy>
  <cp:revision>2</cp:revision>
  <dcterms:created xsi:type="dcterms:W3CDTF">2010-09-03T17:30:00Z</dcterms:created>
  <dcterms:modified xsi:type="dcterms:W3CDTF">2011-01-19T16:11:00Z</dcterms:modified>
</cp:coreProperties>
</file>