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501C1" w14:textId="546BE444" w:rsidR="00AE1C0E" w:rsidRPr="0061076D" w:rsidRDefault="009E2382" w:rsidP="00B443D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</w:t>
      </w:r>
      <w:r w:rsidR="00277DBF">
        <w:rPr>
          <w:rFonts w:ascii="Times New Roman" w:hAnsi="Times New Roman" w:cs="Times New Roman"/>
          <w:b/>
          <w:sz w:val="20"/>
          <w:szCs w:val="20"/>
        </w:rPr>
        <w:t>4</w:t>
      </w:r>
      <w:bookmarkStart w:id="0" w:name="_GoBack"/>
      <w:bookmarkEnd w:id="0"/>
      <w:r w:rsidR="00FD2F8E" w:rsidRPr="00FD2F8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2F8E">
        <w:rPr>
          <w:rFonts w:ascii="Times New Roman" w:hAnsi="Times New Roman" w:cs="Times New Roman"/>
          <w:b/>
          <w:sz w:val="20"/>
          <w:szCs w:val="20"/>
        </w:rPr>
        <w:t>F</w:t>
      </w:r>
      <w:r w:rsidRPr="00FD2F8E">
        <w:rPr>
          <w:rFonts w:ascii="Times New Roman" w:hAnsi="Times New Roman" w:cs="Times New Roman" w:hint="eastAsia"/>
          <w:b/>
          <w:sz w:val="20"/>
          <w:szCs w:val="20"/>
        </w:rPr>
        <w:t>ig.</w:t>
      </w:r>
      <w:r w:rsidRPr="00FD2F8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1C0E" w:rsidRPr="0061076D">
        <w:rPr>
          <w:rFonts w:ascii="Times New Roman" w:hAnsi="Times New Roman" w:cs="Times New Roman"/>
          <w:sz w:val="20"/>
          <w:szCs w:val="20"/>
        </w:rPr>
        <w:t>AICc metrics for Maxent models among multiple settings. Maxent models were run with regularization multipliers</w:t>
      </w:r>
      <w:r w:rsidR="00AB61AB">
        <w:rPr>
          <w:rFonts w:ascii="Times New Roman" w:hAnsi="Times New Roman" w:cs="Times New Roman" w:hint="eastAsia"/>
          <w:sz w:val="20"/>
          <w:szCs w:val="20"/>
        </w:rPr>
        <w:t xml:space="preserve"> (RM)</w:t>
      </w:r>
      <w:r w:rsidR="00AE1C0E" w:rsidRPr="0061076D">
        <w:rPr>
          <w:rFonts w:ascii="Times New Roman" w:hAnsi="Times New Roman" w:cs="Times New Roman"/>
          <w:sz w:val="20"/>
          <w:szCs w:val="20"/>
        </w:rPr>
        <w:t xml:space="preserve"> ranging from 0.5 to 6.0 (increments of 0.5) using six different feature combinations (</w:t>
      </w:r>
      <w:r w:rsidR="00AB61AB">
        <w:rPr>
          <w:rFonts w:ascii="Times New Roman" w:hAnsi="Times New Roman" w:cs="Times New Roman" w:hint="eastAsia"/>
          <w:sz w:val="20"/>
          <w:szCs w:val="20"/>
        </w:rPr>
        <w:t xml:space="preserve">FC: </w:t>
      </w:r>
      <w:r w:rsidR="00AE1C0E" w:rsidRPr="0061076D">
        <w:rPr>
          <w:rFonts w:ascii="Times New Roman" w:hAnsi="Times New Roman" w:cs="Times New Roman"/>
          <w:sz w:val="20"/>
          <w:szCs w:val="20"/>
        </w:rPr>
        <w:t>L, LQ, H, LQH, LQHP, LQHPT; where L = linear, Q = quadratic, H = hinge, P = product and T = threshold). Black arrows denote the AICc-selected models (i.e. minimum AICc values where delta</w:t>
      </w:r>
      <w:r w:rsidR="00AE1C0E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AE1C0E" w:rsidRPr="0061076D">
        <w:rPr>
          <w:rFonts w:ascii="Times New Roman" w:hAnsi="Times New Roman" w:cs="Times New Roman"/>
          <w:sz w:val="20"/>
          <w:szCs w:val="20"/>
        </w:rPr>
        <w:t xml:space="preserve">AICc = 0). </w:t>
      </w:r>
      <w:r w:rsidR="00191D8D" w:rsidRPr="00AB61AB">
        <w:rPr>
          <w:rFonts w:ascii="Times New Roman" w:hAnsi="Times New Roman" w:cs="Times New Roman"/>
          <w:sz w:val="20"/>
          <w:szCs w:val="20"/>
        </w:rPr>
        <w:t>ENMeval automatically executes</w:t>
      </w:r>
      <w:r w:rsidR="00191D8D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91D8D" w:rsidRPr="00AB61AB">
        <w:rPr>
          <w:rFonts w:ascii="Times New Roman" w:hAnsi="Times New Roman" w:cs="Times New Roman"/>
          <w:sz w:val="20"/>
          <w:szCs w:val="20"/>
        </w:rPr>
        <w:t>M</w:t>
      </w:r>
      <w:r w:rsidR="00191D8D">
        <w:rPr>
          <w:rFonts w:ascii="Times New Roman" w:hAnsi="Times New Roman" w:cs="Times New Roman" w:hint="eastAsia"/>
          <w:sz w:val="20"/>
          <w:szCs w:val="20"/>
        </w:rPr>
        <w:t>axent</w:t>
      </w:r>
      <w:r w:rsidR="00191D8D">
        <w:rPr>
          <w:rFonts w:ascii="Times New Roman" w:hAnsi="Times New Roman" w:cs="Times New Roman"/>
          <w:sz w:val="20"/>
          <w:szCs w:val="20"/>
        </w:rPr>
        <w:t xml:space="preserve"> across a range of </w:t>
      </w:r>
      <w:r w:rsidR="00191D8D">
        <w:rPr>
          <w:rFonts w:ascii="Times New Roman" w:hAnsi="Times New Roman" w:cs="Times New Roman" w:hint="eastAsia"/>
          <w:sz w:val="20"/>
          <w:szCs w:val="20"/>
        </w:rPr>
        <w:t>FCs</w:t>
      </w:r>
      <w:r w:rsidR="00191D8D" w:rsidRPr="00AB61AB">
        <w:rPr>
          <w:rFonts w:ascii="Times New Roman" w:hAnsi="Times New Roman" w:cs="Times New Roman"/>
          <w:sz w:val="20"/>
          <w:szCs w:val="20"/>
        </w:rPr>
        <w:t xml:space="preserve"> and</w:t>
      </w:r>
      <w:r w:rsidR="00191D8D">
        <w:rPr>
          <w:rFonts w:ascii="Times New Roman" w:hAnsi="Times New Roman" w:cs="Times New Roman" w:hint="eastAsia"/>
          <w:sz w:val="20"/>
          <w:szCs w:val="20"/>
        </w:rPr>
        <w:t xml:space="preserve"> RMs</w:t>
      </w:r>
      <w:r w:rsidR="00191D8D" w:rsidRPr="00AB61AB">
        <w:rPr>
          <w:rFonts w:ascii="Times New Roman" w:hAnsi="Times New Roman" w:cs="Times New Roman"/>
          <w:sz w:val="20"/>
          <w:szCs w:val="20"/>
        </w:rPr>
        <w:t xml:space="preserve"> settings, providing several evaluation</w:t>
      </w:r>
      <w:r w:rsidR="00191D8D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91D8D" w:rsidRPr="00AB61AB">
        <w:rPr>
          <w:rFonts w:ascii="Times New Roman" w:hAnsi="Times New Roman" w:cs="Times New Roman"/>
          <w:sz w:val="20"/>
          <w:szCs w:val="20"/>
        </w:rPr>
        <w:t>metrics to aid in identifying settings that balance model</w:t>
      </w:r>
      <w:r w:rsidR="00191D8D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91D8D" w:rsidRPr="00AB61AB">
        <w:rPr>
          <w:rFonts w:ascii="Times New Roman" w:hAnsi="Times New Roman" w:cs="Times New Roman"/>
          <w:sz w:val="20"/>
          <w:szCs w:val="20"/>
        </w:rPr>
        <w:t>goodness-of-fit with</w:t>
      </w:r>
      <w:r w:rsidR="00191D8D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91D8D" w:rsidRPr="00AB61AB">
        <w:rPr>
          <w:rFonts w:ascii="Times New Roman" w:hAnsi="Times New Roman" w:cs="Times New Roman"/>
          <w:sz w:val="20"/>
          <w:szCs w:val="20"/>
        </w:rPr>
        <w:t>model complexity</w:t>
      </w:r>
      <w:r w:rsidR="00191D8D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191D8D">
        <w:rPr>
          <w:rFonts w:ascii="Times New Roman" w:hAnsi="Times New Roman" w:cs="Times New Roman"/>
          <w:sz w:val="20"/>
          <w:szCs w:val="20"/>
        </w:rPr>
        <w:t>RM acts in</w:t>
      </w:r>
      <w:r w:rsidR="00191D8D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91D8D" w:rsidRPr="00AB61AB">
        <w:rPr>
          <w:rFonts w:ascii="Times New Roman" w:hAnsi="Times New Roman" w:cs="Times New Roman"/>
          <w:sz w:val="20"/>
          <w:szCs w:val="20"/>
        </w:rPr>
        <w:t>concert across all FCs as a coefficie</w:t>
      </w:r>
      <w:r w:rsidR="00191D8D">
        <w:rPr>
          <w:rFonts w:ascii="Times New Roman" w:hAnsi="Times New Roman" w:cs="Times New Roman"/>
          <w:sz w:val="20"/>
          <w:szCs w:val="20"/>
        </w:rPr>
        <w:t>nt multiplied to the individual</w:t>
      </w:r>
      <w:r w:rsidR="00191D8D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91D8D" w:rsidRPr="00AB61AB">
        <w:rPr>
          <w:rFonts w:ascii="Times New Roman" w:hAnsi="Times New Roman" w:cs="Times New Roman"/>
          <w:sz w:val="20"/>
          <w:szCs w:val="20"/>
        </w:rPr>
        <w:t>regularization values</w:t>
      </w:r>
      <w:r w:rsidR="00191D8D">
        <w:rPr>
          <w:rFonts w:ascii="Times New Roman" w:hAnsi="Times New Roman" w:cs="Times New Roman"/>
          <w:sz w:val="20"/>
          <w:szCs w:val="20"/>
        </w:rPr>
        <w:t xml:space="preserve"> that correspond</w:t>
      </w:r>
      <w:r w:rsidR="00191D8D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191D8D" w:rsidRPr="00AB61AB">
        <w:rPr>
          <w:rFonts w:ascii="Times New Roman" w:hAnsi="Times New Roman" w:cs="Times New Roman"/>
          <w:sz w:val="20"/>
          <w:szCs w:val="20"/>
        </w:rPr>
        <w:t>to each respective FC</w:t>
      </w:r>
      <w:r w:rsidR="00191D8D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AE1C0E" w:rsidRPr="0061076D">
        <w:rPr>
          <w:rFonts w:ascii="Times New Roman" w:hAnsi="Times New Roman" w:cs="Times New Roman"/>
          <w:sz w:val="20"/>
          <w:szCs w:val="20"/>
        </w:rPr>
        <w:t>AICc-selected models settings are given in each box, together with performance</w:t>
      </w:r>
      <w:r w:rsidR="00AE1C0E">
        <w:rPr>
          <w:rFonts w:ascii="Times New Roman" w:hAnsi="Times New Roman" w:cs="Times New Roman" w:hint="eastAsia"/>
          <w:sz w:val="20"/>
          <w:szCs w:val="20"/>
        </w:rPr>
        <w:t xml:space="preserve"> metrics</w:t>
      </w:r>
      <w:r w:rsidR="00AE1C0E" w:rsidRPr="0061076D">
        <w:rPr>
          <w:rFonts w:ascii="Times New Roman" w:hAnsi="Times New Roman" w:cs="Times New Roman"/>
          <w:sz w:val="20"/>
          <w:szCs w:val="20"/>
        </w:rPr>
        <w:t xml:space="preserve">. </w:t>
      </w:r>
      <w:r w:rsidR="00B443DF" w:rsidRPr="00B443DF">
        <w:rPr>
          <w:rFonts w:ascii="Times New Roman" w:hAnsi="Times New Roman" w:cs="Times New Roman"/>
          <w:sz w:val="20"/>
          <w:szCs w:val="20"/>
        </w:rPr>
        <w:t>The model with the lowest</w:t>
      </w:r>
      <w:r w:rsidR="00B443DF">
        <w:rPr>
          <w:rFonts w:ascii="Times New Roman" w:hAnsi="Times New Roman" w:cs="Times New Roman"/>
          <w:sz w:val="20"/>
          <w:szCs w:val="20"/>
        </w:rPr>
        <w:t xml:space="preserve"> AICc value (i.e. </w:t>
      </w:r>
      <w:r w:rsidR="00B443DF">
        <w:rPr>
          <w:rFonts w:ascii="Times New Roman" w:hAnsi="Times New Roman" w:cs="Times New Roman" w:hint="eastAsia"/>
          <w:sz w:val="20"/>
          <w:szCs w:val="20"/>
        </w:rPr>
        <w:t xml:space="preserve">delta. </w:t>
      </w:r>
      <w:r w:rsidR="00B443DF">
        <w:rPr>
          <w:rFonts w:ascii="Times New Roman" w:hAnsi="Times New Roman" w:cs="Times New Roman"/>
          <w:sz w:val="20"/>
          <w:szCs w:val="20"/>
        </w:rPr>
        <w:t>AICc = 0) is</w:t>
      </w:r>
      <w:r w:rsidR="00B443DF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B443DF" w:rsidRPr="00B443DF">
        <w:rPr>
          <w:rFonts w:ascii="Times New Roman" w:hAnsi="Times New Roman" w:cs="Times New Roman"/>
          <w:sz w:val="20"/>
          <w:szCs w:val="20"/>
        </w:rPr>
        <w:t>considered the best</w:t>
      </w:r>
      <w:r w:rsidR="00B443DF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B443DF" w:rsidRPr="00B443DF">
        <w:rPr>
          <w:rFonts w:ascii="Times New Roman" w:hAnsi="Times New Roman" w:cs="Times New Roman"/>
          <w:sz w:val="20"/>
          <w:szCs w:val="20"/>
        </w:rPr>
        <w:t>model out of the current suite of models</w:t>
      </w:r>
      <w:r w:rsidR="00B443DF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AE1C0E" w:rsidRPr="0061076D">
        <w:rPr>
          <w:rFonts w:ascii="Times New Roman" w:hAnsi="Times New Roman" w:cs="Times New Roman"/>
          <w:sz w:val="20"/>
          <w:szCs w:val="20"/>
        </w:rPr>
        <w:t xml:space="preserve">Models were generated for the four subspecies separately, and for </w:t>
      </w:r>
      <w:r w:rsidR="00AE1C0E" w:rsidRPr="0061076D">
        <w:rPr>
          <w:rFonts w:ascii="Times New Roman" w:hAnsi="Times New Roman" w:cs="Times New Roman"/>
          <w:i/>
          <w:sz w:val="20"/>
          <w:szCs w:val="20"/>
        </w:rPr>
        <w:t>Oncomelania hupensis</w:t>
      </w:r>
      <w:r w:rsidR="00AE1C0E" w:rsidRPr="0061076D">
        <w:rPr>
          <w:rFonts w:ascii="Times New Roman" w:hAnsi="Times New Roman" w:cs="Times New Roman"/>
          <w:sz w:val="20"/>
          <w:szCs w:val="20"/>
        </w:rPr>
        <w:t xml:space="preserve"> as a whole.</w:t>
      </w:r>
      <w:r w:rsidR="00B443DF">
        <w:rPr>
          <w:rFonts w:ascii="Times New Roman" w:hAnsi="Times New Roman" w:cs="Times New Roman" w:hint="eastAsia"/>
          <w:sz w:val="20"/>
          <w:szCs w:val="20"/>
        </w:rPr>
        <w:t xml:space="preserve"> </w:t>
      </w:r>
    </w:p>
    <w:p w14:paraId="69906FC2" w14:textId="55E58CBD" w:rsidR="00FD2F8E" w:rsidRPr="00FD2F8E" w:rsidRDefault="00FD2F8E" w:rsidP="0014612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 w:hint="eastAsia"/>
          <w:b/>
          <w:noProof/>
          <w:sz w:val="20"/>
          <w:szCs w:val="20"/>
          <w:lang w:eastAsia="en-US"/>
        </w:rPr>
        <w:drawing>
          <wp:inline distT="0" distB="0" distL="0" distR="0" wp14:anchorId="20E26370" wp14:editId="21290153">
            <wp:extent cx="5931535" cy="4167505"/>
            <wp:effectExtent l="0" t="0" r="12065" b="0"/>
            <wp:docPr id="3" name="图片 3" descr="Figur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16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C7586" w14:textId="260E3095" w:rsidR="00146128" w:rsidRPr="00117155" w:rsidRDefault="00146128" w:rsidP="00146128">
      <w:pPr>
        <w:rPr>
          <w:rFonts w:ascii="Times New Roman" w:hAnsi="Times New Roman" w:cs="Times New Roman"/>
          <w:b/>
          <w:sz w:val="20"/>
          <w:szCs w:val="20"/>
        </w:rPr>
      </w:pPr>
    </w:p>
    <w:sectPr w:rsidR="00146128" w:rsidRPr="00117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877B5" w14:textId="77777777" w:rsidR="00F9297D" w:rsidRDefault="00F9297D" w:rsidP="00A66263">
      <w:pPr>
        <w:spacing w:after="0" w:line="240" w:lineRule="auto"/>
      </w:pPr>
      <w:r>
        <w:separator/>
      </w:r>
    </w:p>
  </w:endnote>
  <w:endnote w:type="continuationSeparator" w:id="0">
    <w:p w14:paraId="39656E4B" w14:textId="77777777" w:rsidR="00F9297D" w:rsidRDefault="00F9297D" w:rsidP="00A6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7B4A4" w14:textId="77777777" w:rsidR="00F9297D" w:rsidRDefault="00F9297D" w:rsidP="00A66263">
      <w:pPr>
        <w:spacing w:after="0" w:line="240" w:lineRule="auto"/>
      </w:pPr>
      <w:r>
        <w:separator/>
      </w:r>
    </w:p>
  </w:footnote>
  <w:footnote w:type="continuationSeparator" w:id="0">
    <w:p w14:paraId="2CF1EAD6" w14:textId="77777777" w:rsidR="00F9297D" w:rsidRDefault="00F9297D" w:rsidP="00A66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28"/>
    <w:rsid w:val="00041260"/>
    <w:rsid w:val="000A7375"/>
    <w:rsid w:val="000C056E"/>
    <w:rsid w:val="00117155"/>
    <w:rsid w:val="00141D29"/>
    <w:rsid w:val="00146128"/>
    <w:rsid w:val="00191D8D"/>
    <w:rsid w:val="00277DBF"/>
    <w:rsid w:val="002B708C"/>
    <w:rsid w:val="00303FE2"/>
    <w:rsid w:val="00317078"/>
    <w:rsid w:val="00320598"/>
    <w:rsid w:val="00375E62"/>
    <w:rsid w:val="00467B04"/>
    <w:rsid w:val="004A0BF1"/>
    <w:rsid w:val="004E3A89"/>
    <w:rsid w:val="00602B0E"/>
    <w:rsid w:val="00652A58"/>
    <w:rsid w:val="006E6031"/>
    <w:rsid w:val="00700EFC"/>
    <w:rsid w:val="007219EB"/>
    <w:rsid w:val="007363F9"/>
    <w:rsid w:val="007433AE"/>
    <w:rsid w:val="00794769"/>
    <w:rsid w:val="00810568"/>
    <w:rsid w:val="0084135D"/>
    <w:rsid w:val="00854938"/>
    <w:rsid w:val="008725D6"/>
    <w:rsid w:val="008726FE"/>
    <w:rsid w:val="008D49D0"/>
    <w:rsid w:val="009E2382"/>
    <w:rsid w:val="009F7809"/>
    <w:rsid w:val="00A37F98"/>
    <w:rsid w:val="00A5053C"/>
    <w:rsid w:val="00A66263"/>
    <w:rsid w:val="00AA3D1A"/>
    <w:rsid w:val="00AB61AB"/>
    <w:rsid w:val="00AE1C0E"/>
    <w:rsid w:val="00B40114"/>
    <w:rsid w:val="00B443DF"/>
    <w:rsid w:val="00B55DA4"/>
    <w:rsid w:val="00B818E4"/>
    <w:rsid w:val="00BE16F1"/>
    <w:rsid w:val="00D06FC9"/>
    <w:rsid w:val="00D2023A"/>
    <w:rsid w:val="00E25D7E"/>
    <w:rsid w:val="00E918CA"/>
    <w:rsid w:val="00EF4615"/>
    <w:rsid w:val="00F903A6"/>
    <w:rsid w:val="00F9297D"/>
    <w:rsid w:val="00F9305E"/>
    <w:rsid w:val="00FA74F9"/>
    <w:rsid w:val="00FB260F"/>
    <w:rsid w:val="00FD2F8E"/>
    <w:rsid w:val="00FD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7F2E2"/>
  <w15:docId w15:val="{BD3D6444-6E0D-4BB8-9960-7DA6FD1F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1Light1">
    <w:name w:val="List Table 1 Light1"/>
    <w:basedOn w:val="TableNormal"/>
    <w:uiPriority w:val="46"/>
    <w:rsid w:val="001461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61">
    <w:name w:val="List Table 4 - Accent 61"/>
    <w:basedOn w:val="TableNormal"/>
    <w:next w:val="TableNormal"/>
    <w:uiPriority w:val="49"/>
    <w:rsid w:val="00146128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C7EDCC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2A58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A58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62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6626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6626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662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913</Characters>
  <Application>Microsoft Office Word</Application>
  <DocSecurity>0</DocSecurity>
  <Lines>7</Lines>
  <Paragraphs>2</Paragraphs>
  <ScaleCrop>false</ScaleCrop>
  <Company>china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Zhu, Gengping</dc:creator>
  <cp:lastModifiedBy>Bailey Hanna</cp:lastModifiedBy>
  <cp:revision>4</cp:revision>
  <dcterms:created xsi:type="dcterms:W3CDTF">2017-10-10T01:19:00Z</dcterms:created>
  <dcterms:modified xsi:type="dcterms:W3CDTF">2017-10-13T17:26:00Z</dcterms:modified>
</cp:coreProperties>
</file>