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pPr>
      <w:r w:rsidRPr="003F652A">
        <w:t xml:space="preserve">STROBE </w:t>
      </w:r>
      <w:r w:rsidR="00F0752A">
        <w:t>S</w:t>
      </w:r>
      <w:r w:rsidRPr="003F652A">
        <w:t xml:space="preserve">tatement—checklist of items </w:t>
      </w:r>
      <w:r w:rsidR="002E1C5E">
        <w:rPr>
          <w:rFonts w:ascii="Courier New" w:hAnsi="Courier New" w:cs="Courier New"/>
          <w:b/>
          <w:sz w:val="20"/>
          <w:lang w:val="en-US" w:eastAsia="fr-FR"/>
        </w:rPr>
        <w:t>MANUSCRIPT</w:t>
      </w:r>
      <w:r w:rsidR="002E1C5E">
        <w:rPr>
          <w:rFonts w:ascii="Courier New" w:hAnsi="Courier New" w:cs="Courier New"/>
          <w:b/>
          <w:lang w:val="en-US"/>
        </w:rPr>
        <w:t>(#PNTD-D-16-01047)</w:t>
      </w:r>
    </w:p>
    <w:p w:rsidR="009347D0" w:rsidRDefault="009347D0" w:rsidP="005B567D">
      <w:pPr>
        <w:pStyle w:val="TableTitle"/>
      </w:pPr>
      <w:r w:rsidRPr="00421959">
        <w:rPr>
          <w:b/>
          <w:szCs w:val="24"/>
        </w:rPr>
        <w:t>Epidemiology of Chikungunya Virus Outbreaks in Guadeloupe and Martinique, 2014: an Observational Study in Volunteer Blood Donors</w:t>
      </w:r>
    </w:p>
    <w:p w:rsidR="004A32C8" w:rsidRPr="003F652A" w:rsidRDefault="004A32C8" w:rsidP="005B567D">
      <w:pPr>
        <w:pStyle w:val="TableTitle"/>
      </w:pPr>
    </w:p>
    <w:tbl>
      <w:tblPr>
        <w:tblW w:w="18121"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237"/>
        <w:gridCol w:w="383"/>
        <w:gridCol w:w="616"/>
        <w:gridCol w:w="2192"/>
        <w:gridCol w:w="1097"/>
        <w:gridCol w:w="123"/>
        <w:gridCol w:w="141"/>
        <w:gridCol w:w="95"/>
        <w:gridCol w:w="851"/>
        <w:gridCol w:w="8293"/>
        <w:gridCol w:w="166"/>
        <w:gridCol w:w="2432"/>
      </w:tblGrid>
      <w:tr w:rsidR="00191A23" w:rsidRPr="0022554A" w:rsidTr="000873D8">
        <w:trPr>
          <w:gridAfter w:val="1"/>
          <w:wAfter w:w="2432" w:type="dxa"/>
        </w:trPr>
        <w:tc>
          <w:tcPr>
            <w:tcW w:w="2115" w:type="dxa"/>
            <w:gridSpan w:val="3"/>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3553" w:type="dxa"/>
            <w:gridSpan w:val="4"/>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946" w:type="dxa"/>
            <w:gridSpan w:val="2"/>
          </w:tcPr>
          <w:p w:rsidR="00191A23" w:rsidRPr="0022554A" w:rsidRDefault="00191A23" w:rsidP="007F5F04">
            <w:pPr>
              <w:pStyle w:val="TableHeader"/>
              <w:tabs>
                <w:tab w:val="left" w:pos="5400"/>
              </w:tabs>
              <w:jc w:val="center"/>
              <w:rPr>
                <w:bCs/>
                <w:sz w:val="20"/>
              </w:rPr>
            </w:pPr>
            <w:r>
              <w:rPr>
                <w:bCs/>
                <w:sz w:val="20"/>
              </w:rPr>
              <w:t xml:space="preserve">Page </w:t>
            </w:r>
            <w:r>
              <w:rPr>
                <w:bCs/>
                <w:sz w:val="20"/>
              </w:rPr>
              <w:br/>
              <w:t>No.</w:t>
            </w:r>
          </w:p>
        </w:tc>
        <w:tc>
          <w:tcPr>
            <w:tcW w:w="8459" w:type="dxa"/>
            <w:gridSpan w:val="2"/>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0873D8">
        <w:trPr>
          <w:gridAfter w:val="1"/>
          <w:wAfter w:w="2432" w:type="dxa"/>
        </w:trPr>
        <w:tc>
          <w:tcPr>
            <w:tcW w:w="2115" w:type="dxa"/>
            <w:gridSpan w:val="3"/>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3553" w:type="dxa"/>
            <w:gridSpan w:val="4"/>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946" w:type="dxa"/>
            <w:gridSpan w:val="2"/>
          </w:tcPr>
          <w:p w:rsidR="00191A23" w:rsidRPr="0022554A" w:rsidRDefault="007F5F04" w:rsidP="007F5F04">
            <w:pPr>
              <w:tabs>
                <w:tab w:val="left" w:pos="5400"/>
              </w:tabs>
              <w:jc w:val="center"/>
              <w:rPr>
                <w:sz w:val="20"/>
              </w:rPr>
            </w:pPr>
            <w:r>
              <w:rPr>
                <w:sz w:val="20"/>
              </w:rPr>
              <w:t>1</w:t>
            </w:r>
          </w:p>
        </w:tc>
        <w:tc>
          <w:tcPr>
            <w:tcW w:w="8459" w:type="dxa"/>
            <w:gridSpan w:val="2"/>
          </w:tcPr>
          <w:p w:rsidR="00191A23" w:rsidRPr="007F5F04" w:rsidRDefault="007F5F04" w:rsidP="0022554A">
            <w:pPr>
              <w:tabs>
                <w:tab w:val="left" w:pos="5400"/>
              </w:tabs>
              <w:rPr>
                <w:sz w:val="20"/>
              </w:rPr>
            </w:pPr>
            <w:r w:rsidRPr="007F5F04">
              <w:rPr>
                <w:sz w:val="20"/>
              </w:rPr>
              <w:t>Observational Study in Volunteer Blood Donors</w:t>
            </w:r>
          </w:p>
        </w:tc>
      </w:tr>
      <w:tr w:rsidR="00191A23" w:rsidRPr="0022554A" w:rsidTr="000873D8">
        <w:trPr>
          <w:gridAfter w:val="1"/>
          <w:wAfter w:w="2432" w:type="dxa"/>
        </w:trPr>
        <w:tc>
          <w:tcPr>
            <w:tcW w:w="2115" w:type="dxa"/>
            <w:gridSpan w:val="3"/>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3553" w:type="dxa"/>
            <w:gridSpan w:val="4"/>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946" w:type="dxa"/>
            <w:gridSpan w:val="2"/>
          </w:tcPr>
          <w:p w:rsidR="00191A23" w:rsidRPr="007F5F04" w:rsidRDefault="007F5F04" w:rsidP="007F5F04">
            <w:pPr>
              <w:tabs>
                <w:tab w:val="left" w:pos="5400"/>
              </w:tabs>
              <w:jc w:val="center"/>
              <w:rPr>
                <w:sz w:val="20"/>
              </w:rPr>
            </w:pPr>
            <w:r w:rsidRPr="007F5F04">
              <w:rPr>
                <w:sz w:val="20"/>
              </w:rPr>
              <w:t>3-4</w:t>
            </w:r>
          </w:p>
        </w:tc>
        <w:tc>
          <w:tcPr>
            <w:tcW w:w="8459" w:type="dxa"/>
            <w:gridSpan w:val="2"/>
          </w:tcPr>
          <w:p w:rsidR="00191A23" w:rsidRPr="007F5F04" w:rsidRDefault="007F5F04" w:rsidP="005840B4">
            <w:pPr>
              <w:tabs>
                <w:tab w:val="left" w:pos="5400"/>
              </w:tabs>
              <w:spacing w:line="240" w:lineRule="auto"/>
              <w:rPr>
                <w:sz w:val="20"/>
              </w:rPr>
            </w:pPr>
            <w:r w:rsidRPr="007F5F04">
              <w:rPr>
                <w:sz w:val="20"/>
              </w:rPr>
              <w:t>Individual testing for CHIKV RNA of all (n=16,386) blood donations between Feb-24</w:t>
            </w:r>
            <w:r w:rsidRPr="007F5F04">
              <w:rPr>
                <w:sz w:val="20"/>
                <w:vertAlign w:val="superscript"/>
              </w:rPr>
              <w:t>th</w:t>
            </w:r>
            <w:r w:rsidRPr="007F5F04">
              <w:rPr>
                <w:sz w:val="20"/>
              </w:rPr>
              <w:t xml:space="preserve"> 2014 and Jan-31</w:t>
            </w:r>
            <w:r w:rsidRPr="007F5F04">
              <w:rPr>
                <w:sz w:val="20"/>
                <w:vertAlign w:val="superscript"/>
              </w:rPr>
              <w:t>st</w:t>
            </w:r>
            <w:r w:rsidRPr="007F5F04">
              <w:rPr>
                <w:sz w:val="20"/>
              </w:rPr>
              <w:t xml:space="preserve"> 2015 identified 0·36% and 0·42% of positives in Guadeloupe and Martinique, respectively.</w:t>
            </w:r>
          </w:p>
          <w:p w:rsidR="007F5F04" w:rsidRPr="007F5F04" w:rsidRDefault="007F5F04" w:rsidP="005840B4">
            <w:pPr>
              <w:tabs>
                <w:tab w:val="left" w:pos="5400"/>
              </w:tabs>
              <w:spacing w:line="240" w:lineRule="auto"/>
              <w:rPr>
                <w:sz w:val="20"/>
              </w:rPr>
            </w:pPr>
            <w:r w:rsidRPr="007F5F04">
              <w:rPr>
                <w:sz w:val="20"/>
              </w:rPr>
              <w:t xml:space="preserve">Prospective and retrospective </w:t>
            </w:r>
            <w:proofErr w:type="spellStart"/>
            <w:r w:rsidRPr="007F5F04">
              <w:rPr>
                <w:sz w:val="20"/>
              </w:rPr>
              <w:t>seroepidemiological</w:t>
            </w:r>
            <w:proofErr w:type="spellEnd"/>
            <w:r w:rsidRPr="007F5F04">
              <w:rPr>
                <w:sz w:val="20"/>
              </w:rPr>
              <w:t xml:space="preserve"> surveys in blood donors identified a final </w:t>
            </w:r>
            <w:proofErr w:type="spellStart"/>
            <w:r w:rsidRPr="007F5F04">
              <w:rPr>
                <w:sz w:val="20"/>
              </w:rPr>
              <w:t>seroprevalence</w:t>
            </w:r>
            <w:proofErr w:type="spellEnd"/>
            <w:r w:rsidRPr="007F5F04">
              <w:rPr>
                <w:sz w:val="20"/>
              </w:rPr>
              <w:t xml:space="preserve"> of 48·1% in Guadeloupe and 41·9% in Martinique.</w:t>
            </w:r>
          </w:p>
          <w:p w:rsidR="007F5F04" w:rsidRPr="007F5F04" w:rsidRDefault="007F5F04" w:rsidP="005840B4">
            <w:pPr>
              <w:tabs>
                <w:tab w:val="left" w:pos="5400"/>
              </w:tabs>
              <w:spacing w:line="240" w:lineRule="auto"/>
              <w:rPr>
                <w:sz w:val="20"/>
              </w:rPr>
            </w:pPr>
            <w:r w:rsidRPr="007F5F04">
              <w:rPr>
                <w:sz w:val="20"/>
              </w:rPr>
              <w:t xml:space="preserve">A simulation model based on observed incidence and actual </w:t>
            </w:r>
            <w:proofErr w:type="spellStart"/>
            <w:r w:rsidRPr="007F5F04">
              <w:rPr>
                <w:sz w:val="20"/>
              </w:rPr>
              <w:t>seroprevalence</w:t>
            </w:r>
            <w:proofErr w:type="spellEnd"/>
            <w:r w:rsidRPr="007F5F04">
              <w:rPr>
                <w:sz w:val="20"/>
              </w:rPr>
              <w:t xml:space="preserve"> values predicted 2·5 and 2·3 days of asymptomatic </w:t>
            </w:r>
            <w:proofErr w:type="spellStart"/>
            <w:r w:rsidRPr="007F5F04">
              <w:rPr>
                <w:sz w:val="20"/>
              </w:rPr>
              <w:t>viraemia</w:t>
            </w:r>
            <w:proofErr w:type="spellEnd"/>
            <w:r w:rsidRPr="00A26FEC">
              <w:rPr>
                <w:szCs w:val="24"/>
              </w:rPr>
              <w:t xml:space="preserve"> </w:t>
            </w:r>
            <w:r w:rsidRPr="007F5F04">
              <w:rPr>
                <w:sz w:val="20"/>
              </w:rPr>
              <w:t xml:space="preserve">in </w:t>
            </w:r>
            <w:proofErr w:type="spellStart"/>
            <w:r w:rsidRPr="007F5F04">
              <w:rPr>
                <w:sz w:val="20"/>
              </w:rPr>
              <w:t>Martiniquan</w:t>
            </w:r>
            <w:proofErr w:type="spellEnd"/>
            <w:r w:rsidRPr="007F5F04">
              <w:rPr>
                <w:sz w:val="20"/>
              </w:rPr>
              <w:t xml:space="preserve"> and Guadeloupian blood donors respectively.</w:t>
            </w:r>
          </w:p>
        </w:tc>
      </w:tr>
      <w:tr w:rsidR="00191A23" w:rsidRPr="0022554A" w:rsidTr="000873D8">
        <w:trPr>
          <w:gridAfter w:val="1"/>
          <w:wAfter w:w="2432" w:type="dxa"/>
        </w:trPr>
        <w:tc>
          <w:tcPr>
            <w:tcW w:w="6379" w:type="dxa"/>
            <w:gridSpan w:val="9"/>
          </w:tcPr>
          <w:p w:rsidR="00191A23" w:rsidRPr="0022554A" w:rsidRDefault="00191A23" w:rsidP="007F5F04">
            <w:pPr>
              <w:pStyle w:val="TableSubHead"/>
              <w:tabs>
                <w:tab w:val="left" w:pos="5400"/>
              </w:tabs>
              <w:jc w:val="center"/>
              <w:rPr>
                <w:sz w:val="20"/>
              </w:rPr>
            </w:pPr>
            <w:bookmarkStart w:id="13" w:name="bold7"/>
            <w:bookmarkStart w:id="14" w:name="italic8"/>
            <w:bookmarkEnd w:id="11"/>
            <w:bookmarkEnd w:id="12"/>
            <w:r w:rsidRPr="0022554A">
              <w:rPr>
                <w:sz w:val="20"/>
              </w:rPr>
              <w:t>Introduction</w:t>
            </w:r>
          </w:p>
        </w:tc>
        <w:bookmarkEnd w:id="13"/>
        <w:bookmarkEnd w:id="14"/>
        <w:tc>
          <w:tcPr>
            <w:tcW w:w="9310" w:type="dxa"/>
            <w:gridSpan w:val="3"/>
          </w:tcPr>
          <w:p w:rsidR="00191A23" w:rsidRPr="0022554A" w:rsidRDefault="00191A23" w:rsidP="0022554A">
            <w:pPr>
              <w:pStyle w:val="TableSubHead"/>
              <w:tabs>
                <w:tab w:val="left" w:pos="5400"/>
              </w:tabs>
              <w:rPr>
                <w:sz w:val="20"/>
              </w:rPr>
            </w:pPr>
          </w:p>
        </w:tc>
      </w:tr>
      <w:tr w:rsidR="00191A23" w:rsidRPr="0022554A" w:rsidTr="000873D8">
        <w:trPr>
          <w:gridAfter w:val="1"/>
          <w:wAfter w:w="2432" w:type="dxa"/>
        </w:trPr>
        <w:tc>
          <w:tcPr>
            <w:tcW w:w="2115" w:type="dxa"/>
            <w:gridSpan w:val="3"/>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3553" w:type="dxa"/>
            <w:gridSpan w:val="4"/>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946" w:type="dxa"/>
            <w:gridSpan w:val="2"/>
          </w:tcPr>
          <w:p w:rsidR="00191A23" w:rsidRPr="0022554A" w:rsidRDefault="005840B4" w:rsidP="007F5F04">
            <w:pPr>
              <w:tabs>
                <w:tab w:val="left" w:pos="5400"/>
              </w:tabs>
              <w:jc w:val="center"/>
              <w:rPr>
                <w:sz w:val="20"/>
              </w:rPr>
            </w:pPr>
            <w:r>
              <w:rPr>
                <w:sz w:val="20"/>
              </w:rPr>
              <w:t>5</w:t>
            </w:r>
          </w:p>
        </w:tc>
        <w:tc>
          <w:tcPr>
            <w:tcW w:w="8459" w:type="dxa"/>
            <w:gridSpan w:val="2"/>
          </w:tcPr>
          <w:p w:rsidR="00191A23" w:rsidRPr="005840B4" w:rsidRDefault="005840B4" w:rsidP="005840B4">
            <w:pPr>
              <w:spacing w:line="240" w:lineRule="auto"/>
              <w:rPr>
                <w:sz w:val="20"/>
              </w:rPr>
            </w:pPr>
            <w:r w:rsidRPr="005840B4">
              <w:rPr>
                <w:color w:val="222222"/>
                <w:sz w:val="20"/>
              </w:rPr>
              <w:t>In December 2013, the first autochthonous cases of chikungunya fever in the Americas were recorded in the French-Dutch Caribbean Saint-Martin Island. Subsequently, the virus spread to other islands of the French West Indies (Saint-Barthelemy, Martinique and Guadeloupe), to the majority of Caribbean islands and to continental America. By now, this episode has probably involved more than one million people.</w:t>
            </w:r>
            <w:r>
              <w:rPr>
                <w:color w:val="222222"/>
                <w:sz w:val="20"/>
              </w:rPr>
              <w:t xml:space="preserve"> </w:t>
            </w:r>
            <w:r w:rsidRPr="005840B4">
              <w:rPr>
                <w:color w:val="222222"/>
                <w:sz w:val="20"/>
              </w:rPr>
              <w:t xml:space="preserve">In the most populated French Caribbean islands (Guadeloupe and Martinique), the only potential vector of CHIKV is </w:t>
            </w:r>
            <w:r w:rsidRPr="005840B4">
              <w:rPr>
                <w:i/>
                <w:color w:val="222222"/>
                <w:sz w:val="20"/>
              </w:rPr>
              <w:t xml:space="preserve">Ae. </w:t>
            </w:r>
            <w:proofErr w:type="spellStart"/>
            <w:proofErr w:type="gramStart"/>
            <w:r w:rsidRPr="005840B4">
              <w:rPr>
                <w:i/>
                <w:color w:val="222222"/>
                <w:sz w:val="20"/>
              </w:rPr>
              <w:t>aegypti</w:t>
            </w:r>
            <w:proofErr w:type="spellEnd"/>
            <w:proofErr w:type="gramEnd"/>
            <w:r w:rsidRPr="005840B4">
              <w:rPr>
                <w:color w:val="222222"/>
                <w:sz w:val="20"/>
              </w:rPr>
              <w:t xml:space="preserve">. This species is abundant and also responsible for dengue virus </w:t>
            </w:r>
            <w:r>
              <w:rPr>
                <w:color w:val="222222"/>
                <w:sz w:val="20"/>
              </w:rPr>
              <w:t>epidemics</w:t>
            </w:r>
            <w:r w:rsidRPr="005840B4">
              <w:rPr>
                <w:color w:val="222222"/>
                <w:sz w:val="20"/>
              </w:rPr>
              <w:t xml:space="preserve">. It was therefore anticipated that </w:t>
            </w:r>
            <w:r w:rsidRPr="005840B4">
              <w:rPr>
                <w:i/>
                <w:color w:val="222222"/>
                <w:sz w:val="20"/>
              </w:rPr>
              <w:t xml:space="preserve">Ae. </w:t>
            </w:r>
            <w:proofErr w:type="spellStart"/>
            <w:proofErr w:type="gramStart"/>
            <w:r w:rsidRPr="005840B4">
              <w:rPr>
                <w:i/>
                <w:color w:val="222222"/>
                <w:sz w:val="20"/>
              </w:rPr>
              <w:t>aegypti</w:t>
            </w:r>
            <w:proofErr w:type="spellEnd"/>
            <w:proofErr w:type="gramEnd"/>
            <w:r w:rsidRPr="005840B4">
              <w:rPr>
                <w:color w:val="222222"/>
                <w:sz w:val="20"/>
              </w:rPr>
              <w:t xml:space="preserve"> would </w:t>
            </w:r>
            <w:r w:rsidRPr="005840B4">
              <w:rPr>
                <w:sz w:val="20"/>
              </w:rPr>
              <w:t xml:space="preserve">transmit </w:t>
            </w:r>
            <w:r w:rsidRPr="005840B4">
              <w:rPr>
                <w:color w:val="222222"/>
                <w:sz w:val="20"/>
              </w:rPr>
              <w:t>CHIKV locally. Indeed, in 2014, at least 81,200 presumed clinical cases of chikungunya fever were recorded in Guadeloupe, and 72,500 in Martinique. Consequently, special attention was paid to minimizing the risk of virus transmission via blood transfusion.</w:t>
            </w:r>
          </w:p>
        </w:tc>
      </w:tr>
      <w:tr w:rsidR="00191A23" w:rsidRPr="0022554A" w:rsidTr="000873D8">
        <w:trPr>
          <w:gridAfter w:val="1"/>
          <w:wAfter w:w="2432" w:type="dxa"/>
        </w:trPr>
        <w:tc>
          <w:tcPr>
            <w:tcW w:w="2115" w:type="dxa"/>
            <w:gridSpan w:val="3"/>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3553" w:type="dxa"/>
            <w:gridSpan w:val="4"/>
          </w:tcPr>
          <w:p w:rsidR="00191A23" w:rsidRPr="0022554A" w:rsidRDefault="00191A23" w:rsidP="0022554A">
            <w:pPr>
              <w:tabs>
                <w:tab w:val="left" w:pos="5400"/>
              </w:tabs>
              <w:rPr>
                <w:sz w:val="20"/>
              </w:rPr>
            </w:pPr>
            <w:r w:rsidRPr="0022554A">
              <w:rPr>
                <w:sz w:val="20"/>
              </w:rPr>
              <w:t xml:space="preserve">State specific objectives, including any </w:t>
            </w:r>
            <w:proofErr w:type="spellStart"/>
            <w:r w:rsidRPr="0022554A">
              <w:rPr>
                <w:sz w:val="20"/>
              </w:rPr>
              <w:t>prespecified</w:t>
            </w:r>
            <w:proofErr w:type="spellEnd"/>
            <w:r w:rsidRPr="0022554A">
              <w:rPr>
                <w:sz w:val="20"/>
              </w:rPr>
              <w:t xml:space="preserve"> hypotheses</w:t>
            </w:r>
          </w:p>
        </w:tc>
        <w:tc>
          <w:tcPr>
            <w:tcW w:w="946" w:type="dxa"/>
            <w:gridSpan w:val="2"/>
          </w:tcPr>
          <w:p w:rsidR="00191A23" w:rsidRPr="0022554A" w:rsidRDefault="005B3CC8" w:rsidP="007F5F04">
            <w:pPr>
              <w:tabs>
                <w:tab w:val="left" w:pos="5400"/>
              </w:tabs>
              <w:jc w:val="center"/>
              <w:rPr>
                <w:sz w:val="20"/>
              </w:rPr>
            </w:pPr>
            <w:r>
              <w:rPr>
                <w:sz w:val="20"/>
              </w:rPr>
              <w:t>6</w:t>
            </w:r>
          </w:p>
        </w:tc>
        <w:tc>
          <w:tcPr>
            <w:tcW w:w="8459" w:type="dxa"/>
            <w:gridSpan w:val="2"/>
          </w:tcPr>
          <w:p w:rsidR="00191A23" w:rsidRPr="0022554A" w:rsidRDefault="00D077D4" w:rsidP="00243845">
            <w:pPr>
              <w:tabs>
                <w:tab w:val="left" w:pos="5400"/>
              </w:tabs>
              <w:spacing w:line="240" w:lineRule="auto"/>
              <w:rPr>
                <w:sz w:val="20"/>
              </w:rPr>
            </w:pPr>
            <w:r>
              <w:rPr>
                <w:color w:val="222222"/>
                <w:sz w:val="20"/>
              </w:rPr>
              <w:t>W</w:t>
            </w:r>
            <w:r w:rsidR="007F5F04" w:rsidRPr="005B3CC8">
              <w:rPr>
                <w:color w:val="222222"/>
                <w:sz w:val="20"/>
              </w:rPr>
              <w:t xml:space="preserve">e report an epidemiological follow-up of the chikungunya outbreak in Guadeloupe and Martinique islands, based on the large-scale prospective molecular detection of incident cases in blood donors and on </w:t>
            </w:r>
            <w:proofErr w:type="spellStart"/>
            <w:r w:rsidR="007F5F04" w:rsidRPr="005B3CC8">
              <w:rPr>
                <w:color w:val="222222"/>
                <w:sz w:val="20"/>
              </w:rPr>
              <w:t>seroprevalence</w:t>
            </w:r>
            <w:proofErr w:type="spellEnd"/>
            <w:r w:rsidR="007F5F04" w:rsidRPr="005B3CC8">
              <w:rPr>
                <w:color w:val="222222"/>
                <w:sz w:val="20"/>
              </w:rPr>
              <w:t xml:space="preserve"> analyses performed in donors at different time intervals during the epidemic</w:t>
            </w:r>
            <w:r w:rsidR="007F5F04" w:rsidRPr="00902C96">
              <w:rPr>
                <w:color w:val="222222"/>
                <w:szCs w:val="24"/>
              </w:rPr>
              <w:t>.</w:t>
            </w:r>
          </w:p>
        </w:tc>
      </w:tr>
      <w:tr w:rsidR="00191A23" w:rsidRPr="0022554A" w:rsidTr="000873D8">
        <w:trPr>
          <w:gridAfter w:val="1"/>
          <w:wAfter w:w="2432" w:type="dxa"/>
        </w:trPr>
        <w:tc>
          <w:tcPr>
            <w:tcW w:w="6379" w:type="dxa"/>
            <w:gridSpan w:val="9"/>
          </w:tcPr>
          <w:p w:rsidR="00191A23" w:rsidRPr="0022554A" w:rsidRDefault="00191A23" w:rsidP="007F5F04">
            <w:pPr>
              <w:pStyle w:val="TableSubHead"/>
              <w:tabs>
                <w:tab w:val="left" w:pos="5400"/>
              </w:tabs>
              <w:jc w:val="center"/>
              <w:rPr>
                <w:sz w:val="20"/>
              </w:rPr>
            </w:pPr>
            <w:bookmarkStart w:id="21" w:name="bold11"/>
            <w:bookmarkStart w:id="22" w:name="italic12"/>
            <w:bookmarkEnd w:id="19"/>
            <w:bookmarkEnd w:id="20"/>
            <w:r w:rsidRPr="0022554A">
              <w:rPr>
                <w:sz w:val="20"/>
              </w:rPr>
              <w:t>Methods</w:t>
            </w:r>
          </w:p>
        </w:tc>
        <w:bookmarkEnd w:id="21"/>
        <w:bookmarkEnd w:id="22"/>
        <w:tc>
          <w:tcPr>
            <w:tcW w:w="9310" w:type="dxa"/>
            <w:gridSpan w:val="3"/>
          </w:tcPr>
          <w:p w:rsidR="00191A23" w:rsidRPr="0022554A" w:rsidRDefault="00191A23" w:rsidP="0022554A">
            <w:pPr>
              <w:pStyle w:val="TableSubHead"/>
              <w:tabs>
                <w:tab w:val="left" w:pos="5400"/>
              </w:tabs>
              <w:rPr>
                <w:sz w:val="20"/>
              </w:rPr>
            </w:pPr>
          </w:p>
        </w:tc>
      </w:tr>
      <w:tr w:rsidR="00191A23" w:rsidRPr="0022554A" w:rsidTr="000873D8">
        <w:trPr>
          <w:gridAfter w:val="1"/>
          <w:wAfter w:w="2432" w:type="dxa"/>
        </w:trPr>
        <w:tc>
          <w:tcPr>
            <w:tcW w:w="2115" w:type="dxa"/>
            <w:gridSpan w:val="3"/>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3553" w:type="dxa"/>
            <w:gridSpan w:val="4"/>
          </w:tcPr>
          <w:p w:rsidR="00191A23" w:rsidRPr="0022554A" w:rsidRDefault="00191A23" w:rsidP="0022554A">
            <w:pPr>
              <w:tabs>
                <w:tab w:val="left" w:pos="5400"/>
              </w:tabs>
              <w:rPr>
                <w:sz w:val="20"/>
              </w:rPr>
            </w:pPr>
            <w:r w:rsidRPr="0022554A">
              <w:rPr>
                <w:sz w:val="20"/>
              </w:rPr>
              <w:t>Present key elements of study design early in the paper</w:t>
            </w:r>
          </w:p>
        </w:tc>
        <w:tc>
          <w:tcPr>
            <w:tcW w:w="946" w:type="dxa"/>
            <w:gridSpan w:val="2"/>
          </w:tcPr>
          <w:p w:rsidR="00191A23" w:rsidRDefault="009B6E77" w:rsidP="007F5F04">
            <w:pPr>
              <w:tabs>
                <w:tab w:val="left" w:pos="5400"/>
              </w:tabs>
              <w:jc w:val="center"/>
              <w:rPr>
                <w:sz w:val="20"/>
              </w:rPr>
            </w:pPr>
            <w:r>
              <w:rPr>
                <w:sz w:val="20"/>
              </w:rPr>
              <w:t>7-</w:t>
            </w:r>
            <w:r w:rsidR="00A92F9F">
              <w:rPr>
                <w:sz w:val="20"/>
              </w:rPr>
              <w:t>8</w:t>
            </w:r>
          </w:p>
          <w:p w:rsidR="00A92F9F" w:rsidRPr="0022554A" w:rsidRDefault="00A92F9F" w:rsidP="007F5F04">
            <w:pPr>
              <w:tabs>
                <w:tab w:val="left" w:pos="5400"/>
              </w:tabs>
              <w:jc w:val="center"/>
              <w:rPr>
                <w:sz w:val="20"/>
              </w:rPr>
            </w:pPr>
            <w:r>
              <w:rPr>
                <w:sz w:val="20"/>
              </w:rPr>
              <w:t>Fig1</w:t>
            </w:r>
          </w:p>
        </w:tc>
        <w:tc>
          <w:tcPr>
            <w:tcW w:w="8459" w:type="dxa"/>
            <w:gridSpan w:val="2"/>
          </w:tcPr>
          <w:p w:rsidR="00A92F9F" w:rsidRPr="00A92F9F" w:rsidRDefault="00A92F9F" w:rsidP="0024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rPr>
            </w:pPr>
            <w:r w:rsidRPr="00A92F9F">
              <w:rPr>
                <w:sz w:val="20"/>
              </w:rPr>
              <w:t xml:space="preserve">Non-remunerated </w:t>
            </w:r>
            <w:proofErr w:type="gramStart"/>
            <w:r w:rsidRPr="00A92F9F">
              <w:rPr>
                <w:sz w:val="20"/>
              </w:rPr>
              <w:t>volunteers</w:t>
            </w:r>
            <w:proofErr w:type="gramEnd"/>
            <w:r w:rsidRPr="00A92F9F">
              <w:rPr>
                <w:sz w:val="20"/>
              </w:rPr>
              <w:t xml:space="preserve"> blood donors (18-70yo) recruited according to French regulatory requirements</w:t>
            </w:r>
            <w:r>
              <w:rPr>
                <w:sz w:val="20"/>
              </w:rPr>
              <w:t>.</w:t>
            </w:r>
          </w:p>
          <w:p w:rsidR="00A92F9F" w:rsidRPr="00A92F9F" w:rsidRDefault="00A92F9F" w:rsidP="00243845">
            <w:pPr>
              <w:spacing w:line="240" w:lineRule="auto"/>
              <w:rPr>
                <w:sz w:val="20"/>
              </w:rPr>
            </w:pPr>
            <w:r w:rsidRPr="00A92F9F">
              <w:rPr>
                <w:sz w:val="20"/>
              </w:rPr>
              <w:t>Molecular</w:t>
            </w:r>
            <w:r w:rsidRPr="00A92F9F">
              <w:rPr>
                <w:color w:val="0070C0"/>
                <w:sz w:val="20"/>
              </w:rPr>
              <w:t xml:space="preserve"> </w:t>
            </w:r>
            <w:r w:rsidRPr="00A92F9F">
              <w:rPr>
                <w:sz w:val="20"/>
              </w:rPr>
              <w:t>study</w:t>
            </w:r>
            <w:r w:rsidRPr="00A92F9F">
              <w:rPr>
                <w:b/>
                <w:i/>
                <w:sz w:val="20"/>
              </w:rPr>
              <w:t>.</w:t>
            </w:r>
            <w:r w:rsidRPr="00A92F9F">
              <w:rPr>
                <w:b/>
                <w:sz w:val="20"/>
              </w:rPr>
              <w:t xml:space="preserve"> </w:t>
            </w:r>
            <w:r w:rsidRPr="00A92F9F">
              <w:rPr>
                <w:sz w:val="20"/>
              </w:rPr>
              <w:t>Between Feb-24</w:t>
            </w:r>
            <w:r w:rsidRPr="00A92F9F">
              <w:rPr>
                <w:sz w:val="20"/>
                <w:vertAlign w:val="superscript"/>
              </w:rPr>
              <w:t>th</w:t>
            </w:r>
            <w:r w:rsidRPr="00A92F9F">
              <w:rPr>
                <w:sz w:val="20"/>
              </w:rPr>
              <w:t xml:space="preserve"> 2014 and Jan-31</w:t>
            </w:r>
            <w:r w:rsidRPr="00A92F9F">
              <w:rPr>
                <w:sz w:val="20"/>
                <w:vertAlign w:val="superscript"/>
              </w:rPr>
              <w:t>st</w:t>
            </w:r>
            <w:r w:rsidRPr="00A92F9F">
              <w:rPr>
                <w:sz w:val="20"/>
              </w:rPr>
              <w:t xml:space="preserve"> 2015, all blood donations in Guadeloupe (n=6,189; sex ratio=0·96) and Martinique (n=10,197; sex ratio=0·88) were subjected to individual nucleic acid testing (NAT) for CHIKV RNA (n=16,386; sex ratio=0·91; pop#1; Fig 1). </w:t>
            </w:r>
          </w:p>
          <w:p w:rsidR="00191A23" w:rsidRPr="00A92F9F" w:rsidRDefault="00A92F9F" w:rsidP="0024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rPr>
            </w:pPr>
            <w:proofErr w:type="spellStart"/>
            <w:r w:rsidRPr="00A92F9F">
              <w:rPr>
                <w:sz w:val="20"/>
              </w:rPr>
              <w:t>Seroprevalence</w:t>
            </w:r>
            <w:proofErr w:type="spellEnd"/>
            <w:r w:rsidRPr="00A92F9F">
              <w:rPr>
                <w:sz w:val="20"/>
              </w:rPr>
              <w:t xml:space="preserve"> analyses</w:t>
            </w:r>
            <w:r w:rsidRPr="00A92F9F">
              <w:rPr>
                <w:b/>
                <w:i/>
                <w:sz w:val="20"/>
              </w:rPr>
              <w:t>.</w:t>
            </w:r>
            <w:r w:rsidRPr="00A92F9F">
              <w:rPr>
                <w:b/>
                <w:sz w:val="20"/>
              </w:rPr>
              <w:t xml:space="preserve"> </w:t>
            </w:r>
            <w:r w:rsidRPr="00A92F9F">
              <w:rPr>
                <w:sz w:val="20"/>
              </w:rPr>
              <w:t xml:space="preserve">Our objective was to follow the rise of </w:t>
            </w:r>
            <w:proofErr w:type="spellStart"/>
            <w:r w:rsidRPr="00A92F9F">
              <w:rPr>
                <w:sz w:val="20"/>
              </w:rPr>
              <w:t>seroprevalence</w:t>
            </w:r>
            <w:proofErr w:type="spellEnd"/>
            <w:r w:rsidRPr="00A92F9F">
              <w:rPr>
                <w:sz w:val="20"/>
              </w:rPr>
              <w:t xml:space="preserve"> at the onset of the outbreak, to estimate the final </w:t>
            </w:r>
            <w:proofErr w:type="spellStart"/>
            <w:r w:rsidRPr="00A92F9F">
              <w:rPr>
                <w:sz w:val="20"/>
              </w:rPr>
              <w:t>seroprevalence</w:t>
            </w:r>
            <w:proofErr w:type="spellEnd"/>
            <w:r w:rsidRPr="00A92F9F">
              <w:rPr>
                <w:sz w:val="20"/>
              </w:rPr>
              <w:t xml:space="preserve">, and to refine the picture of epidemic kinetics and help calibrating our model by obtaining an intermediate </w:t>
            </w:r>
            <w:proofErr w:type="spellStart"/>
            <w:r w:rsidRPr="00A92F9F">
              <w:rPr>
                <w:sz w:val="20"/>
              </w:rPr>
              <w:t>seroprevalence</w:t>
            </w:r>
            <w:proofErr w:type="spellEnd"/>
            <w:r w:rsidRPr="00A92F9F">
              <w:rPr>
                <w:sz w:val="20"/>
              </w:rPr>
              <w:t xml:space="preserve"> value.</w:t>
            </w:r>
            <w:r w:rsidRPr="00A92F9F">
              <w:rPr>
                <w:sz w:val="20"/>
                <w:u w:val="single"/>
              </w:rPr>
              <w:t xml:space="preserve"> </w:t>
            </w:r>
            <w:r w:rsidRPr="00A92F9F">
              <w:rPr>
                <w:sz w:val="20"/>
              </w:rPr>
              <w:t xml:space="preserve">Accordingly, a </w:t>
            </w:r>
            <w:proofErr w:type="spellStart"/>
            <w:r w:rsidRPr="00A92F9F">
              <w:rPr>
                <w:sz w:val="20"/>
              </w:rPr>
              <w:t>sero</w:t>
            </w:r>
            <w:proofErr w:type="spellEnd"/>
            <w:r w:rsidRPr="00A92F9F">
              <w:rPr>
                <w:sz w:val="20"/>
              </w:rPr>
              <w:t>-</w:t>
            </w:r>
            <w:r w:rsidRPr="00A92F9F">
              <w:rPr>
                <w:sz w:val="20"/>
              </w:rPr>
              <w:lastRenderedPageBreak/>
              <w:t>epidemiological survey was conducted using a selection of samples (n=9,506) collected for NAT screening. This included donations collected in Guadeloupe and Martinique between Feb-24</w:t>
            </w:r>
            <w:r w:rsidRPr="00A92F9F">
              <w:rPr>
                <w:sz w:val="20"/>
                <w:vertAlign w:val="superscript"/>
              </w:rPr>
              <w:t>th</w:t>
            </w:r>
            <w:r w:rsidRPr="00A92F9F">
              <w:rPr>
                <w:sz w:val="20"/>
              </w:rPr>
              <w:t xml:space="preserve"> and July-31</w:t>
            </w:r>
            <w:r w:rsidRPr="00A92F9F">
              <w:rPr>
                <w:sz w:val="20"/>
                <w:vertAlign w:val="superscript"/>
              </w:rPr>
              <w:t>st</w:t>
            </w:r>
            <w:r w:rsidRPr="00A92F9F">
              <w:rPr>
                <w:sz w:val="20"/>
              </w:rPr>
              <w:t xml:space="preserve"> 2014 (n=6,812; pop#2; Fig 1), randomised samples in October 2014 (n=940; pop#3; Fig1) and January 2015 (n=1,754; pop#4; Fig 1). </w:t>
            </w:r>
            <w:proofErr w:type="spellStart"/>
            <w:r w:rsidRPr="00A92F9F">
              <w:rPr>
                <w:sz w:val="20"/>
              </w:rPr>
              <w:t>Seroprevalence</w:t>
            </w:r>
            <w:proofErr w:type="spellEnd"/>
            <w:r w:rsidRPr="00A92F9F">
              <w:rPr>
                <w:sz w:val="20"/>
              </w:rPr>
              <w:t xml:space="preserve"> was analysed separately for Guadeloupe and Martinique. In addition, a retrospective </w:t>
            </w:r>
            <w:proofErr w:type="spellStart"/>
            <w:r w:rsidRPr="00A92F9F">
              <w:rPr>
                <w:sz w:val="20"/>
              </w:rPr>
              <w:t>sero-épidemiological</w:t>
            </w:r>
            <w:proofErr w:type="spellEnd"/>
            <w:r w:rsidRPr="00A92F9F">
              <w:rPr>
                <w:sz w:val="20"/>
              </w:rPr>
              <w:t xml:space="preserve"> study was performed from donations collected in Martinique island between Aug-1</w:t>
            </w:r>
            <w:r w:rsidRPr="00A92F9F">
              <w:rPr>
                <w:sz w:val="20"/>
                <w:vertAlign w:val="superscript"/>
              </w:rPr>
              <w:t>st</w:t>
            </w:r>
            <w:r w:rsidRPr="00A92F9F">
              <w:rPr>
                <w:sz w:val="20"/>
              </w:rPr>
              <w:t xml:space="preserve"> 2013 and Feb-23</w:t>
            </w:r>
            <w:r w:rsidRPr="00A92F9F">
              <w:rPr>
                <w:sz w:val="20"/>
                <w:vertAlign w:val="superscript"/>
              </w:rPr>
              <w:t>th</w:t>
            </w:r>
            <w:r w:rsidRPr="00A92F9F">
              <w:rPr>
                <w:sz w:val="20"/>
              </w:rPr>
              <w:t xml:space="preserve"> 2014 (n=6,559; pop#5; Fig 1) in order to identify possible CHIKV circulation before the first description of autochthonous cases. </w:t>
            </w:r>
          </w:p>
        </w:tc>
      </w:tr>
      <w:tr w:rsidR="00191A23" w:rsidRPr="0022554A" w:rsidTr="000873D8">
        <w:trPr>
          <w:gridAfter w:val="1"/>
          <w:wAfter w:w="2432" w:type="dxa"/>
        </w:trPr>
        <w:tc>
          <w:tcPr>
            <w:tcW w:w="2115" w:type="dxa"/>
            <w:gridSpan w:val="3"/>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lastRenderedPageBreak/>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3553" w:type="dxa"/>
            <w:gridSpan w:val="4"/>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946" w:type="dxa"/>
            <w:gridSpan w:val="2"/>
          </w:tcPr>
          <w:p w:rsidR="00191A23" w:rsidRDefault="00210F73" w:rsidP="007F5F04">
            <w:pPr>
              <w:tabs>
                <w:tab w:val="left" w:pos="5400"/>
              </w:tabs>
              <w:jc w:val="center"/>
              <w:rPr>
                <w:sz w:val="20"/>
              </w:rPr>
            </w:pPr>
            <w:r>
              <w:rPr>
                <w:sz w:val="20"/>
              </w:rPr>
              <w:t>8</w:t>
            </w:r>
          </w:p>
          <w:p w:rsidR="00210F73" w:rsidRPr="0022554A" w:rsidRDefault="00210F73" w:rsidP="007F5F04">
            <w:pPr>
              <w:tabs>
                <w:tab w:val="left" w:pos="5400"/>
              </w:tabs>
              <w:jc w:val="center"/>
              <w:rPr>
                <w:sz w:val="20"/>
              </w:rPr>
            </w:pPr>
            <w:r>
              <w:rPr>
                <w:sz w:val="20"/>
              </w:rPr>
              <w:t>Fig1</w:t>
            </w:r>
          </w:p>
        </w:tc>
        <w:tc>
          <w:tcPr>
            <w:tcW w:w="8459" w:type="dxa"/>
            <w:gridSpan w:val="2"/>
          </w:tcPr>
          <w:p w:rsidR="00191A23" w:rsidRPr="0022554A" w:rsidRDefault="00A92F9F" w:rsidP="00243845">
            <w:pPr>
              <w:tabs>
                <w:tab w:val="left" w:pos="5400"/>
              </w:tabs>
              <w:spacing w:line="240" w:lineRule="auto"/>
              <w:rPr>
                <w:sz w:val="20"/>
              </w:rPr>
            </w:pPr>
            <w:r>
              <w:rPr>
                <w:sz w:val="20"/>
              </w:rPr>
              <w:t>See item 4</w:t>
            </w:r>
          </w:p>
        </w:tc>
      </w:tr>
      <w:bookmarkEnd w:id="25"/>
      <w:bookmarkEnd w:id="26"/>
      <w:tr w:rsidR="00191A23" w:rsidRPr="0022554A" w:rsidTr="000873D8">
        <w:trPr>
          <w:gridAfter w:val="1"/>
          <w:wAfter w:w="2432" w:type="dxa"/>
        </w:trPr>
        <w:tc>
          <w:tcPr>
            <w:tcW w:w="2115" w:type="dxa"/>
            <w:gridSpan w:val="3"/>
            <w:vMerge w:val="restart"/>
          </w:tcPr>
          <w:p w:rsidR="00191A23" w:rsidRPr="0022554A" w:rsidRDefault="00191A23" w:rsidP="0022554A">
            <w:pPr>
              <w:tabs>
                <w:tab w:val="left" w:pos="5400"/>
              </w:tabs>
              <w:rPr>
                <w:bCs/>
                <w:sz w:val="20"/>
              </w:rPr>
            </w:pPr>
            <w:r w:rsidRPr="0022554A">
              <w:rPr>
                <w:bCs/>
                <w:sz w:val="20"/>
              </w:rPr>
              <w:t>Participants</w:t>
            </w:r>
          </w:p>
        </w:tc>
        <w:tc>
          <w:tcPr>
            <w:tcW w:w="616" w:type="dxa"/>
            <w:vMerge w:val="restart"/>
          </w:tcPr>
          <w:p w:rsidR="00191A23" w:rsidRPr="0022554A" w:rsidRDefault="00191A23" w:rsidP="0022554A">
            <w:pPr>
              <w:tabs>
                <w:tab w:val="left" w:pos="5400"/>
              </w:tabs>
              <w:jc w:val="center"/>
              <w:rPr>
                <w:sz w:val="20"/>
              </w:rPr>
            </w:pPr>
            <w:r w:rsidRPr="0022554A">
              <w:rPr>
                <w:sz w:val="20"/>
              </w:rPr>
              <w:t>6</w:t>
            </w:r>
          </w:p>
        </w:tc>
        <w:tc>
          <w:tcPr>
            <w:tcW w:w="3553" w:type="dxa"/>
            <w:gridSpan w:val="4"/>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191A23" w:rsidRPr="0022554A" w:rsidRDefault="00191A23"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191A23" w:rsidRPr="0022554A" w:rsidRDefault="00191A23"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946" w:type="dxa"/>
            <w:gridSpan w:val="2"/>
          </w:tcPr>
          <w:p w:rsidR="00191A23" w:rsidRPr="0022554A" w:rsidRDefault="009B6E77" w:rsidP="007F5F04">
            <w:pPr>
              <w:tabs>
                <w:tab w:val="left" w:pos="5400"/>
              </w:tabs>
              <w:jc w:val="center"/>
              <w:rPr>
                <w:sz w:val="20"/>
              </w:rPr>
            </w:pPr>
            <w:r>
              <w:rPr>
                <w:sz w:val="20"/>
              </w:rPr>
              <w:t>7</w:t>
            </w:r>
          </w:p>
        </w:tc>
        <w:tc>
          <w:tcPr>
            <w:tcW w:w="8459" w:type="dxa"/>
            <w:gridSpan w:val="2"/>
          </w:tcPr>
          <w:p w:rsidR="00210F73" w:rsidRPr="00A92F9F" w:rsidRDefault="00210F73" w:rsidP="00243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rPr>
            </w:pPr>
            <w:r w:rsidRPr="00A92F9F">
              <w:rPr>
                <w:sz w:val="20"/>
              </w:rPr>
              <w:t xml:space="preserve">Non-remunerated </w:t>
            </w:r>
            <w:proofErr w:type="gramStart"/>
            <w:r w:rsidRPr="00A92F9F">
              <w:rPr>
                <w:sz w:val="20"/>
              </w:rPr>
              <w:t>volunteers</w:t>
            </w:r>
            <w:proofErr w:type="gramEnd"/>
            <w:r w:rsidRPr="00A92F9F">
              <w:rPr>
                <w:sz w:val="20"/>
              </w:rPr>
              <w:t xml:space="preserve"> blood donors (18-70yo) recruited according to French regulatory requirements</w:t>
            </w:r>
            <w:r>
              <w:rPr>
                <w:sz w:val="20"/>
              </w:rPr>
              <w:t>.</w:t>
            </w:r>
          </w:p>
          <w:p w:rsidR="00191A23" w:rsidRPr="0022554A" w:rsidRDefault="00191A23" w:rsidP="00243845">
            <w:pPr>
              <w:tabs>
                <w:tab w:val="left" w:pos="5400"/>
              </w:tabs>
              <w:spacing w:line="240" w:lineRule="auto"/>
              <w:rPr>
                <w:sz w:val="20"/>
              </w:rPr>
            </w:pPr>
          </w:p>
        </w:tc>
      </w:tr>
      <w:tr w:rsidR="00191A23" w:rsidRPr="0022554A" w:rsidTr="000873D8">
        <w:trPr>
          <w:gridAfter w:val="1"/>
          <w:wAfter w:w="2432" w:type="dxa"/>
        </w:trPr>
        <w:tc>
          <w:tcPr>
            <w:tcW w:w="2115" w:type="dxa"/>
            <w:gridSpan w:val="3"/>
            <w:vMerge/>
          </w:tcPr>
          <w:p w:rsidR="00191A23" w:rsidRPr="0022554A" w:rsidRDefault="00191A23" w:rsidP="0022554A">
            <w:pPr>
              <w:tabs>
                <w:tab w:val="left" w:pos="5400"/>
              </w:tabs>
              <w:rPr>
                <w:bCs/>
                <w:sz w:val="20"/>
              </w:rPr>
            </w:pPr>
            <w:bookmarkStart w:id="27" w:name="bold14" w:colFirst="0" w:colLast="0"/>
            <w:bookmarkStart w:id="28" w:name="italic15" w:colFirst="0" w:colLast="0"/>
          </w:p>
        </w:tc>
        <w:tc>
          <w:tcPr>
            <w:tcW w:w="616" w:type="dxa"/>
            <w:vMerge/>
          </w:tcPr>
          <w:p w:rsidR="00191A23" w:rsidRPr="0022554A" w:rsidRDefault="00191A23" w:rsidP="0022554A">
            <w:pPr>
              <w:tabs>
                <w:tab w:val="left" w:pos="5400"/>
              </w:tabs>
              <w:jc w:val="center"/>
              <w:rPr>
                <w:sz w:val="20"/>
              </w:rPr>
            </w:pPr>
          </w:p>
        </w:tc>
        <w:tc>
          <w:tcPr>
            <w:tcW w:w="3553" w:type="dxa"/>
            <w:gridSpan w:val="4"/>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191A23" w:rsidRPr="0022554A" w:rsidRDefault="00191A23"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946" w:type="dxa"/>
            <w:gridSpan w:val="2"/>
          </w:tcPr>
          <w:p w:rsidR="00191A23" w:rsidRPr="0022554A" w:rsidRDefault="00210F73" w:rsidP="007F5F04">
            <w:pPr>
              <w:tabs>
                <w:tab w:val="left" w:pos="5400"/>
              </w:tabs>
              <w:jc w:val="center"/>
              <w:rPr>
                <w:sz w:val="20"/>
              </w:rPr>
            </w:pPr>
            <w:r>
              <w:rPr>
                <w:sz w:val="20"/>
              </w:rPr>
              <w:t>NA</w:t>
            </w:r>
          </w:p>
        </w:tc>
        <w:tc>
          <w:tcPr>
            <w:tcW w:w="8459" w:type="dxa"/>
            <w:gridSpan w:val="2"/>
          </w:tcPr>
          <w:p w:rsidR="00191A23" w:rsidRPr="0022554A" w:rsidRDefault="00210F73" w:rsidP="0022554A">
            <w:pPr>
              <w:tabs>
                <w:tab w:val="left" w:pos="5400"/>
              </w:tabs>
              <w:rPr>
                <w:sz w:val="20"/>
              </w:rPr>
            </w:pPr>
            <w:r>
              <w:rPr>
                <w:sz w:val="20"/>
              </w:rPr>
              <w:t>Not applicable</w:t>
            </w:r>
          </w:p>
        </w:tc>
      </w:tr>
      <w:tr w:rsidR="00191A23" w:rsidRPr="0022554A" w:rsidTr="000873D8">
        <w:trPr>
          <w:gridAfter w:val="1"/>
          <w:wAfter w:w="2432" w:type="dxa"/>
        </w:trPr>
        <w:tc>
          <w:tcPr>
            <w:tcW w:w="2115" w:type="dxa"/>
            <w:gridSpan w:val="3"/>
          </w:tcPr>
          <w:p w:rsidR="00191A23" w:rsidRPr="0022554A" w:rsidRDefault="00191A23"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3553" w:type="dxa"/>
            <w:gridSpan w:val="4"/>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946" w:type="dxa"/>
            <w:gridSpan w:val="2"/>
          </w:tcPr>
          <w:p w:rsidR="00191A23" w:rsidRPr="0022554A" w:rsidRDefault="009B6E77" w:rsidP="007F5F04">
            <w:pPr>
              <w:tabs>
                <w:tab w:val="left" w:pos="5400"/>
              </w:tabs>
              <w:jc w:val="center"/>
              <w:rPr>
                <w:sz w:val="20"/>
              </w:rPr>
            </w:pPr>
            <w:r>
              <w:rPr>
                <w:sz w:val="20"/>
              </w:rPr>
              <w:t>NA</w:t>
            </w:r>
          </w:p>
        </w:tc>
        <w:tc>
          <w:tcPr>
            <w:tcW w:w="8459" w:type="dxa"/>
            <w:gridSpan w:val="2"/>
          </w:tcPr>
          <w:p w:rsidR="00191A23" w:rsidRPr="0022554A" w:rsidRDefault="009B6E77" w:rsidP="009B6E77">
            <w:pPr>
              <w:tabs>
                <w:tab w:val="left" w:pos="5400"/>
              </w:tabs>
              <w:rPr>
                <w:sz w:val="20"/>
              </w:rPr>
            </w:pPr>
            <w:r>
              <w:rPr>
                <w:sz w:val="20"/>
              </w:rPr>
              <w:t>Not applicable, Epidemiological and o</w:t>
            </w:r>
            <w:r w:rsidRPr="007F5F04">
              <w:rPr>
                <w:sz w:val="20"/>
              </w:rPr>
              <w:t>bservational Study in Volunteer Blood Donors</w:t>
            </w:r>
            <w:r>
              <w:rPr>
                <w:sz w:val="20"/>
              </w:rPr>
              <w:t>.</w:t>
            </w:r>
          </w:p>
        </w:tc>
      </w:tr>
      <w:tr w:rsidR="00191A23" w:rsidRPr="0022554A" w:rsidTr="000873D8">
        <w:trPr>
          <w:gridAfter w:val="1"/>
          <w:wAfter w:w="2432" w:type="dxa"/>
          <w:trHeight w:val="294"/>
        </w:trPr>
        <w:tc>
          <w:tcPr>
            <w:tcW w:w="2115" w:type="dxa"/>
            <w:gridSpan w:val="3"/>
          </w:tcPr>
          <w:p w:rsidR="00191A23" w:rsidRPr="0022554A" w:rsidRDefault="00191A23" w:rsidP="0022554A">
            <w:pPr>
              <w:tabs>
                <w:tab w:val="left" w:pos="5400"/>
              </w:tabs>
              <w:rPr>
                <w:bCs/>
                <w:sz w:val="20"/>
              </w:rPr>
            </w:pPr>
            <w:bookmarkStart w:id="31" w:name="bold17"/>
            <w:bookmarkStart w:id="32" w:name="italic18"/>
            <w:bookmarkEnd w:id="29"/>
            <w:bookmarkEnd w:id="30"/>
            <w:r w:rsidRPr="0022554A">
              <w:rPr>
                <w:bCs/>
                <w:sz w:val="20"/>
              </w:rPr>
              <w:lastRenderedPageBreak/>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616" w:type="dxa"/>
          </w:tcPr>
          <w:p w:rsidR="00191A23" w:rsidRPr="0022554A" w:rsidRDefault="00191A23" w:rsidP="0022554A">
            <w:pPr>
              <w:tabs>
                <w:tab w:val="left" w:pos="5400"/>
              </w:tabs>
              <w:jc w:val="center"/>
              <w:rPr>
                <w:sz w:val="20"/>
              </w:rPr>
            </w:pPr>
            <w:r w:rsidRPr="0022554A">
              <w:rPr>
                <w:sz w:val="20"/>
              </w:rPr>
              <w:t>8</w:t>
            </w:r>
            <w:bookmarkStart w:id="35" w:name="bold19"/>
            <w:r w:rsidRPr="0022554A">
              <w:rPr>
                <w:bCs/>
                <w:sz w:val="20"/>
              </w:rPr>
              <w:t>*</w:t>
            </w:r>
            <w:bookmarkEnd w:id="35"/>
          </w:p>
        </w:tc>
        <w:tc>
          <w:tcPr>
            <w:tcW w:w="3412" w:type="dxa"/>
            <w:gridSpan w:val="3"/>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087" w:type="dxa"/>
            <w:gridSpan w:val="3"/>
          </w:tcPr>
          <w:p w:rsidR="00191A23" w:rsidRDefault="009B6E77" w:rsidP="009A045F">
            <w:pPr>
              <w:tabs>
                <w:tab w:val="left" w:pos="5400"/>
              </w:tabs>
              <w:spacing w:line="240" w:lineRule="auto"/>
              <w:jc w:val="center"/>
              <w:rPr>
                <w:sz w:val="20"/>
              </w:rPr>
            </w:pPr>
            <w:r>
              <w:rPr>
                <w:sz w:val="20"/>
              </w:rPr>
              <w:t>7</w:t>
            </w:r>
          </w:p>
          <w:p w:rsidR="009B6E77" w:rsidRDefault="009B6E77" w:rsidP="009A045F">
            <w:pPr>
              <w:tabs>
                <w:tab w:val="left" w:pos="5400"/>
              </w:tabs>
              <w:spacing w:line="240" w:lineRule="auto"/>
              <w:jc w:val="center"/>
              <w:rPr>
                <w:sz w:val="20"/>
              </w:rPr>
            </w:pPr>
          </w:p>
          <w:p w:rsidR="005840B4" w:rsidRDefault="005840B4" w:rsidP="009A045F">
            <w:pPr>
              <w:tabs>
                <w:tab w:val="left" w:pos="5400"/>
              </w:tabs>
              <w:spacing w:line="240" w:lineRule="auto"/>
              <w:jc w:val="center"/>
              <w:rPr>
                <w:sz w:val="20"/>
              </w:rPr>
            </w:pPr>
          </w:p>
          <w:p w:rsidR="009B6E77" w:rsidRDefault="009B6E77" w:rsidP="009A045F">
            <w:pPr>
              <w:tabs>
                <w:tab w:val="left" w:pos="5400"/>
              </w:tabs>
              <w:spacing w:line="240" w:lineRule="auto"/>
              <w:jc w:val="center"/>
              <w:rPr>
                <w:sz w:val="20"/>
              </w:rPr>
            </w:pPr>
            <w:r>
              <w:rPr>
                <w:sz w:val="20"/>
              </w:rPr>
              <w:t>8-9</w:t>
            </w:r>
          </w:p>
          <w:p w:rsidR="009B6E77" w:rsidRDefault="009B6E77" w:rsidP="009A045F">
            <w:pPr>
              <w:tabs>
                <w:tab w:val="left" w:pos="5400"/>
              </w:tabs>
              <w:spacing w:line="240" w:lineRule="auto"/>
              <w:jc w:val="center"/>
              <w:rPr>
                <w:sz w:val="20"/>
              </w:rPr>
            </w:pPr>
          </w:p>
          <w:p w:rsidR="009B6E77" w:rsidRDefault="009B6E77" w:rsidP="009A045F">
            <w:pPr>
              <w:tabs>
                <w:tab w:val="left" w:pos="5400"/>
              </w:tabs>
              <w:spacing w:line="240" w:lineRule="auto"/>
              <w:jc w:val="center"/>
              <w:rPr>
                <w:sz w:val="20"/>
              </w:rPr>
            </w:pPr>
          </w:p>
          <w:p w:rsidR="009B6E77" w:rsidRDefault="009B6E77" w:rsidP="009A045F">
            <w:pPr>
              <w:tabs>
                <w:tab w:val="left" w:pos="5400"/>
              </w:tabs>
              <w:spacing w:line="240" w:lineRule="auto"/>
              <w:jc w:val="center"/>
              <w:rPr>
                <w:sz w:val="20"/>
              </w:rPr>
            </w:pPr>
          </w:p>
          <w:p w:rsidR="009B6E77" w:rsidRDefault="009B6E77" w:rsidP="009A045F">
            <w:pPr>
              <w:tabs>
                <w:tab w:val="left" w:pos="5400"/>
              </w:tabs>
              <w:spacing w:line="240" w:lineRule="auto"/>
              <w:jc w:val="center"/>
              <w:rPr>
                <w:sz w:val="20"/>
              </w:rPr>
            </w:pPr>
            <w:r>
              <w:rPr>
                <w:sz w:val="20"/>
              </w:rPr>
              <w:t>9</w:t>
            </w:r>
          </w:p>
          <w:p w:rsidR="009B6E77" w:rsidRDefault="009B6E77" w:rsidP="009A045F">
            <w:pPr>
              <w:tabs>
                <w:tab w:val="left" w:pos="5400"/>
              </w:tabs>
              <w:spacing w:line="240" w:lineRule="auto"/>
              <w:jc w:val="center"/>
              <w:rPr>
                <w:sz w:val="20"/>
              </w:rPr>
            </w:pPr>
          </w:p>
          <w:p w:rsidR="009B6E77" w:rsidRDefault="00243845" w:rsidP="009A045F">
            <w:pPr>
              <w:tabs>
                <w:tab w:val="left" w:pos="5400"/>
              </w:tabs>
              <w:spacing w:line="240" w:lineRule="auto"/>
              <w:jc w:val="center"/>
              <w:rPr>
                <w:sz w:val="20"/>
              </w:rPr>
            </w:pPr>
            <w:r>
              <w:rPr>
                <w:sz w:val="20"/>
              </w:rPr>
              <w:t>9-10</w:t>
            </w:r>
          </w:p>
          <w:p w:rsidR="009B6E77" w:rsidRPr="009B6E77" w:rsidRDefault="009B6E77" w:rsidP="008F5CA8">
            <w:pPr>
              <w:tabs>
                <w:tab w:val="left" w:pos="5400"/>
              </w:tabs>
              <w:jc w:val="center"/>
              <w:rPr>
                <w:sz w:val="20"/>
              </w:rPr>
            </w:pPr>
          </w:p>
        </w:tc>
        <w:tc>
          <w:tcPr>
            <w:tcW w:w="8459" w:type="dxa"/>
            <w:gridSpan w:val="2"/>
          </w:tcPr>
          <w:p w:rsidR="00191A23" w:rsidRDefault="009B6E77" w:rsidP="00243845">
            <w:pPr>
              <w:tabs>
                <w:tab w:val="left" w:pos="5400"/>
              </w:tabs>
              <w:spacing w:line="240" w:lineRule="auto"/>
              <w:rPr>
                <w:szCs w:val="24"/>
              </w:rPr>
            </w:pPr>
            <w:r w:rsidRPr="009B6E77">
              <w:rPr>
                <w:sz w:val="20"/>
              </w:rPr>
              <w:t xml:space="preserve">The information made available for analysis included date of donation, sex, age, birth place and results for ABO, Rhesus and </w:t>
            </w:r>
            <w:proofErr w:type="spellStart"/>
            <w:r w:rsidRPr="009B6E77">
              <w:rPr>
                <w:sz w:val="20"/>
              </w:rPr>
              <w:t>Kell</w:t>
            </w:r>
            <w:proofErr w:type="spellEnd"/>
            <w:r w:rsidRPr="009B6E77">
              <w:rPr>
                <w:sz w:val="20"/>
              </w:rPr>
              <w:t xml:space="preserve"> blood phenotyping</w:t>
            </w:r>
            <w:r w:rsidRPr="00902C96">
              <w:rPr>
                <w:szCs w:val="24"/>
              </w:rPr>
              <w:t>.</w:t>
            </w:r>
          </w:p>
          <w:p w:rsidR="009B6E77" w:rsidRDefault="009B6E77" w:rsidP="00243845">
            <w:pPr>
              <w:tabs>
                <w:tab w:val="left" w:pos="5400"/>
              </w:tabs>
              <w:spacing w:line="240" w:lineRule="auto"/>
              <w:rPr>
                <w:sz w:val="20"/>
              </w:rPr>
            </w:pPr>
            <w:r w:rsidRPr="009B6E77">
              <w:rPr>
                <w:sz w:val="20"/>
              </w:rPr>
              <w:t xml:space="preserve">Nucleic acids were extracted from 140µL of plasma using the NucleoSpin-96 Virus Extraction Kit (Macherey-Nagel) and a semi-automated NX-workstation (Beckman-Coulter). Real-time RT-PCR amplification was realised with the </w:t>
            </w:r>
            <w:proofErr w:type="spellStart"/>
            <w:r w:rsidRPr="009B6E77">
              <w:rPr>
                <w:sz w:val="20"/>
              </w:rPr>
              <w:t>RealStar</w:t>
            </w:r>
            <w:proofErr w:type="spellEnd"/>
            <w:r w:rsidRPr="009B6E77">
              <w:rPr>
                <w:sz w:val="20"/>
              </w:rPr>
              <w:t xml:space="preserve"> Chikungunya RT-PCR Kit 1.1 (Altona Diagnostics) and a CFX96 thermocycler (Bio-Rad)</w:t>
            </w:r>
            <w:r>
              <w:rPr>
                <w:sz w:val="20"/>
              </w:rPr>
              <w:t>.</w:t>
            </w:r>
          </w:p>
          <w:p w:rsidR="009B6E77" w:rsidRPr="009B6E77" w:rsidRDefault="009B6E77" w:rsidP="00243845">
            <w:pPr>
              <w:tabs>
                <w:tab w:val="left" w:pos="5400"/>
              </w:tabs>
              <w:spacing w:line="240" w:lineRule="auto"/>
              <w:rPr>
                <w:sz w:val="20"/>
              </w:rPr>
            </w:pPr>
            <w:r w:rsidRPr="009B6E77">
              <w:rPr>
                <w:sz w:val="20"/>
              </w:rPr>
              <w:t>ELISA detection of CHIKV-specific IgG was performed at the National Reference Centre for Arboviruses (French Army, Marseille, France) as previously described</w:t>
            </w:r>
          </w:p>
          <w:p w:rsidR="009B6E77" w:rsidRPr="009B6E77" w:rsidRDefault="009B6E77" w:rsidP="00243845">
            <w:pPr>
              <w:tabs>
                <w:tab w:val="left" w:pos="5400"/>
              </w:tabs>
              <w:spacing w:line="240" w:lineRule="auto"/>
              <w:rPr>
                <w:i/>
                <w:sz w:val="20"/>
              </w:rPr>
            </w:pPr>
            <w:r w:rsidRPr="009B6E77">
              <w:rPr>
                <w:sz w:val="20"/>
              </w:rPr>
              <w:t>Statistical analysis relied on Chi² analysis were performed online usi</w:t>
            </w:r>
            <w:r w:rsidR="004A2F7F">
              <w:rPr>
                <w:sz w:val="20"/>
              </w:rPr>
              <w:t>ng "Chi-Square Test Calculator (</w:t>
            </w:r>
            <w:r w:rsidRPr="004A2F7F">
              <w:rPr>
                <w:sz w:val="20"/>
              </w:rPr>
              <w:t>http://www.socscist</w:t>
            </w:r>
            <w:r w:rsidR="004A2F7F">
              <w:rPr>
                <w:sz w:val="20"/>
              </w:rPr>
              <w:t>atistics.com/tests/</w:t>
            </w:r>
            <w:r w:rsidRPr="009B6E77">
              <w:rPr>
                <w:sz w:val="20"/>
              </w:rPr>
              <w:t>). Multivariate analysis was performed using binary logistic regression with the IBM-SPSS Statistics v 23.0.0.0 software.</w:t>
            </w:r>
          </w:p>
        </w:tc>
      </w:tr>
      <w:tr w:rsidR="00191A23" w:rsidRPr="0022554A" w:rsidTr="000873D8">
        <w:trPr>
          <w:gridAfter w:val="1"/>
          <w:wAfter w:w="2432" w:type="dxa"/>
        </w:trPr>
        <w:tc>
          <w:tcPr>
            <w:tcW w:w="2115" w:type="dxa"/>
            <w:gridSpan w:val="3"/>
          </w:tcPr>
          <w:p w:rsidR="00191A23" w:rsidRPr="0022554A" w:rsidRDefault="00191A23"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616" w:type="dxa"/>
          </w:tcPr>
          <w:p w:rsidR="00191A23" w:rsidRPr="0022554A" w:rsidRDefault="00191A23" w:rsidP="00F3747A">
            <w:pPr>
              <w:tabs>
                <w:tab w:val="left" w:pos="5400"/>
              </w:tabs>
              <w:rPr>
                <w:sz w:val="20"/>
              </w:rPr>
            </w:pPr>
            <w:r w:rsidRPr="0022554A">
              <w:rPr>
                <w:sz w:val="20"/>
              </w:rPr>
              <w:t>9</w:t>
            </w:r>
          </w:p>
        </w:tc>
        <w:tc>
          <w:tcPr>
            <w:tcW w:w="3412" w:type="dxa"/>
            <w:gridSpan w:val="3"/>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087" w:type="dxa"/>
            <w:gridSpan w:val="3"/>
          </w:tcPr>
          <w:p w:rsidR="00191A23" w:rsidRDefault="004A2F7F" w:rsidP="009A045F">
            <w:pPr>
              <w:tabs>
                <w:tab w:val="left" w:pos="5400"/>
              </w:tabs>
              <w:spacing w:line="240" w:lineRule="auto"/>
              <w:jc w:val="center"/>
              <w:rPr>
                <w:color w:val="000000"/>
                <w:sz w:val="20"/>
              </w:rPr>
            </w:pPr>
            <w:r>
              <w:rPr>
                <w:color w:val="000000"/>
                <w:sz w:val="20"/>
              </w:rPr>
              <w:t>7</w:t>
            </w:r>
          </w:p>
          <w:p w:rsidR="004A2F7F" w:rsidRDefault="004A2F7F" w:rsidP="009A045F">
            <w:pPr>
              <w:tabs>
                <w:tab w:val="left" w:pos="5400"/>
              </w:tabs>
              <w:spacing w:line="240" w:lineRule="auto"/>
              <w:jc w:val="center"/>
              <w:rPr>
                <w:color w:val="000000"/>
                <w:sz w:val="20"/>
              </w:rPr>
            </w:pPr>
          </w:p>
          <w:p w:rsidR="005840B4" w:rsidRDefault="005840B4" w:rsidP="009A045F">
            <w:pPr>
              <w:tabs>
                <w:tab w:val="left" w:pos="5400"/>
              </w:tabs>
              <w:spacing w:line="240" w:lineRule="auto"/>
              <w:jc w:val="center"/>
              <w:rPr>
                <w:color w:val="000000"/>
                <w:sz w:val="20"/>
              </w:rPr>
            </w:pPr>
          </w:p>
          <w:p w:rsidR="004A2F7F" w:rsidRPr="0022554A" w:rsidRDefault="004A2F7F" w:rsidP="009A045F">
            <w:pPr>
              <w:tabs>
                <w:tab w:val="left" w:pos="5400"/>
              </w:tabs>
              <w:spacing w:line="240" w:lineRule="auto"/>
              <w:jc w:val="center"/>
              <w:rPr>
                <w:color w:val="000000"/>
                <w:sz w:val="20"/>
              </w:rPr>
            </w:pPr>
            <w:r>
              <w:rPr>
                <w:color w:val="000000"/>
                <w:sz w:val="20"/>
              </w:rPr>
              <w:t>10</w:t>
            </w:r>
          </w:p>
        </w:tc>
        <w:tc>
          <w:tcPr>
            <w:tcW w:w="8459" w:type="dxa"/>
            <w:gridSpan w:val="2"/>
          </w:tcPr>
          <w:p w:rsidR="004A2F7F" w:rsidRDefault="004A2F7F" w:rsidP="004A2F7F">
            <w:pPr>
              <w:spacing w:line="240" w:lineRule="auto"/>
              <w:rPr>
                <w:sz w:val="20"/>
              </w:rPr>
            </w:pPr>
            <w:r w:rsidRPr="004A2F7F">
              <w:rPr>
                <w:sz w:val="20"/>
              </w:rPr>
              <w:t>In 2014, the medical pre-donation questionnaire included a description of common CHIKV clinical symptoms. Blood donors with diagnosis or suspicion of chikungunya fever were deferred for 28 days following recovery.</w:t>
            </w:r>
          </w:p>
          <w:p w:rsidR="009D2CE6" w:rsidRPr="004A2F7F" w:rsidRDefault="005840B4" w:rsidP="00DB42D2">
            <w:pPr>
              <w:spacing w:line="240" w:lineRule="auto"/>
              <w:rPr>
                <w:szCs w:val="24"/>
              </w:rPr>
            </w:pPr>
            <w:r>
              <w:rPr>
                <w:sz w:val="20"/>
              </w:rPr>
              <w:t xml:space="preserve">Viremia duration. </w:t>
            </w:r>
            <w:r w:rsidR="004A2F7F" w:rsidRPr="004A2F7F">
              <w:rPr>
                <w:sz w:val="20"/>
              </w:rPr>
              <w:t>This estimate was therefore dependent upon the specific LOD of the detection method used</w:t>
            </w:r>
            <w:r w:rsidR="004A2F7F" w:rsidRPr="005B6135">
              <w:rPr>
                <w:szCs w:val="24"/>
              </w:rPr>
              <w:t>.</w:t>
            </w:r>
          </w:p>
        </w:tc>
      </w:tr>
      <w:tr w:rsidR="00191A23" w:rsidRPr="0022554A" w:rsidTr="000873D8">
        <w:trPr>
          <w:gridAfter w:val="1"/>
          <w:wAfter w:w="2432" w:type="dxa"/>
        </w:trPr>
        <w:tc>
          <w:tcPr>
            <w:tcW w:w="1495" w:type="dxa"/>
          </w:tcPr>
          <w:p w:rsidR="00191A23" w:rsidRPr="0022554A" w:rsidRDefault="00191A23"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1236" w:type="dxa"/>
            <w:gridSpan w:val="3"/>
          </w:tcPr>
          <w:p w:rsidR="00191A23" w:rsidRPr="0022554A" w:rsidRDefault="00F3747A" w:rsidP="0022554A">
            <w:pPr>
              <w:tabs>
                <w:tab w:val="left" w:pos="5400"/>
              </w:tabs>
              <w:jc w:val="center"/>
              <w:rPr>
                <w:sz w:val="20"/>
              </w:rPr>
            </w:pPr>
            <w:r>
              <w:rPr>
                <w:sz w:val="20"/>
              </w:rPr>
              <w:t xml:space="preserve">     </w:t>
            </w:r>
            <w:r w:rsidR="00191A23" w:rsidRPr="0022554A">
              <w:rPr>
                <w:sz w:val="20"/>
              </w:rPr>
              <w:t>10</w:t>
            </w:r>
          </w:p>
        </w:tc>
        <w:tc>
          <w:tcPr>
            <w:tcW w:w="3412" w:type="dxa"/>
            <w:gridSpan w:val="3"/>
          </w:tcPr>
          <w:p w:rsidR="00191A23" w:rsidRPr="0022554A" w:rsidRDefault="00191A23" w:rsidP="0022554A">
            <w:pPr>
              <w:tabs>
                <w:tab w:val="left" w:pos="5400"/>
              </w:tabs>
              <w:rPr>
                <w:sz w:val="20"/>
              </w:rPr>
            </w:pPr>
            <w:r w:rsidRPr="0022554A">
              <w:rPr>
                <w:sz w:val="20"/>
              </w:rPr>
              <w:t>Explain how the study size was arrived at</w:t>
            </w:r>
          </w:p>
        </w:tc>
        <w:tc>
          <w:tcPr>
            <w:tcW w:w="1087" w:type="dxa"/>
            <w:gridSpan w:val="3"/>
          </w:tcPr>
          <w:p w:rsidR="00191A23" w:rsidRDefault="00040EEF" w:rsidP="009A045F">
            <w:pPr>
              <w:tabs>
                <w:tab w:val="left" w:pos="5400"/>
              </w:tabs>
              <w:spacing w:line="240" w:lineRule="auto"/>
              <w:jc w:val="center"/>
              <w:rPr>
                <w:sz w:val="20"/>
              </w:rPr>
            </w:pPr>
            <w:r>
              <w:rPr>
                <w:sz w:val="20"/>
              </w:rPr>
              <w:t>7-8</w:t>
            </w:r>
          </w:p>
          <w:p w:rsidR="00040EEF" w:rsidRPr="0022554A" w:rsidRDefault="00040EEF" w:rsidP="009A045F">
            <w:pPr>
              <w:tabs>
                <w:tab w:val="left" w:pos="5400"/>
              </w:tabs>
              <w:spacing w:line="240" w:lineRule="auto"/>
              <w:jc w:val="center"/>
              <w:rPr>
                <w:sz w:val="20"/>
              </w:rPr>
            </w:pPr>
            <w:r>
              <w:rPr>
                <w:sz w:val="20"/>
              </w:rPr>
              <w:t>Fig1</w:t>
            </w:r>
          </w:p>
        </w:tc>
        <w:tc>
          <w:tcPr>
            <w:tcW w:w="8459" w:type="dxa"/>
            <w:gridSpan w:val="2"/>
          </w:tcPr>
          <w:p w:rsidR="00191A23" w:rsidRPr="0022554A" w:rsidRDefault="00040EEF" w:rsidP="0022554A">
            <w:pPr>
              <w:tabs>
                <w:tab w:val="left" w:pos="5400"/>
              </w:tabs>
              <w:rPr>
                <w:sz w:val="20"/>
              </w:rPr>
            </w:pPr>
            <w:r>
              <w:rPr>
                <w:sz w:val="20"/>
              </w:rPr>
              <w:t>See Item 4</w:t>
            </w:r>
          </w:p>
        </w:tc>
      </w:tr>
      <w:tr w:rsidR="00F95B9A" w:rsidRPr="0022554A" w:rsidTr="000873D8">
        <w:trPr>
          <w:gridAfter w:val="1"/>
          <w:wAfter w:w="2432" w:type="dxa"/>
        </w:trPr>
        <w:tc>
          <w:tcPr>
            <w:tcW w:w="1732" w:type="dxa"/>
            <w:gridSpan w:val="2"/>
          </w:tcPr>
          <w:p w:rsidR="00191A23" w:rsidRPr="0022554A" w:rsidRDefault="00191A23" w:rsidP="00191A23">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999" w:type="dxa"/>
            <w:gridSpan w:val="2"/>
          </w:tcPr>
          <w:p w:rsidR="00191A23" w:rsidRPr="0022554A" w:rsidRDefault="00191A23" w:rsidP="00191A23">
            <w:pPr>
              <w:tabs>
                <w:tab w:val="left" w:pos="5400"/>
              </w:tabs>
              <w:jc w:val="center"/>
              <w:rPr>
                <w:sz w:val="20"/>
              </w:rPr>
            </w:pPr>
            <w:r w:rsidRPr="0022554A">
              <w:rPr>
                <w:sz w:val="20"/>
              </w:rPr>
              <w:t>11</w:t>
            </w:r>
          </w:p>
        </w:tc>
        <w:tc>
          <w:tcPr>
            <w:tcW w:w="3289" w:type="dxa"/>
            <w:gridSpan w:val="2"/>
          </w:tcPr>
          <w:p w:rsidR="00191A23" w:rsidRPr="001F5F42" w:rsidRDefault="00191A23" w:rsidP="00191A23">
            <w:pPr>
              <w:tabs>
                <w:tab w:val="left" w:pos="5400"/>
              </w:tabs>
              <w:rPr>
                <w:sz w:val="20"/>
              </w:rPr>
            </w:pPr>
            <w:r w:rsidRPr="001F5F42">
              <w:rPr>
                <w:sz w:val="20"/>
              </w:rPr>
              <w:t>Explain how quantitative variables were handled in the analyses. If applicable, describe which groupings were chosen and why</w:t>
            </w:r>
          </w:p>
        </w:tc>
        <w:tc>
          <w:tcPr>
            <w:tcW w:w="1210" w:type="dxa"/>
            <w:gridSpan w:val="4"/>
          </w:tcPr>
          <w:p w:rsidR="00191A23" w:rsidRPr="0022554A" w:rsidRDefault="00262205" w:rsidP="009A045F">
            <w:pPr>
              <w:tabs>
                <w:tab w:val="left" w:pos="5400"/>
              </w:tabs>
              <w:spacing w:line="240" w:lineRule="auto"/>
              <w:jc w:val="center"/>
              <w:rPr>
                <w:sz w:val="20"/>
              </w:rPr>
            </w:pPr>
            <w:r>
              <w:rPr>
                <w:sz w:val="20"/>
              </w:rPr>
              <w:t>7</w:t>
            </w:r>
          </w:p>
        </w:tc>
        <w:tc>
          <w:tcPr>
            <w:tcW w:w="8459" w:type="dxa"/>
            <w:gridSpan w:val="2"/>
          </w:tcPr>
          <w:p w:rsidR="00191A23" w:rsidRPr="00262205" w:rsidRDefault="00262205" w:rsidP="00262205">
            <w:pPr>
              <w:tabs>
                <w:tab w:val="left" w:pos="5400"/>
              </w:tabs>
              <w:spacing w:line="240" w:lineRule="auto"/>
              <w:rPr>
                <w:sz w:val="20"/>
              </w:rPr>
            </w:pPr>
            <w:proofErr w:type="spellStart"/>
            <w:r>
              <w:rPr>
                <w:sz w:val="20"/>
              </w:rPr>
              <w:t>Seroprevalence</w:t>
            </w:r>
            <w:proofErr w:type="spellEnd"/>
            <w:r>
              <w:rPr>
                <w:sz w:val="20"/>
              </w:rPr>
              <w:t xml:space="preserve"> study. </w:t>
            </w:r>
            <w:r w:rsidRPr="00262205">
              <w:rPr>
                <w:sz w:val="20"/>
              </w:rPr>
              <w:t xml:space="preserve">Donors recruited in the study were assigned to one of five age-groups (18-30, 31-40, 41-50, 51-60, and 61-70). </w:t>
            </w:r>
          </w:p>
        </w:tc>
      </w:tr>
      <w:tr w:rsidR="00F95B9A" w:rsidRPr="0022554A" w:rsidTr="000873D8">
        <w:trPr>
          <w:gridAfter w:val="1"/>
          <w:wAfter w:w="2432" w:type="dxa"/>
        </w:trPr>
        <w:tc>
          <w:tcPr>
            <w:tcW w:w="1732" w:type="dxa"/>
            <w:gridSpan w:val="2"/>
            <w:vMerge w:val="restart"/>
          </w:tcPr>
          <w:p w:rsidR="00191A23" w:rsidRPr="0022554A" w:rsidRDefault="00191A23" w:rsidP="00191A23">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999" w:type="dxa"/>
            <w:gridSpan w:val="2"/>
            <w:vMerge w:val="restart"/>
          </w:tcPr>
          <w:p w:rsidR="00191A23" w:rsidRPr="0022554A" w:rsidRDefault="00191A23" w:rsidP="00191A23">
            <w:pPr>
              <w:tabs>
                <w:tab w:val="left" w:pos="5400"/>
              </w:tabs>
              <w:jc w:val="center"/>
              <w:rPr>
                <w:sz w:val="20"/>
              </w:rPr>
            </w:pPr>
            <w:r w:rsidRPr="0022554A">
              <w:rPr>
                <w:sz w:val="20"/>
              </w:rPr>
              <w:t>12</w:t>
            </w:r>
          </w:p>
        </w:tc>
        <w:tc>
          <w:tcPr>
            <w:tcW w:w="3289" w:type="dxa"/>
            <w:gridSpan w:val="2"/>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10" w:type="dxa"/>
            <w:gridSpan w:val="4"/>
          </w:tcPr>
          <w:p w:rsidR="00191A23" w:rsidRPr="0022554A" w:rsidRDefault="00DB42D2" w:rsidP="009A045F">
            <w:pPr>
              <w:tabs>
                <w:tab w:val="left" w:pos="5400"/>
              </w:tabs>
              <w:spacing w:line="240" w:lineRule="auto"/>
              <w:jc w:val="center"/>
              <w:rPr>
                <w:sz w:val="20"/>
              </w:rPr>
            </w:pPr>
            <w:r>
              <w:rPr>
                <w:sz w:val="20"/>
              </w:rPr>
              <w:t>9-10</w:t>
            </w:r>
          </w:p>
        </w:tc>
        <w:tc>
          <w:tcPr>
            <w:tcW w:w="8459" w:type="dxa"/>
            <w:gridSpan w:val="2"/>
          </w:tcPr>
          <w:p w:rsidR="00191A23" w:rsidRPr="0022554A" w:rsidRDefault="00DB42D2" w:rsidP="00243845">
            <w:pPr>
              <w:tabs>
                <w:tab w:val="left" w:pos="5400"/>
              </w:tabs>
              <w:spacing w:line="240" w:lineRule="auto"/>
              <w:rPr>
                <w:sz w:val="20"/>
              </w:rPr>
            </w:pPr>
            <w:r w:rsidRPr="009B6E77">
              <w:rPr>
                <w:sz w:val="20"/>
              </w:rPr>
              <w:t>Statistical analysis relied on Chi² analysis were performed online usi</w:t>
            </w:r>
            <w:r>
              <w:rPr>
                <w:sz w:val="20"/>
              </w:rPr>
              <w:t>ng "Chi-Square Test Calculator (</w:t>
            </w:r>
            <w:r w:rsidRPr="004A2F7F">
              <w:rPr>
                <w:sz w:val="20"/>
              </w:rPr>
              <w:t>http://www.socscist</w:t>
            </w:r>
            <w:r>
              <w:rPr>
                <w:sz w:val="20"/>
              </w:rPr>
              <w:t>atistics.com/tests/</w:t>
            </w:r>
            <w:r w:rsidRPr="009B6E77">
              <w:rPr>
                <w:sz w:val="20"/>
              </w:rPr>
              <w:t>). Multivariate analysis was performed using binary logistic regression with the IBM-SPSS Statistics v 23.0.0.0 software.</w:t>
            </w:r>
          </w:p>
        </w:tc>
      </w:tr>
      <w:tr w:rsidR="00F95B9A" w:rsidRPr="0022554A" w:rsidTr="000873D8">
        <w:trPr>
          <w:gridAfter w:val="1"/>
          <w:wAfter w:w="2432" w:type="dxa"/>
        </w:trPr>
        <w:tc>
          <w:tcPr>
            <w:tcW w:w="1732" w:type="dxa"/>
            <w:gridSpan w:val="2"/>
            <w:vMerge/>
          </w:tcPr>
          <w:p w:rsidR="00191A23" w:rsidRPr="0022554A" w:rsidRDefault="00191A23" w:rsidP="00191A23">
            <w:pPr>
              <w:tabs>
                <w:tab w:val="left" w:pos="5400"/>
              </w:tabs>
              <w:rPr>
                <w:bCs/>
                <w:sz w:val="20"/>
              </w:rPr>
            </w:pPr>
            <w:bookmarkStart w:id="46" w:name="bold24" w:colFirst="0" w:colLast="0"/>
            <w:bookmarkStart w:id="47" w:name="italic26" w:colFirst="0" w:colLast="0"/>
          </w:p>
        </w:tc>
        <w:tc>
          <w:tcPr>
            <w:tcW w:w="999" w:type="dxa"/>
            <w:gridSpan w:val="2"/>
            <w:vMerge/>
          </w:tcPr>
          <w:p w:rsidR="00191A23" w:rsidRPr="0022554A" w:rsidRDefault="00191A23" w:rsidP="00191A23">
            <w:pPr>
              <w:tabs>
                <w:tab w:val="left" w:pos="5400"/>
              </w:tabs>
              <w:jc w:val="center"/>
              <w:rPr>
                <w:sz w:val="20"/>
              </w:rPr>
            </w:pPr>
          </w:p>
        </w:tc>
        <w:tc>
          <w:tcPr>
            <w:tcW w:w="3289" w:type="dxa"/>
            <w:gridSpan w:val="2"/>
          </w:tcPr>
          <w:p w:rsidR="00191A23" w:rsidRPr="0022554A" w:rsidRDefault="00191A23" w:rsidP="00191A23">
            <w:pPr>
              <w:tabs>
                <w:tab w:val="left" w:pos="5400"/>
              </w:tabs>
              <w:rPr>
                <w:sz w:val="20"/>
              </w:rPr>
            </w:pPr>
            <w:r w:rsidRPr="0022554A">
              <w:rPr>
                <w:sz w:val="20"/>
              </w:rPr>
              <w:t>(</w:t>
            </w:r>
            <w:r w:rsidRPr="0022554A">
              <w:rPr>
                <w:i/>
                <w:sz w:val="20"/>
              </w:rPr>
              <w:t>b</w:t>
            </w:r>
            <w:r w:rsidRPr="0022554A">
              <w:rPr>
                <w:sz w:val="20"/>
              </w:rPr>
              <w:t xml:space="preserve">) </w:t>
            </w:r>
            <w:r w:rsidRPr="00F72023">
              <w:rPr>
                <w:sz w:val="20"/>
              </w:rPr>
              <w:t>Describe any methods used to examine subgroups and interactions</w:t>
            </w:r>
          </w:p>
        </w:tc>
        <w:tc>
          <w:tcPr>
            <w:tcW w:w="1210" w:type="dxa"/>
            <w:gridSpan w:val="4"/>
          </w:tcPr>
          <w:p w:rsidR="00191A23" w:rsidRPr="0022554A" w:rsidRDefault="00191A23" w:rsidP="009A045F">
            <w:pPr>
              <w:tabs>
                <w:tab w:val="left" w:pos="5400"/>
              </w:tabs>
              <w:spacing w:line="240" w:lineRule="auto"/>
              <w:jc w:val="center"/>
              <w:rPr>
                <w:sz w:val="20"/>
              </w:rPr>
            </w:pPr>
          </w:p>
        </w:tc>
        <w:tc>
          <w:tcPr>
            <w:tcW w:w="8459" w:type="dxa"/>
            <w:gridSpan w:val="2"/>
          </w:tcPr>
          <w:p w:rsidR="00191A23" w:rsidRPr="00262205" w:rsidRDefault="00F72023" w:rsidP="00191A23">
            <w:pPr>
              <w:tabs>
                <w:tab w:val="left" w:pos="5400"/>
              </w:tabs>
              <w:rPr>
                <w:sz w:val="20"/>
              </w:rPr>
            </w:pPr>
            <w:r>
              <w:rPr>
                <w:sz w:val="20"/>
              </w:rPr>
              <w:t>See Item 12a</w:t>
            </w:r>
          </w:p>
        </w:tc>
      </w:tr>
      <w:tr w:rsidR="00F95B9A" w:rsidRPr="0022554A" w:rsidTr="000873D8">
        <w:trPr>
          <w:gridAfter w:val="1"/>
          <w:wAfter w:w="2432" w:type="dxa"/>
        </w:trPr>
        <w:tc>
          <w:tcPr>
            <w:tcW w:w="1732" w:type="dxa"/>
            <w:gridSpan w:val="2"/>
            <w:vMerge/>
          </w:tcPr>
          <w:p w:rsidR="00DB42D2" w:rsidRPr="0022554A" w:rsidRDefault="00DB42D2" w:rsidP="00DB42D2">
            <w:pPr>
              <w:tabs>
                <w:tab w:val="left" w:pos="5400"/>
              </w:tabs>
              <w:rPr>
                <w:bCs/>
                <w:sz w:val="20"/>
              </w:rPr>
            </w:pPr>
            <w:bookmarkStart w:id="48" w:name="bold25" w:colFirst="0" w:colLast="0"/>
            <w:bookmarkStart w:id="49" w:name="italic27" w:colFirst="0" w:colLast="0"/>
            <w:bookmarkEnd w:id="46"/>
            <w:bookmarkEnd w:id="47"/>
          </w:p>
        </w:tc>
        <w:tc>
          <w:tcPr>
            <w:tcW w:w="999" w:type="dxa"/>
            <w:gridSpan w:val="2"/>
            <w:vMerge/>
          </w:tcPr>
          <w:p w:rsidR="00DB42D2" w:rsidRPr="0022554A" w:rsidRDefault="00DB42D2" w:rsidP="00DB42D2">
            <w:pPr>
              <w:tabs>
                <w:tab w:val="left" w:pos="5400"/>
              </w:tabs>
              <w:jc w:val="center"/>
              <w:rPr>
                <w:sz w:val="20"/>
              </w:rPr>
            </w:pPr>
          </w:p>
        </w:tc>
        <w:tc>
          <w:tcPr>
            <w:tcW w:w="3289" w:type="dxa"/>
            <w:gridSpan w:val="2"/>
          </w:tcPr>
          <w:p w:rsidR="00DB42D2" w:rsidRPr="0022554A" w:rsidRDefault="00DB42D2" w:rsidP="00DB42D2">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10" w:type="dxa"/>
            <w:gridSpan w:val="4"/>
          </w:tcPr>
          <w:p w:rsidR="00DB42D2" w:rsidRPr="0022554A" w:rsidRDefault="00DB42D2" w:rsidP="009A045F">
            <w:pPr>
              <w:tabs>
                <w:tab w:val="left" w:pos="5400"/>
              </w:tabs>
              <w:spacing w:line="240" w:lineRule="auto"/>
              <w:jc w:val="center"/>
              <w:rPr>
                <w:sz w:val="20"/>
              </w:rPr>
            </w:pPr>
            <w:r>
              <w:rPr>
                <w:sz w:val="20"/>
              </w:rPr>
              <w:t>NA</w:t>
            </w:r>
          </w:p>
        </w:tc>
        <w:tc>
          <w:tcPr>
            <w:tcW w:w="8459" w:type="dxa"/>
            <w:gridSpan w:val="2"/>
          </w:tcPr>
          <w:p w:rsidR="00DB42D2" w:rsidRPr="0022554A" w:rsidRDefault="00DB42D2" w:rsidP="00DB42D2">
            <w:pPr>
              <w:tabs>
                <w:tab w:val="left" w:pos="5400"/>
              </w:tabs>
              <w:rPr>
                <w:sz w:val="20"/>
              </w:rPr>
            </w:pPr>
            <w:r>
              <w:rPr>
                <w:sz w:val="20"/>
              </w:rPr>
              <w:t>Not Applicable</w:t>
            </w:r>
          </w:p>
        </w:tc>
      </w:tr>
      <w:tr w:rsidR="00F95B9A" w:rsidRPr="0022554A" w:rsidTr="000873D8">
        <w:trPr>
          <w:gridAfter w:val="1"/>
          <w:wAfter w:w="2432" w:type="dxa"/>
        </w:trPr>
        <w:tc>
          <w:tcPr>
            <w:tcW w:w="1732" w:type="dxa"/>
            <w:gridSpan w:val="2"/>
            <w:vMerge/>
          </w:tcPr>
          <w:p w:rsidR="00DB42D2" w:rsidRPr="0022554A" w:rsidRDefault="00DB42D2" w:rsidP="00DB42D2">
            <w:pPr>
              <w:tabs>
                <w:tab w:val="left" w:pos="5400"/>
              </w:tabs>
              <w:rPr>
                <w:bCs/>
                <w:sz w:val="20"/>
              </w:rPr>
            </w:pPr>
            <w:bookmarkStart w:id="50" w:name="bold26" w:colFirst="0" w:colLast="0"/>
            <w:bookmarkStart w:id="51" w:name="italic28" w:colFirst="0" w:colLast="0"/>
            <w:bookmarkEnd w:id="48"/>
            <w:bookmarkEnd w:id="49"/>
          </w:p>
        </w:tc>
        <w:tc>
          <w:tcPr>
            <w:tcW w:w="999" w:type="dxa"/>
            <w:gridSpan w:val="2"/>
            <w:vMerge/>
          </w:tcPr>
          <w:p w:rsidR="00DB42D2" w:rsidRPr="0022554A" w:rsidRDefault="00DB42D2" w:rsidP="00DB42D2">
            <w:pPr>
              <w:tabs>
                <w:tab w:val="left" w:pos="5400"/>
              </w:tabs>
              <w:jc w:val="center"/>
              <w:rPr>
                <w:sz w:val="20"/>
              </w:rPr>
            </w:pPr>
          </w:p>
        </w:tc>
        <w:tc>
          <w:tcPr>
            <w:tcW w:w="3289" w:type="dxa"/>
            <w:gridSpan w:val="2"/>
          </w:tcPr>
          <w:p w:rsidR="00DB42D2" w:rsidRPr="0022554A" w:rsidRDefault="00DB42D2" w:rsidP="00DB42D2">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DB42D2" w:rsidRPr="0022554A" w:rsidRDefault="00DB42D2" w:rsidP="00DB42D2">
            <w:pPr>
              <w:tabs>
                <w:tab w:val="left" w:pos="5400"/>
              </w:tabs>
              <w:rPr>
                <w:sz w:val="20"/>
              </w:rPr>
            </w:pPr>
            <w:r w:rsidRPr="0022554A">
              <w:rPr>
                <w:bCs/>
                <w:i/>
                <w:sz w:val="20"/>
              </w:rPr>
              <w:t>Case-control study</w:t>
            </w:r>
            <w:r w:rsidRPr="0022554A">
              <w:rPr>
                <w:sz w:val="20"/>
              </w:rPr>
              <w:t>—If applicable, explain how matching of cases and controls was addressed</w:t>
            </w:r>
          </w:p>
          <w:p w:rsidR="00DB42D2" w:rsidRPr="0022554A" w:rsidRDefault="00DB42D2" w:rsidP="00DB42D2">
            <w:pPr>
              <w:tabs>
                <w:tab w:val="left" w:pos="5400"/>
              </w:tabs>
              <w:rPr>
                <w:sz w:val="20"/>
              </w:rPr>
            </w:pPr>
            <w:r>
              <w:rPr>
                <w:bCs/>
                <w:i/>
                <w:sz w:val="20"/>
              </w:rPr>
              <w:lastRenderedPageBreak/>
              <w:t>Cross-sectional</w:t>
            </w:r>
            <w:r w:rsidRPr="0022554A">
              <w:rPr>
                <w:bCs/>
                <w:i/>
                <w:sz w:val="20"/>
              </w:rPr>
              <w:t xml:space="preserve"> study</w:t>
            </w:r>
            <w:r w:rsidRPr="0022554A">
              <w:rPr>
                <w:sz w:val="20"/>
              </w:rPr>
              <w:t>—If applicable, describe analytical methods taking account of sampling strategy</w:t>
            </w:r>
          </w:p>
        </w:tc>
        <w:tc>
          <w:tcPr>
            <w:tcW w:w="1210" w:type="dxa"/>
            <w:gridSpan w:val="4"/>
          </w:tcPr>
          <w:p w:rsidR="00DB42D2" w:rsidRPr="0022554A" w:rsidRDefault="00DB42D2" w:rsidP="008F5CA8">
            <w:pPr>
              <w:tabs>
                <w:tab w:val="left" w:pos="5400"/>
              </w:tabs>
              <w:jc w:val="center"/>
              <w:rPr>
                <w:sz w:val="20"/>
              </w:rPr>
            </w:pPr>
            <w:r>
              <w:rPr>
                <w:sz w:val="20"/>
              </w:rPr>
              <w:lastRenderedPageBreak/>
              <w:t>NA</w:t>
            </w:r>
          </w:p>
        </w:tc>
        <w:tc>
          <w:tcPr>
            <w:tcW w:w="8459" w:type="dxa"/>
            <w:gridSpan w:val="2"/>
          </w:tcPr>
          <w:p w:rsidR="00DB42D2" w:rsidRPr="0022554A" w:rsidRDefault="00DB42D2" w:rsidP="00DB42D2">
            <w:pPr>
              <w:tabs>
                <w:tab w:val="left" w:pos="5400"/>
              </w:tabs>
              <w:rPr>
                <w:sz w:val="20"/>
              </w:rPr>
            </w:pPr>
            <w:r>
              <w:rPr>
                <w:sz w:val="20"/>
              </w:rPr>
              <w:t>Not Applicable</w:t>
            </w:r>
          </w:p>
        </w:tc>
      </w:tr>
      <w:tr w:rsidR="00F95B9A" w:rsidRPr="0022554A" w:rsidTr="000873D8">
        <w:trPr>
          <w:gridAfter w:val="1"/>
          <w:wAfter w:w="2432" w:type="dxa"/>
        </w:trPr>
        <w:tc>
          <w:tcPr>
            <w:tcW w:w="1732" w:type="dxa"/>
            <w:gridSpan w:val="2"/>
            <w:vMerge/>
          </w:tcPr>
          <w:p w:rsidR="00DB42D2" w:rsidRPr="0022554A" w:rsidRDefault="00DB42D2" w:rsidP="00DB42D2">
            <w:pPr>
              <w:tabs>
                <w:tab w:val="left" w:pos="5400"/>
              </w:tabs>
              <w:rPr>
                <w:bCs/>
                <w:sz w:val="20"/>
              </w:rPr>
            </w:pPr>
            <w:bookmarkStart w:id="52" w:name="bold27" w:colFirst="0" w:colLast="0"/>
            <w:bookmarkStart w:id="53" w:name="italic29" w:colFirst="0" w:colLast="0"/>
            <w:bookmarkEnd w:id="50"/>
            <w:bookmarkEnd w:id="51"/>
          </w:p>
        </w:tc>
        <w:tc>
          <w:tcPr>
            <w:tcW w:w="999" w:type="dxa"/>
            <w:gridSpan w:val="2"/>
            <w:vMerge/>
          </w:tcPr>
          <w:p w:rsidR="00DB42D2" w:rsidRPr="0022554A" w:rsidRDefault="00DB42D2" w:rsidP="00DB42D2">
            <w:pPr>
              <w:tabs>
                <w:tab w:val="left" w:pos="5400"/>
              </w:tabs>
              <w:jc w:val="center"/>
              <w:rPr>
                <w:sz w:val="20"/>
              </w:rPr>
            </w:pPr>
          </w:p>
        </w:tc>
        <w:tc>
          <w:tcPr>
            <w:tcW w:w="3553" w:type="dxa"/>
            <w:gridSpan w:val="4"/>
          </w:tcPr>
          <w:p w:rsidR="00DB42D2" w:rsidRPr="0022554A" w:rsidRDefault="00DB42D2" w:rsidP="00DB42D2">
            <w:pPr>
              <w:tabs>
                <w:tab w:val="left" w:pos="5400"/>
              </w:tabs>
              <w:rPr>
                <w:sz w:val="20"/>
              </w:rPr>
            </w:pPr>
            <w:r w:rsidRPr="0022554A">
              <w:rPr>
                <w:sz w:val="20"/>
              </w:rPr>
              <w:t>(</w:t>
            </w:r>
            <w:r w:rsidRPr="0022554A">
              <w:rPr>
                <w:i/>
                <w:sz w:val="20"/>
                <w:u w:val="single"/>
              </w:rPr>
              <w:t>e</w:t>
            </w:r>
            <w:r w:rsidRPr="0022554A">
              <w:rPr>
                <w:sz w:val="20"/>
              </w:rPr>
              <w:t xml:space="preserve">) </w:t>
            </w:r>
            <w:r w:rsidRPr="00F72023">
              <w:rPr>
                <w:sz w:val="20"/>
              </w:rPr>
              <w:t>Describe any sensitivity analyses</w:t>
            </w:r>
          </w:p>
        </w:tc>
        <w:tc>
          <w:tcPr>
            <w:tcW w:w="946" w:type="dxa"/>
            <w:gridSpan w:val="2"/>
          </w:tcPr>
          <w:p w:rsidR="00DB42D2" w:rsidRPr="0022554A" w:rsidRDefault="008E2ABB" w:rsidP="008E2ABB">
            <w:pPr>
              <w:tabs>
                <w:tab w:val="left" w:pos="5400"/>
              </w:tabs>
              <w:jc w:val="center"/>
              <w:rPr>
                <w:sz w:val="20"/>
              </w:rPr>
            </w:pPr>
            <w:r>
              <w:rPr>
                <w:sz w:val="20"/>
              </w:rPr>
              <w:t>10</w:t>
            </w:r>
          </w:p>
        </w:tc>
        <w:tc>
          <w:tcPr>
            <w:tcW w:w="8459" w:type="dxa"/>
            <w:gridSpan w:val="2"/>
          </w:tcPr>
          <w:p w:rsidR="00DB42D2" w:rsidRPr="0022554A" w:rsidRDefault="008E2ABB" w:rsidP="00DB42D2">
            <w:pPr>
              <w:tabs>
                <w:tab w:val="left" w:pos="5400"/>
              </w:tabs>
              <w:rPr>
                <w:sz w:val="20"/>
              </w:rPr>
            </w:pPr>
            <w:r w:rsidRPr="00262205">
              <w:rPr>
                <w:sz w:val="20"/>
              </w:rPr>
              <w:t>Results were considered statistically significant when p-value was lower than 0·05</w:t>
            </w:r>
          </w:p>
        </w:tc>
      </w:tr>
      <w:bookmarkEnd w:id="52"/>
      <w:bookmarkEnd w:id="53"/>
      <w:tr w:rsidR="00DB42D2" w:rsidRPr="0022554A" w:rsidTr="00F95B9A">
        <w:trPr>
          <w:gridAfter w:val="1"/>
          <w:wAfter w:w="2432" w:type="dxa"/>
        </w:trPr>
        <w:tc>
          <w:tcPr>
            <w:tcW w:w="15689" w:type="dxa"/>
            <w:gridSpan w:val="12"/>
          </w:tcPr>
          <w:p w:rsidR="00DB42D2" w:rsidRPr="0022554A" w:rsidRDefault="00DB42D2" w:rsidP="00DB42D2">
            <w:pPr>
              <w:pStyle w:val="TableSubHead"/>
              <w:tabs>
                <w:tab w:val="left" w:pos="5400"/>
              </w:tabs>
              <w:rPr>
                <w:sz w:val="20"/>
              </w:rPr>
            </w:pPr>
            <w:r w:rsidRPr="0022554A">
              <w:rPr>
                <w:sz w:val="20"/>
              </w:rPr>
              <w:t>Results</w:t>
            </w:r>
          </w:p>
        </w:tc>
      </w:tr>
      <w:tr w:rsidR="000873D8" w:rsidRPr="0022554A" w:rsidTr="000873D8">
        <w:trPr>
          <w:gridAfter w:val="1"/>
          <w:wAfter w:w="2432" w:type="dxa"/>
        </w:trPr>
        <w:tc>
          <w:tcPr>
            <w:tcW w:w="0" w:type="auto"/>
            <w:gridSpan w:val="2"/>
            <w:vMerge w:val="restart"/>
          </w:tcPr>
          <w:p w:rsidR="00DB42D2" w:rsidRPr="0022554A" w:rsidRDefault="00DB42D2" w:rsidP="00DB42D2">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gridSpan w:val="2"/>
            <w:vMerge w:val="restart"/>
          </w:tcPr>
          <w:p w:rsidR="00DB42D2" w:rsidRPr="0022554A" w:rsidRDefault="00DB42D2" w:rsidP="00DB42D2">
            <w:pPr>
              <w:tabs>
                <w:tab w:val="left" w:pos="5400"/>
              </w:tabs>
              <w:jc w:val="center"/>
              <w:rPr>
                <w:sz w:val="20"/>
              </w:rPr>
            </w:pPr>
            <w:r w:rsidRPr="0022554A">
              <w:rPr>
                <w:sz w:val="20"/>
              </w:rPr>
              <w:t>13</w:t>
            </w:r>
            <w:bookmarkStart w:id="56" w:name="bold30"/>
            <w:r w:rsidRPr="0022554A">
              <w:rPr>
                <w:bCs/>
                <w:sz w:val="20"/>
              </w:rPr>
              <w:t>*</w:t>
            </w:r>
            <w:bookmarkEnd w:id="56"/>
          </w:p>
        </w:tc>
        <w:tc>
          <w:tcPr>
            <w:tcW w:w="3553" w:type="dxa"/>
            <w:gridSpan w:val="4"/>
          </w:tcPr>
          <w:p w:rsidR="00DB42D2" w:rsidRPr="0022554A" w:rsidRDefault="00DB42D2" w:rsidP="00DB42D2">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946" w:type="dxa"/>
            <w:gridSpan w:val="2"/>
          </w:tcPr>
          <w:p w:rsidR="00DB42D2" w:rsidRDefault="00243845" w:rsidP="009A045F">
            <w:pPr>
              <w:tabs>
                <w:tab w:val="left" w:pos="5400"/>
              </w:tabs>
              <w:spacing w:line="240" w:lineRule="auto"/>
              <w:jc w:val="center"/>
              <w:rPr>
                <w:sz w:val="20"/>
              </w:rPr>
            </w:pPr>
            <w:r>
              <w:rPr>
                <w:sz w:val="20"/>
              </w:rPr>
              <w:t>11</w:t>
            </w:r>
          </w:p>
        </w:tc>
        <w:tc>
          <w:tcPr>
            <w:tcW w:w="8459" w:type="dxa"/>
            <w:gridSpan w:val="2"/>
          </w:tcPr>
          <w:p w:rsidR="00DB42D2" w:rsidRDefault="00F95B9A" w:rsidP="00243845">
            <w:pPr>
              <w:tabs>
                <w:tab w:val="left" w:pos="5400"/>
              </w:tabs>
              <w:spacing w:line="240" w:lineRule="auto"/>
              <w:rPr>
                <w:sz w:val="22"/>
                <w:szCs w:val="22"/>
              </w:rPr>
            </w:pPr>
            <w:r w:rsidRPr="009A045F">
              <w:rPr>
                <w:sz w:val="20"/>
              </w:rPr>
              <w:t xml:space="preserve">Molecular analysis. </w:t>
            </w:r>
            <w:r w:rsidR="00243845" w:rsidRPr="00BD6861">
              <w:rPr>
                <w:sz w:val="20"/>
              </w:rPr>
              <w:t>Amongst 16,386 donations tested by RT-PCR (pop#1), 37/10,197 (0·36%) and 26/6,189 (0·42%) were positive in Martinique and Guadeloupe respectively.</w:t>
            </w:r>
            <w:r w:rsidR="00243845" w:rsidRPr="00243845">
              <w:rPr>
                <w:sz w:val="22"/>
                <w:szCs w:val="22"/>
              </w:rPr>
              <w:t xml:space="preserve"> </w:t>
            </w:r>
          </w:p>
          <w:p w:rsidR="00243845" w:rsidRPr="00243845" w:rsidRDefault="00F95B9A" w:rsidP="00243845">
            <w:pPr>
              <w:spacing w:line="240" w:lineRule="auto"/>
              <w:rPr>
                <w:sz w:val="20"/>
              </w:rPr>
            </w:pPr>
            <w:proofErr w:type="spellStart"/>
            <w:r w:rsidRPr="009A045F">
              <w:rPr>
                <w:sz w:val="20"/>
              </w:rPr>
              <w:t>Seroprevalence</w:t>
            </w:r>
            <w:proofErr w:type="spellEnd"/>
            <w:r w:rsidRPr="009A045F">
              <w:rPr>
                <w:sz w:val="20"/>
              </w:rPr>
              <w:t xml:space="preserve"> analysis</w:t>
            </w:r>
            <w:r>
              <w:rPr>
                <w:sz w:val="20"/>
              </w:rPr>
              <w:t>.</w:t>
            </w:r>
            <w:r w:rsidRPr="009A045F">
              <w:rPr>
                <w:sz w:val="20"/>
              </w:rPr>
              <w:t xml:space="preserve"> </w:t>
            </w:r>
            <w:r w:rsidR="00243845" w:rsidRPr="00243845">
              <w:rPr>
                <w:sz w:val="20"/>
              </w:rPr>
              <w:t xml:space="preserve">Monthly prevalence values of CHIKV-IgG in </w:t>
            </w:r>
            <w:proofErr w:type="gramStart"/>
            <w:r w:rsidR="00243845" w:rsidRPr="00243845">
              <w:rPr>
                <w:sz w:val="20"/>
              </w:rPr>
              <w:t>populations</w:t>
            </w:r>
            <w:proofErr w:type="gramEnd"/>
            <w:r w:rsidR="00243845" w:rsidRPr="00243845">
              <w:rPr>
                <w:sz w:val="20"/>
              </w:rPr>
              <w:t xml:space="preserve"> #2-5 are presented in Fig 3</w:t>
            </w:r>
            <w:r w:rsidR="00243845" w:rsidRPr="00243845">
              <w:rPr>
                <w:color w:val="0070C0"/>
                <w:sz w:val="20"/>
                <w:u w:val="single"/>
              </w:rPr>
              <w:t xml:space="preserve"> </w:t>
            </w:r>
            <w:r w:rsidR="00243845" w:rsidRPr="00243845">
              <w:rPr>
                <w:sz w:val="20"/>
              </w:rPr>
              <w:t>for Guadeloupe and Martinique. This covers the period from Aug-1</w:t>
            </w:r>
            <w:r w:rsidR="00243845" w:rsidRPr="00243845">
              <w:rPr>
                <w:sz w:val="20"/>
                <w:vertAlign w:val="superscript"/>
              </w:rPr>
              <w:t>st</w:t>
            </w:r>
            <w:r w:rsidR="00243845" w:rsidRPr="00243845">
              <w:rPr>
                <w:sz w:val="20"/>
              </w:rPr>
              <w:t xml:space="preserve"> 2013 to Jan-31</w:t>
            </w:r>
            <w:r w:rsidR="00243845" w:rsidRPr="00243845">
              <w:rPr>
                <w:sz w:val="20"/>
                <w:vertAlign w:val="superscript"/>
              </w:rPr>
              <w:t>st</w:t>
            </w:r>
            <w:r w:rsidR="00243845" w:rsidRPr="00243845">
              <w:rPr>
                <w:sz w:val="20"/>
              </w:rPr>
              <w:t xml:space="preserve"> 2015 and includes both results from a prospective study (starting at the end of Feb-2014) and a retrospective study (Aug-2013 to Feb-2014) limited to Martinique. </w:t>
            </w:r>
          </w:p>
          <w:p w:rsidR="00243845" w:rsidRDefault="00243845" w:rsidP="00243845">
            <w:pPr>
              <w:tabs>
                <w:tab w:val="left" w:pos="5400"/>
              </w:tabs>
              <w:rPr>
                <w:sz w:val="20"/>
              </w:rPr>
            </w:pPr>
          </w:p>
        </w:tc>
      </w:tr>
      <w:tr w:rsidR="000873D8" w:rsidRPr="0022554A" w:rsidTr="000873D8">
        <w:trPr>
          <w:gridAfter w:val="1"/>
          <w:wAfter w:w="2432" w:type="dxa"/>
        </w:trPr>
        <w:tc>
          <w:tcPr>
            <w:tcW w:w="0" w:type="auto"/>
            <w:gridSpan w:val="2"/>
            <w:vMerge/>
          </w:tcPr>
          <w:p w:rsidR="00DB42D2" w:rsidRPr="0022554A" w:rsidRDefault="00DB42D2" w:rsidP="00DB42D2">
            <w:pPr>
              <w:tabs>
                <w:tab w:val="left" w:pos="5400"/>
              </w:tabs>
              <w:rPr>
                <w:bCs/>
                <w:sz w:val="20"/>
              </w:rPr>
            </w:pPr>
            <w:bookmarkStart w:id="57" w:name="bold31" w:colFirst="0" w:colLast="0"/>
            <w:bookmarkStart w:id="58" w:name="italic32" w:colFirst="0" w:colLast="0"/>
          </w:p>
        </w:tc>
        <w:tc>
          <w:tcPr>
            <w:tcW w:w="0" w:type="auto"/>
            <w:gridSpan w:val="2"/>
            <w:vMerge/>
          </w:tcPr>
          <w:p w:rsidR="00DB42D2" w:rsidRPr="0022554A" w:rsidRDefault="00DB42D2" w:rsidP="00DB42D2">
            <w:pPr>
              <w:tabs>
                <w:tab w:val="left" w:pos="5400"/>
              </w:tabs>
              <w:jc w:val="center"/>
              <w:rPr>
                <w:sz w:val="20"/>
              </w:rPr>
            </w:pPr>
          </w:p>
        </w:tc>
        <w:tc>
          <w:tcPr>
            <w:tcW w:w="3553" w:type="dxa"/>
            <w:gridSpan w:val="4"/>
          </w:tcPr>
          <w:p w:rsidR="00DB42D2" w:rsidRPr="0022554A" w:rsidRDefault="00DB42D2" w:rsidP="00DB42D2">
            <w:pPr>
              <w:tabs>
                <w:tab w:val="left" w:pos="5400"/>
              </w:tabs>
              <w:rPr>
                <w:sz w:val="20"/>
              </w:rPr>
            </w:pPr>
            <w:r>
              <w:rPr>
                <w:sz w:val="20"/>
              </w:rPr>
              <w:t xml:space="preserve">(b) </w:t>
            </w:r>
            <w:r w:rsidRPr="0022554A">
              <w:rPr>
                <w:sz w:val="20"/>
              </w:rPr>
              <w:t>Give reasons for non-participation at each stage</w:t>
            </w:r>
          </w:p>
        </w:tc>
        <w:tc>
          <w:tcPr>
            <w:tcW w:w="946" w:type="dxa"/>
            <w:gridSpan w:val="2"/>
          </w:tcPr>
          <w:p w:rsidR="00DB42D2" w:rsidRDefault="000B0998" w:rsidP="009A045F">
            <w:pPr>
              <w:tabs>
                <w:tab w:val="left" w:pos="5400"/>
              </w:tabs>
              <w:spacing w:line="240" w:lineRule="auto"/>
              <w:jc w:val="center"/>
              <w:rPr>
                <w:sz w:val="20"/>
              </w:rPr>
            </w:pPr>
            <w:r>
              <w:rPr>
                <w:sz w:val="20"/>
              </w:rPr>
              <w:t>NA</w:t>
            </w:r>
          </w:p>
        </w:tc>
        <w:tc>
          <w:tcPr>
            <w:tcW w:w="8459" w:type="dxa"/>
            <w:gridSpan w:val="2"/>
          </w:tcPr>
          <w:p w:rsidR="00DB42D2" w:rsidRDefault="000B0998" w:rsidP="00DB42D2">
            <w:pPr>
              <w:tabs>
                <w:tab w:val="left" w:pos="5400"/>
              </w:tabs>
              <w:rPr>
                <w:sz w:val="20"/>
              </w:rPr>
            </w:pPr>
            <w:r>
              <w:rPr>
                <w:sz w:val="20"/>
              </w:rPr>
              <w:t>Not Applicable</w:t>
            </w:r>
          </w:p>
        </w:tc>
      </w:tr>
      <w:tr w:rsidR="000873D8" w:rsidRPr="0022554A" w:rsidTr="000873D8">
        <w:trPr>
          <w:gridAfter w:val="1"/>
          <w:wAfter w:w="2432" w:type="dxa"/>
        </w:trPr>
        <w:tc>
          <w:tcPr>
            <w:tcW w:w="0" w:type="auto"/>
            <w:gridSpan w:val="2"/>
            <w:vMerge/>
          </w:tcPr>
          <w:p w:rsidR="00DB42D2" w:rsidRPr="0022554A" w:rsidRDefault="00DB42D2" w:rsidP="00DB42D2">
            <w:pPr>
              <w:tabs>
                <w:tab w:val="left" w:pos="5400"/>
              </w:tabs>
              <w:rPr>
                <w:bCs/>
                <w:sz w:val="20"/>
              </w:rPr>
            </w:pPr>
            <w:bookmarkStart w:id="59" w:name="bold32" w:colFirst="0" w:colLast="0"/>
            <w:bookmarkStart w:id="60" w:name="italic33" w:colFirst="0" w:colLast="0"/>
            <w:bookmarkEnd w:id="57"/>
            <w:bookmarkEnd w:id="58"/>
          </w:p>
        </w:tc>
        <w:tc>
          <w:tcPr>
            <w:tcW w:w="0" w:type="auto"/>
            <w:gridSpan w:val="2"/>
            <w:vMerge/>
          </w:tcPr>
          <w:p w:rsidR="00DB42D2" w:rsidRPr="0022554A" w:rsidRDefault="00DB42D2" w:rsidP="00DB42D2">
            <w:pPr>
              <w:tabs>
                <w:tab w:val="left" w:pos="5400"/>
              </w:tabs>
              <w:jc w:val="center"/>
              <w:rPr>
                <w:sz w:val="20"/>
              </w:rPr>
            </w:pPr>
          </w:p>
        </w:tc>
        <w:tc>
          <w:tcPr>
            <w:tcW w:w="3553" w:type="dxa"/>
            <w:gridSpan w:val="4"/>
          </w:tcPr>
          <w:p w:rsidR="00DB42D2" w:rsidRPr="0022554A" w:rsidRDefault="00DB42D2" w:rsidP="00DB42D2">
            <w:pPr>
              <w:tabs>
                <w:tab w:val="left" w:pos="5400"/>
              </w:tabs>
              <w:rPr>
                <w:sz w:val="20"/>
              </w:rPr>
            </w:pPr>
            <w:bookmarkStart w:id="61" w:name="OLE_LINK4"/>
            <w:r>
              <w:rPr>
                <w:sz w:val="20"/>
              </w:rPr>
              <w:t xml:space="preserve">(c) </w:t>
            </w:r>
            <w:r w:rsidRPr="0022554A">
              <w:rPr>
                <w:sz w:val="20"/>
              </w:rPr>
              <w:t>Consider use of a flow diagram</w:t>
            </w:r>
            <w:bookmarkEnd w:id="61"/>
          </w:p>
        </w:tc>
        <w:tc>
          <w:tcPr>
            <w:tcW w:w="946" w:type="dxa"/>
            <w:gridSpan w:val="2"/>
          </w:tcPr>
          <w:p w:rsidR="00DB42D2" w:rsidRDefault="00243845" w:rsidP="009A045F">
            <w:pPr>
              <w:tabs>
                <w:tab w:val="left" w:pos="5400"/>
              </w:tabs>
              <w:spacing w:line="240" w:lineRule="auto"/>
              <w:jc w:val="center"/>
              <w:rPr>
                <w:sz w:val="20"/>
              </w:rPr>
            </w:pPr>
            <w:r>
              <w:rPr>
                <w:sz w:val="20"/>
              </w:rPr>
              <w:t>Fig1</w:t>
            </w:r>
          </w:p>
        </w:tc>
        <w:tc>
          <w:tcPr>
            <w:tcW w:w="8459" w:type="dxa"/>
            <w:gridSpan w:val="2"/>
          </w:tcPr>
          <w:p w:rsidR="00DB42D2" w:rsidRDefault="00243845" w:rsidP="00DB42D2">
            <w:pPr>
              <w:tabs>
                <w:tab w:val="left" w:pos="5400"/>
              </w:tabs>
              <w:rPr>
                <w:sz w:val="20"/>
              </w:rPr>
            </w:pPr>
            <w:r>
              <w:rPr>
                <w:sz w:val="20"/>
              </w:rPr>
              <w:t>Figure 1</w:t>
            </w:r>
            <w:r w:rsidR="00596A45">
              <w:rPr>
                <w:sz w:val="20"/>
              </w:rPr>
              <w:t xml:space="preserve"> : </w:t>
            </w:r>
            <w:r w:rsidR="00596A45" w:rsidRPr="00596A45">
              <w:rPr>
                <w:sz w:val="20"/>
              </w:rPr>
              <w:t>Flow chart of sample collection</w:t>
            </w:r>
          </w:p>
        </w:tc>
      </w:tr>
      <w:tr w:rsidR="00F95B9A" w:rsidRPr="0022554A" w:rsidTr="000873D8">
        <w:trPr>
          <w:gridAfter w:val="2"/>
          <w:wAfter w:w="2598" w:type="dxa"/>
        </w:trPr>
        <w:tc>
          <w:tcPr>
            <w:tcW w:w="0" w:type="auto"/>
            <w:gridSpan w:val="2"/>
            <w:vMerge w:val="restart"/>
          </w:tcPr>
          <w:p w:rsidR="00DB42D2" w:rsidRPr="0022554A" w:rsidRDefault="00DB42D2" w:rsidP="00DB42D2">
            <w:pPr>
              <w:tabs>
                <w:tab w:val="left" w:pos="5400"/>
              </w:tabs>
              <w:rPr>
                <w:bCs/>
                <w:sz w:val="20"/>
              </w:rPr>
            </w:pPr>
            <w:bookmarkStart w:id="62" w:name="bold33"/>
            <w:bookmarkStart w:id="63" w:name="italic34"/>
            <w:bookmarkEnd w:id="59"/>
            <w:bookmarkEnd w:id="60"/>
            <w:r w:rsidRPr="0022554A">
              <w:rPr>
                <w:bCs/>
                <w:sz w:val="20"/>
              </w:rPr>
              <w:t xml:space="preserve">Descriptive </w:t>
            </w:r>
            <w:bookmarkStart w:id="64" w:name="bold34"/>
            <w:bookmarkStart w:id="65" w:name="italic35"/>
            <w:bookmarkEnd w:id="62"/>
            <w:bookmarkEnd w:id="63"/>
            <w:r w:rsidRPr="0022554A">
              <w:rPr>
                <w:bCs/>
                <w:sz w:val="20"/>
              </w:rPr>
              <w:t>data</w:t>
            </w:r>
            <w:bookmarkEnd w:id="64"/>
            <w:bookmarkEnd w:id="65"/>
          </w:p>
        </w:tc>
        <w:tc>
          <w:tcPr>
            <w:tcW w:w="0" w:type="auto"/>
            <w:gridSpan w:val="2"/>
            <w:vMerge w:val="restart"/>
          </w:tcPr>
          <w:p w:rsidR="00DB42D2" w:rsidRPr="0022554A" w:rsidRDefault="00DB42D2" w:rsidP="00DB42D2">
            <w:pPr>
              <w:tabs>
                <w:tab w:val="left" w:pos="5400"/>
              </w:tabs>
              <w:jc w:val="center"/>
              <w:rPr>
                <w:sz w:val="20"/>
              </w:rPr>
            </w:pPr>
            <w:r w:rsidRPr="0022554A">
              <w:rPr>
                <w:sz w:val="20"/>
              </w:rPr>
              <w:t>14</w:t>
            </w:r>
            <w:bookmarkStart w:id="66" w:name="bold35"/>
            <w:r w:rsidRPr="0022554A">
              <w:rPr>
                <w:bCs/>
                <w:sz w:val="20"/>
              </w:rPr>
              <w:t>*</w:t>
            </w:r>
            <w:bookmarkEnd w:id="66"/>
          </w:p>
        </w:tc>
        <w:tc>
          <w:tcPr>
            <w:tcW w:w="3648" w:type="dxa"/>
            <w:gridSpan w:val="5"/>
          </w:tcPr>
          <w:p w:rsidR="00DB42D2" w:rsidRPr="0022554A" w:rsidRDefault="00DB42D2" w:rsidP="00DB42D2">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851" w:type="dxa"/>
          </w:tcPr>
          <w:p w:rsidR="00DB42D2" w:rsidRPr="00644DA3" w:rsidRDefault="00BD6861" w:rsidP="009A045F">
            <w:pPr>
              <w:tabs>
                <w:tab w:val="left" w:pos="5400"/>
              </w:tabs>
              <w:spacing w:line="240" w:lineRule="auto"/>
              <w:jc w:val="center"/>
              <w:rPr>
                <w:sz w:val="20"/>
              </w:rPr>
            </w:pPr>
            <w:r w:rsidRPr="00644DA3">
              <w:rPr>
                <w:sz w:val="20"/>
              </w:rPr>
              <w:t>11</w:t>
            </w:r>
          </w:p>
          <w:p w:rsidR="00644DA3" w:rsidRPr="00644DA3" w:rsidRDefault="00644DA3" w:rsidP="009A045F">
            <w:pPr>
              <w:tabs>
                <w:tab w:val="left" w:pos="5400"/>
              </w:tabs>
              <w:spacing w:line="240" w:lineRule="auto"/>
              <w:jc w:val="center"/>
              <w:rPr>
                <w:sz w:val="20"/>
              </w:rPr>
            </w:pPr>
            <w:r w:rsidRPr="00644DA3">
              <w:rPr>
                <w:sz w:val="20"/>
              </w:rPr>
              <w:t>S1 Table</w:t>
            </w:r>
          </w:p>
        </w:tc>
        <w:tc>
          <w:tcPr>
            <w:tcW w:w="8293" w:type="dxa"/>
          </w:tcPr>
          <w:p w:rsidR="00BD6861" w:rsidRPr="00BD6861" w:rsidRDefault="00BD6861" w:rsidP="00BD6861">
            <w:pPr>
              <w:spacing w:line="240" w:lineRule="auto"/>
              <w:rPr>
                <w:sz w:val="20"/>
              </w:rPr>
            </w:pPr>
            <w:r w:rsidRPr="00BD6861">
              <w:rPr>
                <w:sz w:val="20"/>
              </w:rPr>
              <w:t xml:space="preserve">In the population of donors used for </w:t>
            </w:r>
            <w:proofErr w:type="spellStart"/>
            <w:r w:rsidRPr="00BD6861">
              <w:rPr>
                <w:sz w:val="20"/>
              </w:rPr>
              <w:t>sero</w:t>
            </w:r>
            <w:proofErr w:type="spellEnd"/>
            <w:r w:rsidRPr="00BD6861">
              <w:rPr>
                <w:sz w:val="20"/>
              </w:rPr>
              <w:t xml:space="preserve">-epidemiological analyses (#pop6), the distribution of ABO blood groups was: O: 54·7%; A: 27·4%; B: 14·9%, AB: 2·90%. The prevalence values of Rhesus positive (RH+1) and </w:t>
            </w:r>
            <w:proofErr w:type="spellStart"/>
            <w:r w:rsidRPr="00BD6861">
              <w:rPr>
                <w:sz w:val="20"/>
              </w:rPr>
              <w:t>Kell</w:t>
            </w:r>
            <w:proofErr w:type="spellEnd"/>
            <w:r w:rsidRPr="00BD6861">
              <w:rPr>
                <w:sz w:val="20"/>
              </w:rPr>
              <w:t xml:space="preserve"> positive (KEL+1) phenotypes were 88·2% and 4·1%, respectively.</w:t>
            </w:r>
          </w:p>
          <w:p w:rsidR="00DB42D2" w:rsidRPr="00BD6861" w:rsidRDefault="00DB42D2" w:rsidP="00BD6861">
            <w:pPr>
              <w:tabs>
                <w:tab w:val="left" w:pos="5400"/>
              </w:tabs>
              <w:spacing w:line="240" w:lineRule="auto"/>
              <w:rPr>
                <w:sz w:val="20"/>
              </w:rPr>
            </w:pPr>
          </w:p>
        </w:tc>
      </w:tr>
      <w:tr w:rsidR="000873D8" w:rsidRPr="0022554A" w:rsidTr="000873D8">
        <w:trPr>
          <w:gridAfter w:val="1"/>
          <w:wAfter w:w="2432" w:type="dxa"/>
        </w:trPr>
        <w:tc>
          <w:tcPr>
            <w:tcW w:w="0" w:type="auto"/>
            <w:gridSpan w:val="2"/>
            <w:vMerge/>
          </w:tcPr>
          <w:p w:rsidR="00DB42D2" w:rsidRPr="0022554A" w:rsidRDefault="00DB42D2" w:rsidP="00DB42D2">
            <w:pPr>
              <w:tabs>
                <w:tab w:val="left" w:pos="5400"/>
              </w:tabs>
              <w:rPr>
                <w:bCs/>
                <w:sz w:val="20"/>
              </w:rPr>
            </w:pPr>
            <w:bookmarkStart w:id="67" w:name="bold36" w:colFirst="0" w:colLast="0"/>
            <w:bookmarkStart w:id="68" w:name="italic36" w:colFirst="0" w:colLast="0"/>
          </w:p>
        </w:tc>
        <w:tc>
          <w:tcPr>
            <w:tcW w:w="0" w:type="auto"/>
            <w:gridSpan w:val="2"/>
            <w:vMerge/>
          </w:tcPr>
          <w:p w:rsidR="00DB42D2" w:rsidRPr="0022554A" w:rsidRDefault="00DB42D2" w:rsidP="00DB42D2">
            <w:pPr>
              <w:tabs>
                <w:tab w:val="left" w:pos="5400"/>
              </w:tabs>
              <w:jc w:val="center"/>
              <w:rPr>
                <w:sz w:val="20"/>
              </w:rPr>
            </w:pPr>
          </w:p>
        </w:tc>
        <w:tc>
          <w:tcPr>
            <w:tcW w:w="3553" w:type="dxa"/>
            <w:gridSpan w:val="4"/>
          </w:tcPr>
          <w:p w:rsidR="00DB42D2" w:rsidRPr="0022554A" w:rsidRDefault="00DB42D2" w:rsidP="00DB42D2">
            <w:pPr>
              <w:tabs>
                <w:tab w:val="left" w:pos="5400"/>
              </w:tabs>
              <w:rPr>
                <w:sz w:val="20"/>
              </w:rPr>
            </w:pPr>
            <w:r>
              <w:rPr>
                <w:sz w:val="20"/>
              </w:rPr>
              <w:t xml:space="preserve">(b) </w:t>
            </w:r>
            <w:r w:rsidRPr="0022554A">
              <w:rPr>
                <w:sz w:val="20"/>
              </w:rPr>
              <w:t>Indicate number of participants with missing data for each variable of interest</w:t>
            </w:r>
          </w:p>
        </w:tc>
        <w:tc>
          <w:tcPr>
            <w:tcW w:w="946" w:type="dxa"/>
            <w:gridSpan w:val="2"/>
          </w:tcPr>
          <w:p w:rsidR="00DB42D2" w:rsidRDefault="00BD6861" w:rsidP="009A045F">
            <w:pPr>
              <w:tabs>
                <w:tab w:val="left" w:pos="5400"/>
              </w:tabs>
              <w:spacing w:line="240" w:lineRule="auto"/>
              <w:jc w:val="center"/>
              <w:rPr>
                <w:sz w:val="20"/>
              </w:rPr>
            </w:pPr>
            <w:r>
              <w:rPr>
                <w:sz w:val="20"/>
              </w:rPr>
              <w:t>NA</w:t>
            </w:r>
          </w:p>
        </w:tc>
        <w:tc>
          <w:tcPr>
            <w:tcW w:w="8459" w:type="dxa"/>
            <w:gridSpan w:val="2"/>
          </w:tcPr>
          <w:p w:rsidR="00DB42D2" w:rsidRDefault="00BD6861" w:rsidP="00DB42D2">
            <w:pPr>
              <w:tabs>
                <w:tab w:val="left" w:pos="5400"/>
              </w:tabs>
              <w:rPr>
                <w:sz w:val="20"/>
              </w:rPr>
            </w:pPr>
            <w:r>
              <w:rPr>
                <w:sz w:val="20"/>
              </w:rPr>
              <w:t>Not Applicable</w:t>
            </w:r>
          </w:p>
        </w:tc>
      </w:tr>
      <w:tr w:rsidR="000873D8" w:rsidRPr="0022554A" w:rsidTr="000873D8">
        <w:trPr>
          <w:gridAfter w:val="1"/>
          <w:wAfter w:w="2432" w:type="dxa"/>
        </w:trPr>
        <w:tc>
          <w:tcPr>
            <w:tcW w:w="0" w:type="auto"/>
            <w:gridSpan w:val="2"/>
            <w:vMerge/>
          </w:tcPr>
          <w:p w:rsidR="00DB42D2" w:rsidRPr="0022554A" w:rsidRDefault="00DB42D2" w:rsidP="00DB42D2">
            <w:pPr>
              <w:tabs>
                <w:tab w:val="left" w:pos="5400"/>
              </w:tabs>
              <w:rPr>
                <w:bCs/>
                <w:sz w:val="20"/>
              </w:rPr>
            </w:pPr>
            <w:bookmarkStart w:id="69" w:name="bold37" w:colFirst="0" w:colLast="0"/>
            <w:bookmarkStart w:id="70" w:name="italic37" w:colFirst="0" w:colLast="0"/>
            <w:bookmarkEnd w:id="67"/>
            <w:bookmarkEnd w:id="68"/>
          </w:p>
        </w:tc>
        <w:tc>
          <w:tcPr>
            <w:tcW w:w="0" w:type="auto"/>
            <w:gridSpan w:val="2"/>
            <w:vMerge/>
          </w:tcPr>
          <w:p w:rsidR="00DB42D2" w:rsidRPr="0022554A" w:rsidRDefault="00DB42D2" w:rsidP="00DB42D2">
            <w:pPr>
              <w:tabs>
                <w:tab w:val="left" w:pos="5400"/>
              </w:tabs>
              <w:jc w:val="center"/>
              <w:rPr>
                <w:sz w:val="20"/>
              </w:rPr>
            </w:pPr>
          </w:p>
        </w:tc>
        <w:tc>
          <w:tcPr>
            <w:tcW w:w="3553" w:type="dxa"/>
            <w:gridSpan w:val="4"/>
          </w:tcPr>
          <w:p w:rsidR="00DB42D2" w:rsidRPr="0022554A" w:rsidRDefault="00DB42D2" w:rsidP="00DB42D2">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946" w:type="dxa"/>
            <w:gridSpan w:val="2"/>
          </w:tcPr>
          <w:p w:rsidR="00DB42D2" w:rsidRDefault="00BD6861" w:rsidP="009A045F">
            <w:pPr>
              <w:tabs>
                <w:tab w:val="left" w:pos="5400"/>
              </w:tabs>
              <w:spacing w:line="240" w:lineRule="auto"/>
              <w:jc w:val="center"/>
              <w:rPr>
                <w:sz w:val="20"/>
              </w:rPr>
            </w:pPr>
            <w:r>
              <w:rPr>
                <w:sz w:val="20"/>
              </w:rPr>
              <w:t>NA</w:t>
            </w:r>
          </w:p>
        </w:tc>
        <w:tc>
          <w:tcPr>
            <w:tcW w:w="8459" w:type="dxa"/>
            <w:gridSpan w:val="2"/>
          </w:tcPr>
          <w:p w:rsidR="00DB42D2" w:rsidRDefault="00916C6E" w:rsidP="00DB42D2">
            <w:pPr>
              <w:tabs>
                <w:tab w:val="left" w:pos="5400"/>
              </w:tabs>
              <w:rPr>
                <w:sz w:val="20"/>
              </w:rPr>
            </w:pPr>
            <w:r>
              <w:rPr>
                <w:sz w:val="20"/>
              </w:rPr>
              <w:t>Not applicable, Epidemiological and o</w:t>
            </w:r>
            <w:r w:rsidRPr="007F5F04">
              <w:rPr>
                <w:sz w:val="20"/>
              </w:rPr>
              <w:t>bservational Study in Volunteer Blood Donors</w:t>
            </w:r>
            <w:r>
              <w:rPr>
                <w:sz w:val="20"/>
              </w:rPr>
              <w:t>.</w:t>
            </w:r>
          </w:p>
        </w:tc>
      </w:tr>
      <w:tr w:rsidR="000873D8" w:rsidRPr="0022554A" w:rsidTr="000873D8">
        <w:trPr>
          <w:gridAfter w:val="1"/>
          <w:wAfter w:w="2432" w:type="dxa"/>
          <w:trHeight w:val="295"/>
        </w:trPr>
        <w:tc>
          <w:tcPr>
            <w:tcW w:w="0" w:type="auto"/>
            <w:gridSpan w:val="2"/>
            <w:vMerge w:val="restart"/>
          </w:tcPr>
          <w:p w:rsidR="00916C6E" w:rsidRPr="0022554A" w:rsidRDefault="00916C6E" w:rsidP="00916C6E">
            <w:pPr>
              <w:tabs>
                <w:tab w:val="left" w:pos="5400"/>
              </w:tabs>
              <w:rPr>
                <w:bCs/>
                <w:sz w:val="20"/>
              </w:rPr>
            </w:pPr>
            <w:bookmarkStart w:id="71" w:name="bold38" w:colFirst="0" w:colLast="0"/>
            <w:bookmarkStart w:id="72" w:name="italic38" w:colFirst="0" w:colLast="0"/>
            <w:bookmarkEnd w:id="69"/>
            <w:bookmarkEnd w:id="70"/>
            <w:r w:rsidRPr="0022554A">
              <w:rPr>
                <w:bCs/>
                <w:sz w:val="20"/>
              </w:rPr>
              <w:t>Outcome data</w:t>
            </w:r>
          </w:p>
        </w:tc>
        <w:tc>
          <w:tcPr>
            <w:tcW w:w="0" w:type="auto"/>
            <w:gridSpan w:val="2"/>
            <w:vMerge w:val="restart"/>
          </w:tcPr>
          <w:p w:rsidR="00916C6E" w:rsidRPr="0022554A" w:rsidRDefault="00916C6E" w:rsidP="00916C6E">
            <w:pPr>
              <w:tabs>
                <w:tab w:val="left" w:pos="5400"/>
              </w:tabs>
              <w:jc w:val="center"/>
              <w:rPr>
                <w:sz w:val="20"/>
              </w:rPr>
            </w:pPr>
            <w:r w:rsidRPr="0022554A">
              <w:rPr>
                <w:sz w:val="20"/>
              </w:rPr>
              <w:t>15</w:t>
            </w:r>
            <w:bookmarkStart w:id="73" w:name="bold39"/>
            <w:r w:rsidRPr="0022554A">
              <w:rPr>
                <w:bCs/>
                <w:sz w:val="20"/>
              </w:rPr>
              <w:t>*</w:t>
            </w:r>
            <w:bookmarkEnd w:id="73"/>
          </w:p>
        </w:tc>
        <w:tc>
          <w:tcPr>
            <w:tcW w:w="3553" w:type="dxa"/>
            <w:gridSpan w:val="4"/>
          </w:tcPr>
          <w:p w:rsidR="00916C6E" w:rsidRPr="0022554A" w:rsidRDefault="00916C6E" w:rsidP="00916C6E">
            <w:pPr>
              <w:tabs>
                <w:tab w:val="left" w:pos="5400"/>
              </w:tabs>
              <w:rPr>
                <w:sz w:val="20"/>
              </w:rPr>
            </w:pPr>
            <w:r w:rsidRPr="0022554A">
              <w:rPr>
                <w:i/>
                <w:sz w:val="20"/>
              </w:rPr>
              <w:t>Cohort study</w:t>
            </w:r>
            <w:r w:rsidRPr="0022554A">
              <w:rPr>
                <w:sz w:val="20"/>
              </w:rPr>
              <w:t>—Report numbers of outcome events or summary measures over time</w:t>
            </w:r>
          </w:p>
        </w:tc>
        <w:tc>
          <w:tcPr>
            <w:tcW w:w="946" w:type="dxa"/>
            <w:gridSpan w:val="2"/>
          </w:tcPr>
          <w:p w:rsidR="00916C6E" w:rsidRDefault="00916C6E" w:rsidP="009A045F">
            <w:pPr>
              <w:tabs>
                <w:tab w:val="left" w:pos="5400"/>
              </w:tabs>
              <w:spacing w:line="240" w:lineRule="auto"/>
              <w:jc w:val="center"/>
              <w:rPr>
                <w:sz w:val="20"/>
              </w:rPr>
            </w:pPr>
            <w:r>
              <w:rPr>
                <w:sz w:val="20"/>
              </w:rPr>
              <w:t>NA</w:t>
            </w:r>
          </w:p>
        </w:tc>
        <w:tc>
          <w:tcPr>
            <w:tcW w:w="8459" w:type="dxa"/>
            <w:gridSpan w:val="2"/>
          </w:tcPr>
          <w:p w:rsidR="00916C6E" w:rsidRPr="0022554A" w:rsidRDefault="00916C6E" w:rsidP="00916C6E">
            <w:pPr>
              <w:tabs>
                <w:tab w:val="left" w:pos="5400"/>
              </w:tabs>
              <w:rPr>
                <w:i/>
                <w:sz w:val="20"/>
              </w:rPr>
            </w:pPr>
            <w:r>
              <w:rPr>
                <w:sz w:val="20"/>
              </w:rPr>
              <w:t>Not applicable, Epidemiological and o</w:t>
            </w:r>
            <w:r w:rsidRPr="007F5F04">
              <w:rPr>
                <w:sz w:val="20"/>
              </w:rPr>
              <w:t>bservational Study in Volunteer Blood Donors</w:t>
            </w:r>
            <w:r>
              <w:rPr>
                <w:sz w:val="20"/>
              </w:rPr>
              <w:t>.</w:t>
            </w:r>
          </w:p>
        </w:tc>
      </w:tr>
      <w:bookmarkEnd w:id="71"/>
      <w:bookmarkEnd w:id="72"/>
      <w:tr w:rsidR="000873D8" w:rsidRPr="0022554A" w:rsidTr="000873D8">
        <w:trPr>
          <w:gridAfter w:val="1"/>
          <w:wAfter w:w="2432" w:type="dxa"/>
          <w:trHeight w:val="294"/>
        </w:trPr>
        <w:tc>
          <w:tcPr>
            <w:tcW w:w="0" w:type="auto"/>
            <w:gridSpan w:val="2"/>
            <w:vMerge/>
          </w:tcPr>
          <w:p w:rsidR="00916C6E" w:rsidRPr="0022554A" w:rsidRDefault="00916C6E" w:rsidP="00916C6E">
            <w:pPr>
              <w:tabs>
                <w:tab w:val="left" w:pos="5400"/>
              </w:tabs>
              <w:rPr>
                <w:bCs/>
                <w:sz w:val="20"/>
              </w:rPr>
            </w:pPr>
          </w:p>
        </w:tc>
        <w:tc>
          <w:tcPr>
            <w:tcW w:w="0" w:type="auto"/>
            <w:gridSpan w:val="2"/>
            <w:vMerge/>
          </w:tcPr>
          <w:p w:rsidR="00916C6E" w:rsidRPr="0022554A" w:rsidRDefault="00916C6E" w:rsidP="00916C6E">
            <w:pPr>
              <w:tabs>
                <w:tab w:val="left" w:pos="5400"/>
              </w:tabs>
              <w:jc w:val="center"/>
              <w:rPr>
                <w:sz w:val="20"/>
              </w:rPr>
            </w:pPr>
          </w:p>
        </w:tc>
        <w:tc>
          <w:tcPr>
            <w:tcW w:w="3553" w:type="dxa"/>
            <w:gridSpan w:val="4"/>
          </w:tcPr>
          <w:p w:rsidR="00916C6E" w:rsidRPr="0022554A" w:rsidRDefault="00916C6E" w:rsidP="00916C6E">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946" w:type="dxa"/>
            <w:gridSpan w:val="2"/>
          </w:tcPr>
          <w:p w:rsidR="00916C6E" w:rsidRDefault="00916C6E" w:rsidP="008F5CA8">
            <w:pPr>
              <w:tabs>
                <w:tab w:val="left" w:pos="5400"/>
              </w:tabs>
              <w:jc w:val="center"/>
              <w:rPr>
                <w:sz w:val="20"/>
              </w:rPr>
            </w:pPr>
            <w:r>
              <w:rPr>
                <w:sz w:val="20"/>
              </w:rPr>
              <w:t>NA</w:t>
            </w:r>
          </w:p>
        </w:tc>
        <w:tc>
          <w:tcPr>
            <w:tcW w:w="8459" w:type="dxa"/>
            <w:gridSpan w:val="2"/>
          </w:tcPr>
          <w:p w:rsidR="00916C6E" w:rsidRPr="0022554A" w:rsidRDefault="00916C6E" w:rsidP="00916C6E">
            <w:pPr>
              <w:tabs>
                <w:tab w:val="left" w:pos="5400"/>
              </w:tabs>
              <w:rPr>
                <w:i/>
                <w:sz w:val="20"/>
              </w:rPr>
            </w:pPr>
            <w:r>
              <w:rPr>
                <w:sz w:val="20"/>
              </w:rPr>
              <w:t>Not applicable, Epidemiological and o</w:t>
            </w:r>
            <w:r w:rsidRPr="007F5F04">
              <w:rPr>
                <w:sz w:val="20"/>
              </w:rPr>
              <w:t>bservational Study in Volunteer Blood Donors</w:t>
            </w:r>
            <w:r>
              <w:rPr>
                <w:sz w:val="20"/>
              </w:rPr>
              <w:t>.</w:t>
            </w:r>
          </w:p>
        </w:tc>
      </w:tr>
      <w:tr w:rsidR="000873D8" w:rsidRPr="0022554A" w:rsidTr="000873D8">
        <w:trPr>
          <w:gridAfter w:val="1"/>
          <w:wAfter w:w="2432" w:type="dxa"/>
          <w:trHeight w:val="294"/>
        </w:trPr>
        <w:tc>
          <w:tcPr>
            <w:tcW w:w="0" w:type="auto"/>
            <w:gridSpan w:val="2"/>
            <w:vMerge/>
          </w:tcPr>
          <w:p w:rsidR="00916C6E" w:rsidRPr="0022554A" w:rsidRDefault="00916C6E" w:rsidP="00916C6E">
            <w:pPr>
              <w:tabs>
                <w:tab w:val="left" w:pos="5400"/>
              </w:tabs>
              <w:rPr>
                <w:bCs/>
                <w:sz w:val="20"/>
              </w:rPr>
            </w:pPr>
          </w:p>
        </w:tc>
        <w:tc>
          <w:tcPr>
            <w:tcW w:w="0" w:type="auto"/>
            <w:gridSpan w:val="2"/>
            <w:vMerge/>
          </w:tcPr>
          <w:p w:rsidR="00916C6E" w:rsidRPr="0022554A" w:rsidRDefault="00916C6E" w:rsidP="00916C6E">
            <w:pPr>
              <w:tabs>
                <w:tab w:val="left" w:pos="5400"/>
              </w:tabs>
              <w:jc w:val="center"/>
              <w:rPr>
                <w:sz w:val="20"/>
              </w:rPr>
            </w:pPr>
          </w:p>
        </w:tc>
        <w:tc>
          <w:tcPr>
            <w:tcW w:w="3553" w:type="dxa"/>
            <w:gridSpan w:val="4"/>
          </w:tcPr>
          <w:p w:rsidR="00916C6E" w:rsidRPr="0022554A" w:rsidRDefault="00916C6E" w:rsidP="00916C6E">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946" w:type="dxa"/>
            <w:gridSpan w:val="2"/>
          </w:tcPr>
          <w:p w:rsidR="00916C6E" w:rsidRDefault="00916C6E" w:rsidP="008F5CA8">
            <w:pPr>
              <w:tabs>
                <w:tab w:val="left" w:pos="5400"/>
              </w:tabs>
              <w:jc w:val="center"/>
              <w:rPr>
                <w:sz w:val="20"/>
              </w:rPr>
            </w:pPr>
            <w:r>
              <w:rPr>
                <w:sz w:val="20"/>
              </w:rPr>
              <w:t>NA</w:t>
            </w:r>
          </w:p>
        </w:tc>
        <w:tc>
          <w:tcPr>
            <w:tcW w:w="8459" w:type="dxa"/>
            <w:gridSpan w:val="2"/>
          </w:tcPr>
          <w:p w:rsidR="00916C6E" w:rsidRDefault="00916C6E" w:rsidP="00916C6E">
            <w:pPr>
              <w:tabs>
                <w:tab w:val="left" w:pos="5400"/>
              </w:tabs>
              <w:rPr>
                <w:i/>
                <w:sz w:val="20"/>
              </w:rPr>
            </w:pPr>
            <w:r>
              <w:rPr>
                <w:sz w:val="20"/>
              </w:rPr>
              <w:t>Not applicable, Epidemiological and o</w:t>
            </w:r>
            <w:r w:rsidRPr="007F5F04">
              <w:rPr>
                <w:sz w:val="20"/>
              </w:rPr>
              <w:t>bservational Study in Volunteer Blood Donors</w:t>
            </w:r>
            <w:r>
              <w:rPr>
                <w:sz w:val="20"/>
              </w:rPr>
              <w:t>.</w:t>
            </w:r>
          </w:p>
        </w:tc>
      </w:tr>
      <w:tr w:rsidR="000873D8" w:rsidRPr="0022554A" w:rsidTr="000873D8">
        <w:trPr>
          <w:gridAfter w:val="1"/>
          <w:wAfter w:w="2432" w:type="dxa"/>
        </w:trPr>
        <w:tc>
          <w:tcPr>
            <w:tcW w:w="0" w:type="auto"/>
            <w:gridSpan w:val="2"/>
            <w:vMerge w:val="restart"/>
          </w:tcPr>
          <w:p w:rsidR="00916C6E" w:rsidRPr="0022554A" w:rsidRDefault="00916C6E" w:rsidP="00916C6E">
            <w:pPr>
              <w:tabs>
                <w:tab w:val="left" w:pos="5400"/>
              </w:tabs>
              <w:rPr>
                <w:bCs/>
                <w:sz w:val="20"/>
              </w:rPr>
            </w:pPr>
            <w:bookmarkStart w:id="74" w:name="italic40" w:colFirst="0" w:colLast="0"/>
            <w:bookmarkStart w:id="75" w:name="bold41" w:colFirst="0" w:colLast="0"/>
            <w:r w:rsidRPr="0022554A">
              <w:rPr>
                <w:bCs/>
                <w:sz w:val="20"/>
              </w:rPr>
              <w:lastRenderedPageBreak/>
              <w:t>Main results</w:t>
            </w:r>
          </w:p>
        </w:tc>
        <w:tc>
          <w:tcPr>
            <w:tcW w:w="0" w:type="auto"/>
            <w:gridSpan w:val="2"/>
            <w:vMerge w:val="restart"/>
          </w:tcPr>
          <w:p w:rsidR="00916C6E" w:rsidRPr="0022554A" w:rsidRDefault="00916C6E" w:rsidP="00916C6E">
            <w:pPr>
              <w:tabs>
                <w:tab w:val="left" w:pos="5400"/>
              </w:tabs>
              <w:jc w:val="center"/>
              <w:rPr>
                <w:sz w:val="20"/>
              </w:rPr>
            </w:pPr>
            <w:r w:rsidRPr="0022554A">
              <w:rPr>
                <w:sz w:val="20"/>
              </w:rPr>
              <w:t>16</w:t>
            </w:r>
          </w:p>
        </w:tc>
        <w:tc>
          <w:tcPr>
            <w:tcW w:w="3553" w:type="dxa"/>
            <w:gridSpan w:val="4"/>
          </w:tcPr>
          <w:p w:rsidR="00916C6E" w:rsidRPr="006149D3" w:rsidRDefault="00916C6E" w:rsidP="00916C6E">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946" w:type="dxa"/>
            <w:gridSpan w:val="2"/>
          </w:tcPr>
          <w:p w:rsidR="00916C6E" w:rsidRDefault="00EB07B3" w:rsidP="00452088">
            <w:pPr>
              <w:tabs>
                <w:tab w:val="left" w:pos="5400"/>
              </w:tabs>
              <w:spacing w:line="240" w:lineRule="auto"/>
              <w:jc w:val="center"/>
              <w:rPr>
                <w:sz w:val="20"/>
              </w:rPr>
            </w:pPr>
            <w:r>
              <w:rPr>
                <w:sz w:val="20"/>
              </w:rPr>
              <w:t>Table1</w:t>
            </w:r>
          </w:p>
          <w:p w:rsidR="00EB07B3" w:rsidRDefault="00EB07B3" w:rsidP="00452088">
            <w:pPr>
              <w:tabs>
                <w:tab w:val="left" w:pos="5400"/>
              </w:tabs>
              <w:spacing w:line="240" w:lineRule="auto"/>
              <w:jc w:val="center"/>
              <w:rPr>
                <w:sz w:val="20"/>
              </w:rPr>
            </w:pPr>
            <w:r>
              <w:rPr>
                <w:sz w:val="20"/>
              </w:rPr>
              <w:t>11</w:t>
            </w:r>
          </w:p>
          <w:p w:rsidR="004E5468" w:rsidRDefault="004E5468" w:rsidP="00452088">
            <w:pPr>
              <w:tabs>
                <w:tab w:val="left" w:pos="5400"/>
              </w:tabs>
              <w:spacing w:line="240" w:lineRule="auto"/>
              <w:jc w:val="center"/>
              <w:rPr>
                <w:sz w:val="20"/>
              </w:rPr>
            </w:pPr>
          </w:p>
          <w:p w:rsidR="004E5468" w:rsidRDefault="004E5468" w:rsidP="00452088">
            <w:pPr>
              <w:tabs>
                <w:tab w:val="left" w:pos="5400"/>
              </w:tabs>
              <w:spacing w:line="240" w:lineRule="auto"/>
              <w:jc w:val="center"/>
              <w:rPr>
                <w:sz w:val="20"/>
              </w:rPr>
            </w:pPr>
          </w:p>
          <w:p w:rsidR="004E5468" w:rsidRDefault="004E5468" w:rsidP="00452088">
            <w:pPr>
              <w:tabs>
                <w:tab w:val="left" w:pos="5400"/>
              </w:tabs>
              <w:spacing w:line="240" w:lineRule="auto"/>
              <w:jc w:val="center"/>
              <w:rPr>
                <w:sz w:val="20"/>
              </w:rPr>
            </w:pPr>
          </w:p>
          <w:p w:rsidR="004E5468" w:rsidRDefault="004E5468" w:rsidP="00452088">
            <w:pPr>
              <w:tabs>
                <w:tab w:val="left" w:pos="5400"/>
              </w:tabs>
              <w:spacing w:line="240" w:lineRule="auto"/>
              <w:jc w:val="center"/>
              <w:rPr>
                <w:sz w:val="20"/>
              </w:rPr>
            </w:pPr>
            <w:r>
              <w:rPr>
                <w:sz w:val="20"/>
              </w:rPr>
              <w:t>12</w:t>
            </w:r>
          </w:p>
          <w:p w:rsidR="004E5468" w:rsidRDefault="004E5468" w:rsidP="00452088">
            <w:pPr>
              <w:tabs>
                <w:tab w:val="left" w:pos="5400"/>
              </w:tabs>
              <w:spacing w:line="240" w:lineRule="auto"/>
              <w:jc w:val="center"/>
              <w:rPr>
                <w:sz w:val="20"/>
              </w:rPr>
            </w:pPr>
          </w:p>
          <w:p w:rsidR="004E5468" w:rsidRDefault="004E5468" w:rsidP="00452088">
            <w:pPr>
              <w:tabs>
                <w:tab w:val="left" w:pos="5400"/>
              </w:tabs>
              <w:spacing w:line="240" w:lineRule="auto"/>
              <w:jc w:val="center"/>
              <w:rPr>
                <w:sz w:val="20"/>
              </w:rPr>
            </w:pPr>
            <w:r>
              <w:rPr>
                <w:sz w:val="20"/>
              </w:rPr>
              <w:t>14</w:t>
            </w:r>
          </w:p>
          <w:p w:rsidR="00443848" w:rsidRDefault="00443848" w:rsidP="00452088">
            <w:pPr>
              <w:tabs>
                <w:tab w:val="left" w:pos="5400"/>
              </w:tabs>
              <w:spacing w:line="240" w:lineRule="auto"/>
              <w:jc w:val="center"/>
              <w:rPr>
                <w:sz w:val="20"/>
              </w:rPr>
            </w:pPr>
          </w:p>
          <w:p w:rsidR="00443848" w:rsidRDefault="00443848" w:rsidP="00452088">
            <w:pPr>
              <w:tabs>
                <w:tab w:val="left" w:pos="5400"/>
              </w:tabs>
              <w:spacing w:line="240" w:lineRule="auto"/>
              <w:jc w:val="center"/>
              <w:rPr>
                <w:sz w:val="20"/>
              </w:rPr>
            </w:pPr>
          </w:p>
          <w:p w:rsidR="00443848" w:rsidRDefault="00443848" w:rsidP="00452088">
            <w:pPr>
              <w:tabs>
                <w:tab w:val="left" w:pos="5400"/>
              </w:tabs>
              <w:spacing w:line="240" w:lineRule="auto"/>
              <w:jc w:val="center"/>
              <w:rPr>
                <w:sz w:val="20"/>
              </w:rPr>
            </w:pPr>
            <w:r>
              <w:rPr>
                <w:sz w:val="20"/>
              </w:rPr>
              <w:t>14</w:t>
            </w:r>
          </w:p>
          <w:p w:rsidR="009A045F" w:rsidRDefault="009A045F" w:rsidP="00452088">
            <w:pPr>
              <w:tabs>
                <w:tab w:val="left" w:pos="5400"/>
              </w:tabs>
              <w:spacing w:line="240" w:lineRule="auto"/>
              <w:jc w:val="center"/>
              <w:rPr>
                <w:sz w:val="20"/>
              </w:rPr>
            </w:pPr>
          </w:p>
          <w:p w:rsidR="009A045F" w:rsidRDefault="009A045F" w:rsidP="008F5CA8">
            <w:pPr>
              <w:tabs>
                <w:tab w:val="left" w:pos="5400"/>
              </w:tabs>
              <w:spacing w:line="240" w:lineRule="auto"/>
              <w:jc w:val="center"/>
              <w:rPr>
                <w:sz w:val="20"/>
              </w:rPr>
            </w:pPr>
          </w:p>
          <w:p w:rsidR="009A045F" w:rsidRDefault="009A045F" w:rsidP="008F5CA8">
            <w:pPr>
              <w:tabs>
                <w:tab w:val="left" w:pos="5400"/>
              </w:tabs>
              <w:spacing w:line="240" w:lineRule="auto"/>
              <w:jc w:val="center"/>
              <w:rPr>
                <w:sz w:val="20"/>
              </w:rPr>
            </w:pPr>
          </w:p>
          <w:p w:rsidR="009A045F" w:rsidRDefault="009A045F" w:rsidP="008F5CA8">
            <w:pPr>
              <w:tabs>
                <w:tab w:val="left" w:pos="5400"/>
              </w:tabs>
              <w:spacing w:line="240" w:lineRule="auto"/>
              <w:jc w:val="center"/>
              <w:rPr>
                <w:sz w:val="20"/>
              </w:rPr>
            </w:pPr>
          </w:p>
          <w:p w:rsidR="009A045F" w:rsidRDefault="009A045F" w:rsidP="008F5CA8">
            <w:pPr>
              <w:tabs>
                <w:tab w:val="left" w:pos="5400"/>
              </w:tabs>
              <w:spacing w:line="240" w:lineRule="auto"/>
              <w:jc w:val="center"/>
              <w:rPr>
                <w:sz w:val="20"/>
              </w:rPr>
            </w:pPr>
          </w:p>
          <w:p w:rsidR="004E5468" w:rsidRPr="0022554A" w:rsidRDefault="004E5468" w:rsidP="004E5468">
            <w:pPr>
              <w:tabs>
                <w:tab w:val="left" w:pos="5400"/>
              </w:tabs>
              <w:spacing w:line="240" w:lineRule="auto"/>
              <w:rPr>
                <w:sz w:val="20"/>
              </w:rPr>
            </w:pPr>
          </w:p>
        </w:tc>
        <w:tc>
          <w:tcPr>
            <w:tcW w:w="8459" w:type="dxa"/>
            <w:gridSpan w:val="2"/>
          </w:tcPr>
          <w:p w:rsidR="00916C6E" w:rsidRPr="009A045F" w:rsidRDefault="00916C6E" w:rsidP="00EB07B3">
            <w:pPr>
              <w:tabs>
                <w:tab w:val="left" w:pos="5400"/>
              </w:tabs>
              <w:spacing w:line="240" w:lineRule="auto"/>
              <w:rPr>
                <w:sz w:val="20"/>
              </w:rPr>
            </w:pPr>
          </w:p>
          <w:p w:rsidR="00EB07B3" w:rsidRPr="009A045F" w:rsidRDefault="009A045F" w:rsidP="00EB07B3">
            <w:pPr>
              <w:tabs>
                <w:tab w:val="left" w:pos="5400"/>
              </w:tabs>
              <w:spacing w:line="240" w:lineRule="auto"/>
              <w:rPr>
                <w:sz w:val="20"/>
              </w:rPr>
            </w:pPr>
            <w:r w:rsidRPr="009A045F">
              <w:rPr>
                <w:sz w:val="20"/>
              </w:rPr>
              <w:t xml:space="preserve">Molecular analysis. </w:t>
            </w:r>
            <w:r w:rsidR="00EB07B3" w:rsidRPr="009A045F">
              <w:rPr>
                <w:sz w:val="20"/>
              </w:rPr>
              <w:t>Amongst 16,386 donations tested by RT-PCR (pop#1), 37/10,197 (0·36%) and 26/6,189 (0·42%) were positive in Martinique and Guadeloupe respectively. No significant statistical relationship between CHIKV RNA detection and age-classes or blood groups was identified.</w:t>
            </w:r>
          </w:p>
          <w:p w:rsidR="00EB07B3" w:rsidRPr="009A045F" w:rsidRDefault="009A045F" w:rsidP="004E5468">
            <w:pPr>
              <w:tabs>
                <w:tab w:val="left" w:pos="5400"/>
              </w:tabs>
              <w:spacing w:line="240" w:lineRule="auto"/>
              <w:rPr>
                <w:sz w:val="20"/>
              </w:rPr>
            </w:pPr>
            <w:proofErr w:type="spellStart"/>
            <w:r w:rsidRPr="009A045F">
              <w:rPr>
                <w:sz w:val="20"/>
              </w:rPr>
              <w:t>Seroprevalence</w:t>
            </w:r>
            <w:proofErr w:type="spellEnd"/>
            <w:r w:rsidRPr="009A045F">
              <w:rPr>
                <w:sz w:val="20"/>
              </w:rPr>
              <w:t xml:space="preserve"> analysis</w:t>
            </w:r>
            <w:r>
              <w:rPr>
                <w:sz w:val="20"/>
              </w:rPr>
              <w:t>.</w:t>
            </w:r>
            <w:r w:rsidRPr="009A045F">
              <w:rPr>
                <w:sz w:val="20"/>
              </w:rPr>
              <w:t xml:space="preserve"> </w:t>
            </w:r>
            <w:r w:rsidR="004E5468" w:rsidRPr="009A045F">
              <w:rPr>
                <w:sz w:val="20"/>
              </w:rPr>
              <w:t xml:space="preserve">Continuous prevalence increase in both islands with a final </w:t>
            </w:r>
            <w:proofErr w:type="spellStart"/>
            <w:r w:rsidR="004E5468" w:rsidRPr="009A045F">
              <w:rPr>
                <w:sz w:val="20"/>
              </w:rPr>
              <w:t>seroprevalence</w:t>
            </w:r>
            <w:proofErr w:type="spellEnd"/>
            <w:r w:rsidR="004E5468" w:rsidRPr="009A045F">
              <w:rPr>
                <w:sz w:val="20"/>
              </w:rPr>
              <w:t xml:space="preserve"> of 48·1% in Guadeloupe and 41·9% in Martinique.</w:t>
            </w:r>
          </w:p>
          <w:p w:rsidR="004E5468" w:rsidRPr="009A045F" w:rsidRDefault="004E5468" w:rsidP="004E5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rPr>
            </w:pPr>
            <w:r w:rsidRPr="009A045F">
              <w:rPr>
                <w:sz w:val="20"/>
              </w:rPr>
              <w:t>Significant association were identified at week level as follows (global analysis of both islands): male gender was assoc</w:t>
            </w:r>
            <w:r w:rsidR="004F4B71">
              <w:rPr>
                <w:sz w:val="20"/>
              </w:rPr>
              <w:t>iated with an increased risk of</w:t>
            </w:r>
            <w:r w:rsidRPr="009A045F">
              <w:rPr>
                <w:sz w:val="20"/>
              </w:rPr>
              <w:t xml:space="preserve"> </w:t>
            </w:r>
            <w:proofErr w:type="spellStart"/>
            <w:r w:rsidRPr="009A045F">
              <w:rPr>
                <w:sz w:val="20"/>
              </w:rPr>
              <w:t>seropositivity</w:t>
            </w:r>
            <w:proofErr w:type="spellEnd"/>
            <w:r w:rsidRPr="009A045F">
              <w:rPr>
                <w:sz w:val="20"/>
              </w:rPr>
              <w:t xml:space="preserve">; </w:t>
            </w:r>
            <w:proofErr w:type="spellStart"/>
            <w:r w:rsidRPr="009A045F">
              <w:rPr>
                <w:sz w:val="20"/>
              </w:rPr>
              <w:t>seropositivity</w:t>
            </w:r>
            <w:proofErr w:type="spellEnd"/>
            <w:r w:rsidRPr="009A045F">
              <w:rPr>
                <w:sz w:val="20"/>
              </w:rPr>
              <w:t xml:space="preserve"> globally increased with age.</w:t>
            </w:r>
          </w:p>
          <w:p w:rsidR="00443848" w:rsidRPr="009A045F" w:rsidRDefault="00F95B9A" w:rsidP="00443848">
            <w:pPr>
              <w:spacing w:line="240" w:lineRule="auto"/>
              <w:rPr>
                <w:sz w:val="20"/>
              </w:rPr>
            </w:pPr>
            <w:r>
              <w:rPr>
                <w:sz w:val="20"/>
              </w:rPr>
              <w:t xml:space="preserve">Asymptomatic viremia duration. </w:t>
            </w:r>
            <w:r w:rsidR="00443848" w:rsidRPr="009A045F">
              <w:rPr>
                <w:sz w:val="20"/>
              </w:rPr>
              <w:t xml:space="preserve">For a final </w:t>
            </w:r>
            <w:proofErr w:type="spellStart"/>
            <w:r w:rsidR="00443848" w:rsidRPr="009A045F">
              <w:rPr>
                <w:sz w:val="20"/>
              </w:rPr>
              <w:t>seroprevalence</w:t>
            </w:r>
            <w:proofErr w:type="spellEnd"/>
            <w:r w:rsidR="00443848" w:rsidRPr="009A045F">
              <w:rPr>
                <w:sz w:val="20"/>
              </w:rPr>
              <w:t xml:space="preserve"> of 41·9%, in the pop#1 of </w:t>
            </w:r>
            <w:proofErr w:type="spellStart"/>
            <w:r w:rsidR="00443848" w:rsidRPr="009A045F">
              <w:rPr>
                <w:sz w:val="20"/>
              </w:rPr>
              <w:t>Martiniquan</w:t>
            </w:r>
            <w:proofErr w:type="spellEnd"/>
            <w:r w:rsidR="00443848" w:rsidRPr="009A045F">
              <w:rPr>
                <w:sz w:val="20"/>
              </w:rPr>
              <w:t xml:space="preserve"> blood donors our model predicted, 15, 31, 46, and 61 RNA positive detections (with a viral load above 450 genome copies/mL of plasma) associated with asymptomatic </w:t>
            </w:r>
            <w:proofErr w:type="spellStart"/>
            <w:r w:rsidR="00443848" w:rsidRPr="009A045F">
              <w:rPr>
                <w:sz w:val="20"/>
              </w:rPr>
              <w:t>viraemia</w:t>
            </w:r>
            <w:proofErr w:type="spellEnd"/>
            <w:r w:rsidR="00443848" w:rsidRPr="009A045F">
              <w:rPr>
                <w:sz w:val="20"/>
              </w:rPr>
              <w:t xml:space="preserve"> durations of 1, 2, 3, and 4 days respectively. Based on this model, the observed number of RNA positive detections (37) corresponded to a predicted asymptomatic </w:t>
            </w:r>
            <w:proofErr w:type="spellStart"/>
            <w:r w:rsidR="00443848" w:rsidRPr="009A045F">
              <w:rPr>
                <w:sz w:val="20"/>
              </w:rPr>
              <w:t>viraemia</w:t>
            </w:r>
            <w:proofErr w:type="spellEnd"/>
            <w:r w:rsidR="00443848" w:rsidRPr="009A045F">
              <w:rPr>
                <w:sz w:val="20"/>
              </w:rPr>
              <w:t xml:space="preserve"> of </w:t>
            </w:r>
            <w:r w:rsidR="00443848" w:rsidRPr="009A045F">
              <w:rPr>
                <w:i/>
                <w:sz w:val="20"/>
              </w:rPr>
              <w:t>ca.</w:t>
            </w:r>
            <w:r w:rsidR="00443848" w:rsidRPr="009A045F">
              <w:rPr>
                <w:sz w:val="20"/>
              </w:rPr>
              <w:t xml:space="preserve"> 2·5 days.</w:t>
            </w:r>
          </w:p>
          <w:p w:rsidR="004E5468" w:rsidRPr="009A045F" w:rsidRDefault="00443848" w:rsidP="004438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rPr>
            </w:pPr>
            <w:r w:rsidRPr="009A045F">
              <w:rPr>
                <w:sz w:val="20"/>
              </w:rPr>
              <w:t xml:space="preserve">For a final </w:t>
            </w:r>
            <w:proofErr w:type="spellStart"/>
            <w:r w:rsidRPr="009A045F">
              <w:rPr>
                <w:sz w:val="20"/>
              </w:rPr>
              <w:t>seroprevalence</w:t>
            </w:r>
            <w:proofErr w:type="spellEnd"/>
            <w:r w:rsidRPr="009A045F">
              <w:rPr>
                <w:sz w:val="20"/>
              </w:rPr>
              <w:t xml:space="preserve"> of 48·1% in the pop#1 of Guadeloupian donors, 12, 24, 35, and 47 RNA positive detections (with a viral load above 450 genome copies/mL of plasma) were associated with asymptomatic </w:t>
            </w:r>
            <w:proofErr w:type="spellStart"/>
            <w:r w:rsidRPr="009A045F">
              <w:rPr>
                <w:sz w:val="20"/>
              </w:rPr>
              <w:t>viraemia</w:t>
            </w:r>
            <w:proofErr w:type="spellEnd"/>
            <w:r w:rsidRPr="009A045F">
              <w:rPr>
                <w:sz w:val="20"/>
              </w:rPr>
              <w:t xml:space="preserve"> durations of 1, 2, 3, and 4 days respectively. Thus, the observed number of RNA positive detections (26) corresponded to a predicted asymptomatic </w:t>
            </w:r>
            <w:proofErr w:type="spellStart"/>
            <w:r w:rsidRPr="009A045F">
              <w:rPr>
                <w:sz w:val="20"/>
              </w:rPr>
              <w:t>viraemia</w:t>
            </w:r>
            <w:proofErr w:type="spellEnd"/>
            <w:r w:rsidRPr="009A045F">
              <w:rPr>
                <w:sz w:val="20"/>
              </w:rPr>
              <w:t xml:space="preserve"> of </w:t>
            </w:r>
            <w:r w:rsidRPr="009A045F">
              <w:rPr>
                <w:i/>
                <w:sz w:val="20"/>
              </w:rPr>
              <w:t>ca.</w:t>
            </w:r>
            <w:r w:rsidRPr="009A045F">
              <w:rPr>
                <w:sz w:val="20"/>
              </w:rPr>
              <w:t xml:space="preserve"> 2·3 days.</w:t>
            </w:r>
          </w:p>
        </w:tc>
      </w:tr>
      <w:tr w:rsidR="000873D8" w:rsidRPr="0022554A" w:rsidTr="000873D8">
        <w:trPr>
          <w:gridAfter w:val="1"/>
          <w:wAfter w:w="2432" w:type="dxa"/>
        </w:trPr>
        <w:tc>
          <w:tcPr>
            <w:tcW w:w="0" w:type="auto"/>
            <w:gridSpan w:val="2"/>
            <w:vMerge/>
          </w:tcPr>
          <w:p w:rsidR="00916C6E" w:rsidRPr="0022554A" w:rsidRDefault="00916C6E" w:rsidP="00916C6E">
            <w:pPr>
              <w:tabs>
                <w:tab w:val="left" w:pos="5400"/>
              </w:tabs>
              <w:rPr>
                <w:bCs/>
                <w:sz w:val="20"/>
              </w:rPr>
            </w:pPr>
            <w:bookmarkStart w:id="76" w:name="italic41" w:colFirst="0" w:colLast="0"/>
            <w:bookmarkStart w:id="77" w:name="bold42" w:colFirst="0" w:colLast="0"/>
            <w:bookmarkEnd w:id="74"/>
            <w:bookmarkEnd w:id="75"/>
          </w:p>
        </w:tc>
        <w:tc>
          <w:tcPr>
            <w:tcW w:w="0" w:type="auto"/>
            <w:gridSpan w:val="2"/>
            <w:vMerge/>
          </w:tcPr>
          <w:p w:rsidR="00916C6E" w:rsidRPr="0022554A" w:rsidRDefault="00916C6E" w:rsidP="00916C6E">
            <w:pPr>
              <w:tabs>
                <w:tab w:val="left" w:pos="5400"/>
              </w:tabs>
              <w:jc w:val="center"/>
              <w:rPr>
                <w:sz w:val="20"/>
              </w:rPr>
            </w:pPr>
          </w:p>
        </w:tc>
        <w:tc>
          <w:tcPr>
            <w:tcW w:w="3553" w:type="dxa"/>
            <w:gridSpan w:val="4"/>
          </w:tcPr>
          <w:p w:rsidR="00916C6E" w:rsidRPr="006149D3" w:rsidRDefault="00916C6E" w:rsidP="00916C6E">
            <w:pPr>
              <w:tabs>
                <w:tab w:val="left" w:pos="5400"/>
              </w:tabs>
              <w:rPr>
                <w:sz w:val="20"/>
              </w:rPr>
            </w:pPr>
            <w:r w:rsidRPr="0022554A">
              <w:rPr>
                <w:sz w:val="20"/>
              </w:rPr>
              <w:t>(</w:t>
            </w:r>
            <w:r w:rsidRPr="0022554A">
              <w:rPr>
                <w:i/>
                <w:sz w:val="20"/>
              </w:rPr>
              <w:t>b</w:t>
            </w:r>
            <w:r w:rsidRPr="00596A45">
              <w:rPr>
                <w:sz w:val="20"/>
              </w:rPr>
              <w:t>) Report category boundaries when continuous variables were categorized</w:t>
            </w:r>
          </w:p>
        </w:tc>
        <w:tc>
          <w:tcPr>
            <w:tcW w:w="946" w:type="dxa"/>
            <w:gridSpan w:val="2"/>
          </w:tcPr>
          <w:p w:rsidR="00916C6E" w:rsidRDefault="00F3747A" w:rsidP="00F3747A">
            <w:pPr>
              <w:tabs>
                <w:tab w:val="left" w:pos="5400"/>
              </w:tabs>
              <w:spacing w:line="240" w:lineRule="auto"/>
              <w:jc w:val="center"/>
              <w:rPr>
                <w:sz w:val="20"/>
              </w:rPr>
            </w:pPr>
            <w:r>
              <w:rPr>
                <w:sz w:val="20"/>
              </w:rPr>
              <w:t>7</w:t>
            </w:r>
          </w:p>
          <w:p w:rsidR="00F3747A" w:rsidRDefault="00F3747A" w:rsidP="00F3747A">
            <w:pPr>
              <w:tabs>
                <w:tab w:val="left" w:pos="5400"/>
              </w:tabs>
              <w:spacing w:line="240" w:lineRule="auto"/>
              <w:jc w:val="center"/>
              <w:rPr>
                <w:sz w:val="20"/>
              </w:rPr>
            </w:pPr>
          </w:p>
          <w:p w:rsidR="00F3747A" w:rsidRPr="0022554A" w:rsidRDefault="00F3747A" w:rsidP="00F3747A">
            <w:pPr>
              <w:tabs>
                <w:tab w:val="left" w:pos="5400"/>
              </w:tabs>
              <w:spacing w:line="240" w:lineRule="auto"/>
              <w:jc w:val="center"/>
              <w:rPr>
                <w:sz w:val="20"/>
              </w:rPr>
            </w:pPr>
            <w:r>
              <w:rPr>
                <w:sz w:val="20"/>
              </w:rPr>
              <w:t>12</w:t>
            </w:r>
          </w:p>
        </w:tc>
        <w:tc>
          <w:tcPr>
            <w:tcW w:w="8459" w:type="dxa"/>
            <w:gridSpan w:val="2"/>
          </w:tcPr>
          <w:p w:rsidR="00916C6E" w:rsidRDefault="00F3747A" w:rsidP="00F3747A">
            <w:pPr>
              <w:tabs>
                <w:tab w:val="left" w:pos="5400"/>
              </w:tabs>
              <w:spacing w:line="240" w:lineRule="auto"/>
              <w:rPr>
                <w:sz w:val="20"/>
              </w:rPr>
            </w:pPr>
            <w:r w:rsidRPr="00F3747A">
              <w:rPr>
                <w:sz w:val="20"/>
              </w:rPr>
              <w:t>Donors recruited in the study were assigned to one of five age-groups (18-30, 31-40, 41-50, 51-60, and 61-70).</w:t>
            </w:r>
          </w:p>
          <w:p w:rsidR="00F3747A" w:rsidRPr="00F3747A" w:rsidRDefault="00F3747A" w:rsidP="00F3747A">
            <w:pPr>
              <w:tabs>
                <w:tab w:val="left" w:pos="5400"/>
              </w:tabs>
              <w:spacing w:line="240" w:lineRule="auto"/>
              <w:rPr>
                <w:sz w:val="20"/>
              </w:rPr>
            </w:pPr>
            <w:proofErr w:type="spellStart"/>
            <w:r w:rsidRPr="000873D8">
              <w:rPr>
                <w:sz w:val="20"/>
              </w:rPr>
              <w:t>Seroprevalence</w:t>
            </w:r>
            <w:proofErr w:type="spellEnd"/>
            <w:r w:rsidRPr="000873D8">
              <w:rPr>
                <w:sz w:val="20"/>
              </w:rPr>
              <w:t xml:space="preserve"> analysis :Figure 4 presents the distribution of positives in age-classes in pop#4, showing </w:t>
            </w:r>
            <w:r w:rsidRPr="000873D8">
              <w:rPr>
                <w:i/>
                <w:sz w:val="20"/>
              </w:rPr>
              <w:t>(</w:t>
            </w:r>
            <w:proofErr w:type="spellStart"/>
            <w:r w:rsidRPr="000873D8">
              <w:rPr>
                <w:i/>
                <w:sz w:val="20"/>
              </w:rPr>
              <w:t>i</w:t>
            </w:r>
            <w:proofErr w:type="spellEnd"/>
            <w:r w:rsidRPr="000873D8">
              <w:rPr>
                <w:i/>
                <w:sz w:val="20"/>
              </w:rPr>
              <w:t>)</w:t>
            </w:r>
            <w:r w:rsidRPr="000873D8">
              <w:rPr>
                <w:sz w:val="20"/>
              </w:rPr>
              <w:t xml:space="preserve"> in both islands the lowest values in the 31-40yo group, </w:t>
            </w:r>
            <w:r w:rsidRPr="000873D8">
              <w:rPr>
                <w:i/>
                <w:sz w:val="20"/>
              </w:rPr>
              <w:t>(ii)</w:t>
            </w:r>
            <w:r w:rsidRPr="000873D8">
              <w:rPr>
                <w:sz w:val="20"/>
              </w:rPr>
              <w:t xml:space="preserve"> a trend to increase in the older age-groups and </w:t>
            </w:r>
            <w:r w:rsidRPr="000873D8">
              <w:rPr>
                <w:i/>
                <w:sz w:val="20"/>
              </w:rPr>
              <w:t>(iii)</w:t>
            </w:r>
            <w:r w:rsidRPr="000873D8">
              <w:rPr>
                <w:sz w:val="20"/>
              </w:rPr>
              <w:t xml:space="preserve"> globally higher numbers in Guadeloupe than in Martinique</w:t>
            </w:r>
          </w:p>
        </w:tc>
      </w:tr>
      <w:tr w:rsidR="000873D8" w:rsidRPr="0022554A" w:rsidTr="000873D8">
        <w:trPr>
          <w:gridAfter w:val="1"/>
          <w:wAfter w:w="2432" w:type="dxa"/>
        </w:trPr>
        <w:tc>
          <w:tcPr>
            <w:tcW w:w="0" w:type="auto"/>
            <w:gridSpan w:val="2"/>
            <w:vMerge/>
          </w:tcPr>
          <w:p w:rsidR="00916C6E" w:rsidRPr="0022554A" w:rsidRDefault="00916C6E" w:rsidP="00916C6E">
            <w:pPr>
              <w:tabs>
                <w:tab w:val="left" w:pos="5400"/>
              </w:tabs>
              <w:rPr>
                <w:bCs/>
                <w:sz w:val="20"/>
              </w:rPr>
            </w:pPr>
            <w:bookmarkStart w:id="78" w:name="italic42" w:colFirst="0" w:colLast="0"/>
            <w:bookmarkStart w:id="79" w:name="bold43" w:colFirst="0" w:colLast="0"/>
            <w:bookmarkEnd w:id="76"/>
            <w:bookmarkEnd w:id="77"/>
          </w:p>
        </w:tc>
        <w:tc>
          <w:tcPr>
            <w:tcW w:w="0" w:type="auto"/>
            <w:gridSpan w:val="2"/>
            <w:vMerge/>
          </w:tcPr>
          <w:p w:rsidR="00916C6E" w:rsidRPr="0022554A" w:rsidRDefault="00916C6E" w:rsidP="00916C6E">
            <w:pPr>
              <w:tabs>
                <w:tab w:val="left" w:pos="5400"/>
              </w:tabs>
              <w:jc w:val="center"/>
              <w:rPr>
                <w:sz w:val="20"/>
              </w:rPr>
            </w:pPr>
          </w:p>
        </w:tc>
        <w:tc>
          <w:tcPr>
            <w:tcW w:w="3553" w:type="dxa"/>
            <w:gridSpan w:val="4"/>
          </w:tcPr>
          <w:p w:rsidR="00916C6E" w:rsidRPr="006149D3" w:rsidRDefault="00916C6E" w:rsidP="00916C6E">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946" w:type="dxa"/>
            <w:gridSpan w:val="2"/>
          </w:tcPr>
          <w:p w:rsidR="00916C6E" w:rsidRPr="0022554A" w:rsidRDefault="00EB07B3" w:rsidP="00452088">
            <w:pPr>
              <w:tabs>
                <w:tab w:val="left" w:pos="5400"/>
              </w:tabs>
              <w:spacing w:line="240" w:lineRule="auto"/>
              <w:jc w:val="center"/>
              <w:rPr>
                <w:sz w:val="20"/>
              </w:rPr>
            </w:pPr>
            <w:r>
              <w:rPr>
                <w:sz w:val="20"/>
              </w:rPr>
              <w:t>NA</w:t>
            </w:r>
          </w:p>
        </w:tc>
        <w:tc>
          <w:tcPr>
            <w:tcW w:w="8459" w:type="dxa"/>
            <w:gridSpan w:val="2"/>
          </w:tcPr>
          <w:p w:rsidR="00916C6E" w:rsidRPr="0022554A" w:rsidRDefault="00EB07B3" w:rsidP="00916C6E">
            <w:pPr>
              <w:tabs>
                <w:tab w:val="left" w:pos="5400"/>
              </w:tabs>
              <w:rPr>
                <w:sz w:val="20"/>
              </w:rPr>
            </w:pPr>
            <w:r>
              <w:rPr>
                <w:sz w:val="20"/>
              </w:rPr>
              <w:t>Not relevant</w:t>
            </w:r>
          </w:p>
        </w:tc>
      </w:tr>
      <w:bookmarkEnd w:id="78"/>
      <w:bookmarkEnd w:id="79"/>
      <w:tr w:rsidR="009D2CE6" w:rsidRPr="0022554A" w:rsidTr="000873D8">
        <w:tc>
          <w:tcPr>
            <w:tcW w:w="0" w:type="auto"/>
          </w:tcPr>
          <w:p w:rsidR="009D2CE6" w:rsidRPr="0022554A" w:rsidRDefault="009D2CE6" w:rsidP="00191A23">
            <w:pPr>
              <w:tabs>
                <w:tab w:val="left" w:pos="5400"/>
              </w:tabs>
              <w:rPr>
                <w:bCs/>
                <w:sz w:val="20"/>
              </w:rPr>
            </w:pPr>
            <w:r w:rsidRPr="0022554A">
              <w:rPr>
                <w:bCs/>
                <w:sz w:val="20"/>
              </w:rPr>
              <w:t>Other analyses</w:t>
            </w:r>
          </w:p>
        </w:tc>
        <w:tc>
          <w:tcPr>
            <w:tcW w:w="0" w:type="auto"/>
            <w:gridSpan w:val="2"/>
          </w:tcPr>
          <w:p w:rsidR="009D2CE6" w:rsidRPr="0022554A" w:rsidRDefault="009D2CE6" w:rsidP="00191A23">
            <w:pPr>
              <w:tabs>
                <w:tab w:val="left" w:pos="5400"/>
              </w:tabs>
              <w:jc w:val="center"/>
              <w:rPr>
                <w:sz w:val="20"/>
              </w:rPr>
            </w:pPr>
            <w:r w:rsidRPr="0022554A">
              <w:rPr>
                <w:sz w:val="20"/>
              </w:rPr>
              <w:t>17</w:t>
            </w:r>
          </w:p>
        </w:tc>
        <w:tc>
          <w:tcPr>
            <w:tcW w:w="4264" w:type="dxa"/>
            <w:gridSpan w:val="6"/>
          </w:tcPr>
          <w:p w:rsidR="009D2CE6" w:rsidRPr="0022554A" w:rsidRDefault="009D2CE6"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851" w:type="dxa"/>
          </w:tcPr>
          <w:p w:rsidR="009D2CE6" w:rsidRDefault="008F5CA8" w:rsidP="00452088">
            <w:pPr>
              <w:tabs>
                <w:tab w:val="left" w:pos="5400"/>
              </w:tabs>
              <w:spacing w:line="240" w:lineRule="auto"/>
              <w:jc w:val="center"/>
              <w:rPr>
                <w:sz w:val="20"/>
              </w:rPr>
            </w:pPr>
            <w:r>
              <w:rPr>
                <w:sz w:val="20"/>
              </w:rPr>
              <w:t>11</w:t>
            </w:r>
          </w:p>
          <w:p w:rsidR="00913DB5" w:rsidRPr="0022554A" w:rsidRDefault="00913DB5" w:rsidP="00452088">
            <w:pPr>
              <w:tabs>
                <w:tab w:val="left" w:pos="5400"/>
              </w:tabs>
              <w:spacing w:line="240" w:lineRule="auto"/>
              <w:jc w:val="center"/>
              <w:rPr>
                <w:sz w:val="20"/>
              </w:rPr>
            </w:pPr>
            <w:r>
              <w:rPr>
                <w:sz w:val="20"/>
              </w:rPr>
              <w:t>12</w:t>
            </w:r>
          </w:p>
        </w:tc>
        <w:tc>
          <w:tcPr>
            <w:tcW w:w="8459" w:type="dxa"/>
            <w:gridSpan w:val="2"/>
          </w:tcPr>
          <w:p w:rsidR="009D2CE6" w:rsidRPr="000873D8" w:rsidRDefault="009A045F" w:rsidP="000873D8">
            <w:pPr>
              <w:tabs>
                <w:tab w:val="left" w:pos="5400"/>
              </w:tabs>
              <w:spacing w:line="240" w:lineRule="auto"/>
              <w:rPr>
                <w:sz w:val="20"/>
              </w:rPr>
            </w:pPr>
            <w:r w:rsidRPr="000873D8">
              <w:rPr>
                <w:sz w:val="20"/>
              </w:rPr>
              <w:t>Molecular analysis :</w:t>
            </w:r>
            <w:r w:rsidR="008F5CA8" w:rsidRPr="000873D8">
              <w:rPr>
                <w:sz w:val="20"/>
              </w:rPr>
              <w:t>Monthly detection of CHIKV RNA is presented in Fig 2</w:t>
            </w:r>
          </w:p>
          <w:p w:rsidR="009A045F" w:rsidRPr="008F5CA8" w:rsidRDefault="009A045F" w:rsidP="000873D8">
            <w:pPr>
              <w:tabs>
                <w:tab w:val="left" w:pos="5400"/>
              </w:tabs>
              <w:spacing w:line="240" w:lineRule="auto"/>
              <w:rPr>
                <w:sz w:val="20"/>
              </w:rPr>
            </w:pPr>
            <w:proofErr w:type="spellStart"/>
            <w:r w:rsidRPr="000873D8">
              <w:rPr>
                <w:sz w:val="20"/>
              </w:rPr>
              <w:t>Seroprevalence</w:t>
            </w:r>
            <w:proofErr w:type="spellEnd"/>
            <w:r w:rsidRPr="000873D8">
              <w:rPr>
                <w:sz w:val="20"/>
              </w:rPr>
              <w:t xml:space="preserve"> analysis :Figure 4 presents the distribution of positives in age-classes in pop#4, showing </w:t>
            </w:r>
            <w:r w:rsidRPr="000873D8">
              <w:rPr>
                <w:i/>
                <w:sz w:val="20"/>
              </w:rPr>
              <w:t>(</w:t>
            </w:r>
            <w:proofErr w:type="spellStart"/>
            <w:r w:rsidRPr="000873D8">
              <w:rPr>
                <w:i/>
                <w:sz w:val="20"/>
              </w:rPr>
              <w:t>i</w:t>
            </w:r>
            <w:proofErr w:type="spellEnd"/>
            <w:r w:rsidRPr="000873D8">
              <w:rPr>
                <w:i/>
                <w:sz w:val="20"/>
              </w:rPr>
              <w:t>)</w:t>
            </w:r>
            <w:r w:rsidRPr="000873D8">
              <w:rPr>
                <w:sz w:val="20"/>
              </w:rPr>
              <w:t xml:space="preserve"> in both islands the lowest values in the 31-40yo group, </w:t>
            </w:r>
            <w:r w:rsidRPr="000873D8">
              <w:rPr>
                <w:i/>
                <w:sz w:val="20"/>
              </w:rPr>
              <w:t>(ii)</w:t>
            </w:r>
            <w:r w:rsidRPr="000873D8">
              <w:rPr>
                <w:sz w:val="20"/>
              </w:rPr>
              <w:t xml:space="preserve"> a trend to increase in the older age-groups and </w:t>
            </w:r>
            <w:r w:rsidRPr="000873D8">
              <w:rPr>
                <w:i/>
                <w:sz w:val="20"/>
              </w:rPr>
              <w:t>(iii)</w:t>
            </w:r>
            <w:r w:rsidRPr="000873D8">
              <w:rPr>
                <w:sz w:val="20"/>
              </w:rPr>
              <w:t xml:space="preserve"> globally higher numbers in Guadeloupe than in Martinique</w:t>
            </w:r>
          </w:p>
        </w:tc>
        <w:tc>
          <w:tcPr>
            <w:tcW w:w="2432" w:type="dxa"/>
          </w:tcPr>
          <w:p w:rsidR="009D2CE6" w:rsidRPr="0022554A" w:rsidRDefault="009D2CE6" w:rsidP="00191A23">
            <w:pPr>
              <w:tabs>
                <w:tab w:val="left" w:pos="5400"/>
              </w:tabs>
              <w:rPr>
                <w:sz w:val="20"/>
              </w:rPr>
            </w:pPr>
          </w:p>
        </w:tc>
      </w:tr>
      <w:tr w:rsidR="009D2CE6" w:rsidRPr="0022554A" w:rsidTr="00F95B9A">
        <w:tc>
          <w:tcPr>
            <w:tcW w:w="2115" w:type="dxa"/>
            <w:gridSpan w:val="3"/>
          </w:tcPr>
          <w:p w:rsidR="009D2CE6" w:rsidRPr="0022554A" w:rsidRDefault="009D2CE6" w:rsidP="00191A23">
            <w:pPr>
              <w:pStyle w:val="TableSubHead"/>
              <w:tabs>
                <w:tab w:val="left" w:pos="5400"/>
              </w:tabs>
              <w:rPr>
                <w:sz w:val="20"/>
              </w:rPr>
            </w:pPr>
          </w:p>
        </w:tc>
        <w:tc>
          <w:tcPr>
            <w:tcW w:w="16006" w:type="dxa"/>
            <w:gridSpan w:val="10"/>
          </w:tcPr>
          <w:p w:rsidR="009D2CE6" w:rsidRPr="0022554A" w:rsidRDefault="009D2CE6" w:rsidP="00191A23">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9D2CE6" w:rsidRPr="0022554A" w:rsidTr="000873D8">
        <w:tc>
          <w:tcPr>
            <w:tcW w:w="0" w:type="auto"/>
          </w:tcPr>
          <w:p w:rsidR="009D2CE6" w:rsidRPr="0022554A" w:rsidRDefault="009D2CE6"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gridSpan w:val="2"/>
          </w:tcPr>
          <w:p w:rsidR="009D2CE6" w:rsidRPr="0022554A" w:rsidRDefault="009D2CE6" w:rsidP="00191A23">
            <w:pPr>
              <w:tabs>
                <w:tab w:val="left" w:pos="5400"/>
              </w:tabs>
              <w:jc w:val="center"/>
              <w:rPr>
                <w:sz w:val="20"/>
              </w:rPr>
            </w:pPr>
            <w:r w:rsidRPr="0022554A">
              <w:rPr>
                <w:sz w:val="20"/>
              </w:rPr>
              <w:t>18</w:t>
            </w:r>
          </w:p>
        </w:tc>
        <w:tc>
          <w:tcPr>
            <w:tcW w:w="4264" w:type="dxa"/>
            <w:gridSpan w:val="6"/>
          </w:tcPr>
          <w:p w:rsidR="009D2CE6" w:rsidRPr="0022554A" w:rsidRDefault="009D2CE6" w:rsidP="00191A23">
            <w:pPr>
              <w:tabs>
                <w:tab w:val="left" w:pos="5400"/>
              </w:tabs>
              <w:rPr>
                <w:sz w:val="20"/>
              </w:rPr>
            </w:pPr>
            <w:r w:rsidRPr="0022554A">
              <w:rPr>
                <w:sz w:val="20"/>
              </w:rPr>
              <w:t>Summarise key results with reference to study objectives</w:t>
            </w:r>
          </w:p>
        </w:tc>
        <w:tc>
          <w:tcPr>
            <w:tcW w:w="851" w:type="dxa"/>
          </w:tcPr>
          <w:p w:rsidR="009D2CE6" w:rsidRDefault="00C01246" w:rsidP="00CE3D97">
            <w:pPr>
              <w:tabs>
                <w:tab w:val="left" w:pos="5400"/>
              </w:tabs>
              <w:spacing w:line="240" w:lineRule="auto"/>
              <w:jc w:val="center"/>
              <w:rPr>
                <w:sz w:val="20"/>
              </w:rPr>
            </w:pPr>
            <w:r>
              <w:rPr>
                <w:sz w:val="20"/>
              </w:rPr>
              <w:t>17</w:t>
            </w:r>
          </w:p>
          <w:p w:rsidR="00A9713C" w:rsidRDefault="00A9713C" w:rsidP="00CE3D97">
            <w:pPr>
              <w:tabs>
                <w:tab w:val="left" w:pos="5400"/>
              </w:tabs>
              <w:spacing w:line="240" w:lineRule="auto"/>
              <w:jc w:val="center"/>
              <w:rPr>
                <w:sz w:val="20"/>
              </w:rPr>
            </w:pPr>
          </w:p>
          <w:p w:rsidR="00A9713C" w:rsidRDefault="00A9713C" w:rsidP="00CE3D97">
            <w:pPr>
              <w:tabs>
                <w:tab w:val="left" w:pos="5400"/>
              </w:tabs>
              <w:spacing w:line="240" w:lineRule="auto"/>
              <w:jc w:val="center"/>
              <w:rPr>
                <w:sz w:val="20"/>
              </w:rPr>
            </w:pPr>
          </w:p>
          <w:p w:rsidR="00A9713C" w:rsidRDefault="00A9713C" w:rsidP="00CE3D97">
            <w:pPr>
              <w:tabs>
                <w:tab w:val="left" w:pos="5400"/>
              </w:tabs>
              <w:spacing w:line="240" w:lineRule="auto"/>
              <w:jc w:val="center"/>
              <w:rPr>
                <w:sz w:val="20"/>
              </w:rPr>
            </w:pPr>
          </w:p>
          <w:p w:rsidR="00A9713C" w:rsidRDefault="00A9713C" w:rsidP="00CE3D97">
            <w:pPr>
              <w:tabs>
                <w:tab w:val="left" w:pos="5400"/>
              </w:tabs>
              <w:spacing w:line="240" w:lineRule="auto"/>
              <w:jc w:val="center"/>
              <w:rPr>
                <w:sz w:val="20"/>
              </w:rPr>
            </w:pPr>
          </w:p>
          <w:p w:rsidR="00A9713C" w:rsidRDefault="00A9713C" w:rsidP="00CE3D97">
            <w:pPr>
              <w:tabs>
                <w:tab w:val="left" w:pos="5400"/>
              </w:tabs>
              <w:spacing w:line="240" w:lineRule="auto"/>
              <w:jc w:val="center"/>
              <w:rPr>
                <w:sz w:val="20"/>
              </w:rPr>
            </w:pPr>
            <w:r>
              <w:rPr>
                <w:sz w:val="20"/>
              </w:rPr>
              <w:t>17</w:t>
            </w:r>
          </w:p>
          <w:p w:rsidR="00CE3D97" w:rsidRDefault="00CE3D97" w:rsidP="00CE3D97">
            <w:pPr>
              <w:tabs>
                <w:tab w:val="left" w:pos="5400"/>
              </w:tabs>
              <w:spacing w:line="240" w:lineRule="auto"/>
              <w:jc w:val="center"/>
              <w:rPr>
                <w:sz w:val="20"/>
              </w:rPr>
            </w:pPr>
          </w:p>
          <w:p w:rsidR="00CE3D97" w:rsidRDefault="00CE3D97" w:rsidP="00CE3D97">
            <w:pPr>
              <w:tabs>
                <w:tab w:val="left" w:pos="5400"/>
              </w:tabs>
              <w:spacing w:line="240" w:lineRule="auto"/>
              <w:jc w:val="center"/>
              <w:rPr>
                <w:sz w:val="20"/>
              </w:rPr>
            </w:pPr>
          </w:p>
          <w:p w:rsidR="00CE3D97" w:rsidRPr="0022554A" w:rsidRDefault="00CE3D97" w:rsidP="00CE3D97">
            <w:pPr>
              <w:tabs>
                <w:tab w:val="left" w:pos="5400"/>
              </w:tabs>
              <w:spacing w:line="240" w:lineRule="auto"/>
              <w:jc w:val="center"/>
              <w:rPr>
                <w:sz w:val="20"/>
              </w:rPr>
            </w:pPr>
            <w:r>
              <w:rPr>
                <w:sz w:val="20"/>
              </w:rPr>
              <w:t>19-20</w:t>
            </w:r>
          </w:p>
        </w:tc>
        <w:tc>
          <w:tcPr>
            <w:tcW w:w="8459" w:type="dxa"/>
            <w:gridSpan w:val="2"/>
          </w:tcPr>
          <w:p w:rsidR="009D2CE6" w:rsidRPr="00CE3D97" w:rsidRDefault="00C01246" w:rsidP="00CE3D97">
            <w:pPr>
              <w:tabs>
                <w:tab w:val="left" w:pos="5400"/>
              </w:tabs>
              <w:spacing w:line="240" w:lineRule="auto"/>
              <w:rPr>
                <w:rStyle w:val="hps"/>
                <w:sz w:val="20"/>
              </w:rPr>
            </w:pPr>
            <w:r w:rsidRPr="00CE3D97">
              <w:rPr>
                <w:rStyle w:val="hps"/>
                <w:sz w:val="20"/>
              </w:rPr>
              <w:t xml:space="preserve">Important assets of the current study design were, the opportunity to compare results from similar populations in different locations, the high number of individuals enrolled, access to pre-epidemic samples, the possibility of performing </w:t>
            </w:r>
            <w:r w:rsidRPr="00CE3D97">
              <w:rPr>
                <w:sz w:val="20"/>
              </w:rPr>
              <w:t xml:space="preserve">individual nucleic acid tests and </w:t>
            </w:r>
            <w:r w:rsidRPr="00CE3D97">
              <w:rPr>
                <w:rStyle w:val="hps"/>
                <w:sz w:val="20"/>
              </w:rPr>
              <w:t xml:space="preserve">having access to asymptomatic or pre-symptomatic </w:t>
            </w:r>
            <w:proofErr w:type="spellStart"/>
            <w:r w:rsidRPr="00CE3D97">
              <w:rPr>
                <w:rStyle w:val="hps"/>
                <w:sz w:val="20"/>
              </w:rPr>
              <w:t>viraemiac</w:t>
            </w:r>
            <w:proofErr w:type="spellEnd"/>
            <w:r w:rsidRPr="00CE3D97">
              <w:rPr>
                <w:rStyle w:val="hps"/>
                <w:sz w:val="20"/>
              </w:rPr>
              <w:t xml:space="preserve"> individuals.</w:t>
            </w:r>
          </w:p>
          <w:p w:rsidR="00A9713C" w:rsidRPr="00CE3D97" w:rsidRDefault="00A9713C" w:rsidP="00CE3D97">
            <w:pPr>
              <w:tabs>
                <w:tab w:val="left" w:pos="5400"/>
              </w:tabs>
              <w:spacing w:line="240" w:lineRule="auto"/>
              <w:rPr>
                <w:rStyle w:val="hps"/>
                <w:sz w:val="20"/>
              </w:rPr>
            </w:pPr>
            <w:r w:rsidRPr="00CE3D97">
              <w:rPr>
                <w:rStyle w:val="hps"/>
                <w:sz w:val="20"/>
              </w:rPr>
              <w:t>absence of significant circulation of the virus during several decades before the outbreak</w:t>
            </w:r>
          </w:p>
          <w:p w:rsidR="00A9713C" w:rsidRPr="00CE3D97" w:rsidRDefault="00CE3D97" w:rsidP="00CE3D97">
            <w:pPr>
              <w:tabs>
                <w:tab w:val="left" w:pos="5400"/>
              </w:tabs>
              <w:spacing w:line="240" w:lineRule="auto"/>
              <w:rPr>
                <w:rStyle w:val="hps"/>
                <w:sz w:val="20"/>
              </w:rPr>
            </w:pPr>
            <w:r w:rsidRPr="00CE3D97">
              <w:rPr>
                <w:color w:val="222222"/>
                <w:sz w:val="20"/>
              </w:rPr>
              <w:t xml:space="preserve">Our study clearly shows that the risk of collecting blood from asymptomatic </w:t>
            </w:r>
            <w:proofErr w:type="spellStart"/>
            <w:r w:rsidRPr="00CE3D97">
              <w:rPr>
                <w:color w:val="222222"/>
                <w:sz w:val="20"/>
              </w:rPr>
              <w:t>viraemiac</w:t>
            </w:r>
            <w:proofErr w:type="spellEnd"/>
            <w:r w:rsidRPr="00CE3D97">
              <w:rPr>
                <w:color w:val="222222"/>
                <w:sz w:val="20"/>
              </w:rPr>
              <w:t xml:space="preserve"> patients is significant during a chikungunya fever outbreak. </w:t>
            </w:r>
            <w:r w:rsidRPr="00CE3D97">
              <w:rPr>
                <w:rStyle w:val="hps"/>
                <w:sz w:val="20"/>
              </w:rPr>
              <w:t xml:space="preserve">Modelling performed in </w:t>
            </w:r>
            <w:proofErr w:type="spellStart"/>
            <w:r w:rsidRPr="00CE3D97">
              <w:rPr>
                <w:rStyle w:val="hps"/>
                <w:sz w:val="20"/>
              </w:rPr>
              <w:t>Martiniquan</w:t>
            </w:r>
            <w:proofErr w:type="spellEnd"/>
            <w:r w:rsidRPr="00CE3D97">
              <w:rPr>
                <w:rStyle w:val="hps"/>
                <w:sz w:val="20"/>
              </w:rPr>
              <w:t xml:space="preserve"> and Guadeloupian blood donors suggested that the duration of asymptomatic </w:t>
            </w:r>
            <w:proofErr w:type="spellStart"/>
            <w:r w:rsidRPr="00CE3D97">
              <w:rPr>
                <w:rStyle w:val="hps"/>
                <w:sz w:val="20"/>
              </w:rPr>
              <w:t>viraemia</w:t>
            </w:r>
            <w:proofErr w:type="spellEnd"/>
            <w:r w:rsidRPr="00CE3D97">
              <w:rPr>
                <w:rStyle w:val="hps"/>
                <w:sz w:val="20"/>
              </w:rPr>
              <w:t xml:space="preserve"> was close to 2.5 days.</w:t>
            </w:r>
          </w:p>
          <w:p w:rsidR="00CE3D97" w:rsidRPr="00CE3D97" w:rsidRDefault="00CE3D97" w:rsidP="00CE3D97">
            <w:pPr>
              <w:tabs>
                <w:tab w:val="left" w:pos="5400"/>
              </w:tabs>
              <w:spacing w:line="240" w:lineRule="auto"/>
              <w:rPr>
                <w:sz w:val="20"/>
              </w:rPr>
            </w:pPr>
          </w:p>
        </w:tc>
        <w:tc>
          <w:tcPr>
            <w:tcW w:w="2432" w:type="dxa"/>
          </w:tcPr>
          <w:p w:rsidR="009D2CE6" w:rsidRPr="0022554A" w:rsidRDefault="009D2CE6" w:rsidP="00191A23">
            <w:pPr>
              <w:tabs>
                <w:tab w:val="left" w:pos="5400"/>
              </w:tabs>
              <w:rPr>
                <w:sz w:val="20"/>
              </w:rPr>
            </w:pPr>
          </w:p>
        </w:tc>
      </w:tr>
      <w:tr w:rsidR="009D2CE6" w:rsidRPr="0022554A" w:rsidTr="000873D8">
        <w:tc>
          <w:tcPr>
            <w:tcW w:w="0" w:type="auto"/>
          </w:tcPr>
          <w:p w:rsidR="009D2CE6" w:rsidRPr="0022554A" w:rsidRDefault="009D2CE6"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gridSpan w:val="2"/>
          </w:tcPr>
          <w:p w:rsidR="009D2CE6" w:rsidRPr="0022554A" w:rsidRDefault="009D2CE6" w:rsidP="00191A23">
            <w:pPr>
              <w:tabs>
                <w:tab w:val="left" w:pos="5400"/>
              </w:tabs>
              <w:jc w:val="center"/>
              <w:rPr>
                <w:sz w:val="20"/>
              </w:rPr>
            </w:pPr>
            <w:r w:rsidRPr="0022554A">
              <w:rPr>
                <w:sz w:val="20"/>
              </w:rPr>
              <w:t>19</w:t>
            </w:r>
          </w:p>
        </w:tc>
        <w:tc>
          <w:tcPr>
            <w:tcW w:w="4264" w:type="dxa"/>
            <w:gridSpan w:val="6"/>
          </w:tcPr>
          <w:p w:rsidR="009D2CE6" w:rsidRPr="0022554A" w:rsidRDefault="009D2CE6"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851" w:type="dxa"/>
          </w:tcPr>
          <w:p w:rsidR="009D2CE6" w:rsidRDefault="00452088" w:rsidP="00CE3D97">
            <w:pPr>
              <w:tabs>
                <w:tab w:val="left" w:pos="5400"/>
              </w:tabs>
              <w:spacing w:line="240" w:lineRule="auto"/>
              <w:jc w:val="center"/>
              <w:rPr>
                <w:sz w:val="20"/>
              </w:rPr>
            </w:pPr>
            <w:r>
              <w:rPr>
                <w:sz w:val="20"/>
              </w:rPr>
              <w:t>17</w:t>
            </w:r>
          </w:p>
          <w:p w:rsidR="00CE3D97" w:rsidRDefault="00CE3D97" w:rsidP="00CE3D97">
            <w:pPr>
              <w:tabs>
                <w:tab w:val="left" w:pos="5400"/>
              </w:tabs>
              <w:spacing w:line="240" w:lineRule="auto"/>
              <w:jc w:val="center"/>
              <w:rPr>
                <w:sz w:val="20"/>
              </w:rPr>
            </w:pPr>
          </w:p>
          <w:p w:rsidR="00CE3D97" w:rsidRDefault="00CE3D97" w:rsidP="00CE3D97">
            <w:pPr>
              <w:tabs>
                <w:tab w:val="left" w:pos="5400"/>
              </w:tabs>
              <w:spacing w:line="240" w:lineRule="auto"/>
              <w:jc w:val="center"/>
              <w:rPr>
                <w:sz w:val="20"/>
              </w:rPr>
            </w:pPr>
          </w:p>
          <w:p w:rsidR="00CE3D97" w:rsidRPr="0022554A" w:rsidRDefault="00CE3D97" w:rsidP="00CE3D97">
            <w:pPr>
              <w:tabs>
                <w:tab w:val="left" w:pos="5400"/>
              </w:tabs>
              <w:spacing w:line="240" w:lineRule="auto"/>
              <w:jc w:val="center"/>
              <w:rPr>
                <w:sz w:val="20"/>
              </w:rPr>
            </w:pPr>
            <w:r>
              <w:rPr>
                <w:sz w:val="20"/>
              </w:rPr>
              <w:t>20</w:t>
            </w:r>
          </w:p>
        </w:tc>
        <w:tc>
          <w:tcPr>
            <w:tcW w:w="8459" w:type="dxa"/>
            <w:gridSpan w:val="2"/>
          </w:tcPr>
          <w:p w:rsidR="009D2CE6" w:rsidRDefault="00452088" w:rsidP="00452088">
            <w:pPr>
              <w:tabs>
                <w:tab w:val="left" w:pos="5400"/>
              </w:tabs>
              <w:spacing w:line="240" w:lineRule="auto"/>
              <w:rPr>
                <w:rStyle w:val="hps"/>
                <w:sz w:val="20"/>
              </w:rPr>
            </w:pPr>
            <w:r w:rsidRPr="00DF6B79">
              <w:rPr>
                <w:rStyle w:val="hps"/>
                <w:sz w:val="20"/>
              </w:rPr>
              <w:t>Limitations to the interpretation of epidemiological data are therefore those of classical blood donor studies (individuals studied were 18-70 years old, and had no history of virus-like illness in the 28 days before donation).</w:t>
            </w:r>
          </w:p>
          <w:p w:rsidR="00CE3D97" w:rsidRPr="00CE3D97" w:rsidRDefault="00CE3D97" w:rsidP="00452088">
            <w:pPr>
              <w:tabs>
                <w:tab w:val="left" w:pos="5400"/>
              </w:tabs>
              <w:spacing w:line="240" w:lineRule="auto"/>
              <w:rPr>
                <w:sz w:val="20"/>
              </w:rPr>
            </w:pPr>
            <w:r w:rsidRPr="00CE3D97">
              <w:rPr>
                <w:rStyle w:val="hps"/>
                <w:sz w:val="20"/>
              </w:rPr>
              <w:t xml:space="preserve">The duration of asymptomatic </w:t>
            </w:r>
            <w:proofErr w:type="spellStart"/>
            <w:r w:rsidRPr="00CE3D97">
              <w:rPr>
                <w:rStyle w:val="hps"/>
                <w:sz w:val="20"/>
              </w:rPr>
              <w:t>viraemia</w:t>
            </w:r>
            <w:proofErr w:type="spellEnd"/>
            <w:r w:rsidRPr="00CE3D97">
              <w:rPr>
                <w:rStyle w:val="hps"/>
                <w:sz w:val="20"/>
              </w:rPr>
              <w:t xml:space="preserve"> was close to 2.5 days. This estimated period may be extended by the use of molecular assays with an improved limit of detection.</w:t>
            </w:r>
          </w:p>
        </w:tc>
        <w:tc>
          <w:tcPr>
            <w:tcW w:w="2432" w:type="dxa"/>
          </w:tcPr>
          <w:p w:rsidR="009D2CE6" w:rsidRPr="0022554A" w:rsidRDefault="009D2CE6" w:rsidP="00191A23">
            <w:pPr>
              <w:tabs>
                <w:tab w:val="left" w:pos="5400"/>
              </w:tabs>
              <w:rPr>
                <w:sz w:val="20"/>
              </w:rPr>
            </w:pPr>
          </w:p>
        </w:tc>
      </w:tr>
      <w:tr w:rsidR="009D2CE6" w:rsidRPr="0022554A" w:rsidTr="000873D8">
        <w:tc>
          <w:tcPr>
            <w:tcW w:w="0" w:type="auto"/>
          </w:tcPr>
          <w:p w:rsidR="009D2CE6" w:rsidRPr="0022554A" w:rsidRDefault="009D2CE6"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gridSpan w:val="2"/>
          </w:tcPr>
          <w:p w:rsidR="009D2CE6" w:rsidRPr="0022554A" w:rsidRDefault="009D2CE6" w:rsidP="00191A23">
            <w:pPr>
              <w:tabs>
                <w:tab w:val="left" w:pos="5400"/>
              </w:tabs>
              <w:jc w:val="center"/>
              <w:rPr>
                <w:sz w:val="20"/>
              </w:rPr>
            </w:pPr>
            <w:r w:rsidRPr="0022554A">
              <w:rPr>
                <w:sz w:val="20"/>
              </w:rPr>
              <w:t>20</w:t>
            </w:r>
          </w:p>
        </w:tc>
        <w:tc>
          <w:tcPr>
            <w:tcW w:w="4264" w:type="dxa"/>
            <w:gridSpan w:val="6"/>
          </w:tcPr>
          <w:p w:rsidR="009D2CE6" w:rsidRPr="0022554A" w:rsidRDefault="009D2CE6"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851" w:type="dxa"/>
          </w:tcPr>
          <w:p w:rsidR="009D2CE6" w:rsidRDefault="00CE3D97" w:rsidP="00423AF5">
            <w:pPr>
              <w:tabs>
                <w:tab w:val="left" w:pos="5400"/>
              </w:tabs>
              <w:spacing w:line="240" w:lineRule="auto"/>
              <w:jc w:val="center"/>
              <w:rPr>
                <w:sz w:val="20"/>
              </w:rPr>
            </w:pPr>
            <w:r>
              <w:rPr>
                <w:sz w:val="20"/>
              </w:rPr>
              <w:t>1</w:t>
            </w:r>
            <w:r w:rsidR="00854EED">
              <w:rPr>
                <w:sz w:val="20"/>
              </w:rPr>
              <w:t>7</w:t>
            </w:r>
          </w:p>
          <w:p w:rsidR="00854EED" w:rsidRDefault="00854EED" w:rsidP="00423AF5">
            <w:pPr>
              <w:tabs>
                <w:tab w:val="left" w:pos="5400"/>
              </w:tabs>
              <w:spacing w:line="240" w:lineRule="auto"/>
              <w:jc w:val="center"/>
              <w:rPr>
                <w:sz w:val="20"/>
              </w:rPr>
            </w:pPr>
          </w:p>
          <w:p w:rsidR="00854EED" w:rsidRDefault="00854EED" w:rsidP="00423AF5">
            <w:pPr>
              <w:tabs>
                <w:tab w:val="left" w:pos="5400"/>
              </w:tabs>
              <w:spacing w:line="240" w:lineRule="auto"/>
              <w:jc w:val="center"/>
              <w:rPr>
                <w:sz w:val="20"/>
              </w:rPr>
            </w:pPr>
          </w:p>
          <w:p w:rsidR="00854EED" w:rsidRDefault="00854EED" w:rsidP="00423AF5">
            <w:pPr>
              <w:tabs>
                <w:tab w:val="left" w:pos="5400"/>
              </w:tabs>
              <w:spacing w:line="240" w:lineRule="auto"/>
              <w:jc w:val="center"/>
              <w:rPr>
                <w:sz w:val="20"/>
              </w:rPr>
            </w:pPr>
          </w:p>
          <w:p w:rsidR="00854EED" w:rsidRDefault="00854EED" w:rsidP="00423AF5">
            <w:pPr>
              <w:tabs>
                <w:tab w:val="left" w:pos="5400"/>
              </w:tabs>
              <w:spacing w:line="240" w:lineRule="auto"/>
              <w:jc w:val="center"/>
              <w:rPr>
                <w:sz w:val="20"/>
              </w:rPr>
            </w:pPr>
          </w:p>
          <w:p w:rsidR="00854EED" w:rsidRDefault="00854EED" w:rsidP="00423AF5">
            <w:pPr>
              <w:tabs>
                <w:tab w:val="left" w:pos="5400"/>
              </w:tabs>
              <w:spacing w:line="240" w:lineRule="auto"/>
              <w:jc w:val="center"/>
              <w:rPr>
                <w:sz w:val="20"/>
              </w:rPr>
            </w:pPr>
          </w:p>
          <w:p w:rsidR="00854EED" w:rsidRDefault="00423AF5" w:rsidP="00423AF5">
            <w:pPr>
              <w:tabs>
                <w:tab w:val="left" w:pos="5400"/>
              </w:tabs>
              <w:spacing w:line="240" w:lineRule="auto"/>
              <w:jc w:val="center"/>
              <w:rPr>
                <w:sz w:val="20"/>
              </w:rPr>
            </w:pPr>
            <w:r>
              <w:rPr>
                <w:sz w:val="20"/>
              </w:rPr>
              <w:t>18-</w:t>
            </w:r>
            <w:r w:rsidR="00854EED">
              <w:rPr>
                <w:sz w:val="20"/>
              </w:rPr>
              <w:t>19</w:t>
            </w: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p>
          <w:p w:rsidR="00423AF5" w:rsidRDefault="00423AF5" w:rsidP="00423AF5">
            <w:pPr>
              <w:tabs>
                <w:tab w:val="left" w:pos="5400"/>
              </w:tabs>
              <w:spacing w:line="240" w:lineRule="auto"/>
              <w:jc w:val="center"/>
              <w:rPr>
                <w:sz w:val="20"/>
              </w:rPr>
            </w:pPr>
            <w:r>
              <w:rPr>
                <w:sz w:val="20"/>
              </w:rPr>
              <w:t>19</w:t>
            </w: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r>
              <w:rPr>
                <w:sz w:val="20"/>
              </w:rPr>
              <w:t>20</w:t>
            </w: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Default="00115A95" w:rsidP="00423AF5">
            <w:pPr>
              <w:tabs>
                <w:tab w:val="left" w:pos="5400"/>
              </w:tabs>
              <w:spacing w:line="240" w:lineRule="auto"/>
              <w:jc w:val="center"/>
              <w:rPr>
                <w:sz w:val="20"/>
              </w:rPr>
            </w:pPr>
          </w:p>
          <w:p w:rsidR="00115A95" w:rsidRPr="0022554A" w:rsidRDefault="00115A95" w:rsidP="00115A95">
            <w:pPr>
              <w:tabs>
                <w:tab w:val="left" w:pos="5400"/>
              </w:tabs>
              <w:spacing w:line="240" w:lineRule="auto"/>
              <w:jc w:val="center"/>
              <w:rPr>
                <w:sz w:val="20"/>
              </w:rPr>
            </w:pPr>
            <w:r>
              <w:rPr>
                <w:sz w:val="20"/>
              </w:rPr>
              <w:t>20</w:t>
            </w:r>
          </w:p>
        </w:tc>
        <w:tc>
          <w:tcPr>
            <w:tcW w:w="8459" w:type="dxa"/>
            <w:gridSpan w:val="2"/>
          </w:tcPr>
          <w:p w:rsidR="00854EED" w:rsidRPr="00115A95" w:rsidRDefault="00854EED" w:rsidP="00854EED">
            <w:pPr>
              <w:tabs>
                <w:tab w:val="left" w:pos="5400"/>
              </w:tabs>
              <w:spacing w:line="240" w:lineRule="auto"/>
              <w:rPr>
                <w:sz w:val="20"/>
              </w:rPr>
            </w:pPr>
            <w:r w:rsidRPr="00115A95">
              <w:rPr>
                <w:color w:val="222222"/>
                <w:sz w:val="20"/>
              </w:rPr>
              <w:lastRenderedPageBreak/>
              <w:t xml:space="preserve">The epidemic kinetics were different on the two islands, with a shorter and more intense outbreak in Guadeloupe. The peak </w:t>
            </w:r>
            <w:r w:rsidRPr="00115A95">
              <w:rPr>
                <w:sz w:val="20"/>
              </w:rPr>
              <w:t xml:space="preserve">of clinically </w:t>
            </w:r>
            <w:r w:rsidRPr="00115A95">
              <w:rPr>
                <w:color w:val="222222"/>
                <w:sz w:val="20"/>
              </w:rPr>
              <w:t>suspected cases occurred during week</w:t>
            </w:r>
            <w:r w:rsidRPr="00115A95">
              <w:rPr>
                <w:sz w:val="20"/>
              </w:rPr>
              <w:t>-23</w:t>
            </w:r>
            <w:r w:rsidRPr="00115A95">
              <w:rPr>
                <w:color w:val="FF0000"/>
                <w:sz w:val="20"/>
              </w:rPr>
              <w:t xml:space="preserve"> </w:t>
            </w:r>
            <w:r w:rsidRPr="00115A95">
              <w:rPr>
                <w:color w:val="222222"/>
                <w:sz w:val="20"/>
              </w:rPr>
              <w:t>in both Guadeloupe (</w:t>
            </w:r>
            <w:r w:rsidRPr="00115A95">
              <w:rPr>
                <w:i/>
                <w:color w:val="222222"/>
                <w:sz w:val="20"/>
              </w:rPr>
              <w:t>ca.</w:t>
            </w:r>
            <w:r w:rsidRPr="00115A95">
              <w:rPr>
                <w:color w:val="222222"/>
                <w:sz w:val="20"/>
              </w:rPr>
              <w:t xml:space="preserve"> 6,500 cases) and Martinique (</w:t>
            </w:r>
            <w:r w:rsidRPr="00115A95">
              <w:rPr>
                <w:i/>
                <w:color w:val="222222"/>
                <w:sz w:val="20"/>
              </w:rPr>
              <w:t>ca.</w:t>
            </w:r>
            <w:r w:rsidRPr="00115A95">
              <w:rPr>
                <w:color w:val="222222"/>
                <w:sz w:val="20"/>
              </w:rPr>
              <w:t xml:space="preserve"> 3,250 cases). </w:t>
            </w:r>
            <w:r w:rsidRPr="00115A95">
              <w:rPr>
                <w:sz w:val="20"/>
              </w:rPr>
              <w:t>The precise origin of the observed differences is unknown. They may be related to ecological and environmental factors (e.g., climatic and geographical conditions, density and distribution of mosquito and human populations, land use...), but also to anthropogenic factors such as pressure of vector control.</w:t>
            </w:r>
          </w:p>
          <w:p w:rsidR="00423AF5" w:rsidRPr="00115A95" w:rsidRDefault="00423AF5" w:rsidP="00423AF5">
            <w:pPr>
              <w:spacing w:line="240" w:lineRule="auto"/>
              <w:rPr>
                <w:color w:val="222222"/>
                <w:sz w:val="20"/>
              </w:rPr>
            </w:pPr>
            <w:r w:rsidRPr="00115A95">
              <w:rPr>
                <w:color w:val="222222"/>
                <w:sz w:val="20"/>
              </w:rPr>
              <w:t>The observed higher risk of CHIKV infection in males has been previously reported. However, in other studies higher prevalence in females has been reported. The reasons underlying these divergent observations remain elusive and are presumably linked with different habitats, economic factors and lifestyles</w:t>
            </w:r>
            <w:r w:rsidRPr="00115A95">
              <w:rPr>
                <w:sz w:val="20"/>
              </w:rPr>
              <w:t>. Regarding blood types and association with CHIKV infection, there is very limited information available</w:t>
            </w:r>
            <w:r w:rsidRPr="00115A95">
              <w:rPr>
                <w:color w:val="222222"/>
                <w:sz w:val="20"/>
              </w:rPr>
              <w:t xml:space="preserve">. Kumar </w:t>
            </w:r>
            <w:r w:rsidRPr="00115A95">
              <w:rPr>
                <w:i/>
                <w:color w:val="222222"/>
                <w:sz w:val="20"/>
              </w:rPr>
              <w:t>et al.</w:t>
            </w:r>
            <w:r w:rsidRPr="00115A95">
              <w:rPr>
                <w:color w:val="222222"/>
                <w:sz w:val="20"/>
              </w:rPr>
              <w:t xml:space="preserve"> claimed that Rhesus-positive individuals had increased susceptibility to acquiring CHIKV infection, but their results did not support this. In a genetic predisposition study in 100 Indian families, </w:t>
            </w:r>
            <w:proofErr w:type="spellStart"/>
            <w:r w:rsidRPr="00115A95">
              <w:rPr>
                <w:color w:val="222222"/>
                <w:sz w:val="20"/>
              </w:rPr>
              <w:t>Lokireddy</w:t>
            </w:r>
            <w:proofErr w:type="spellEnd"/>
            <w:r w:rsidRPr="00115A95">
              <w:rPr>
                <w:color w:val="222222"/>
                <w:sz w:val="20"/>
              </w:rPr>
              <w:t xml:space="preserve"> </w:t>
            </w:r>
            <w:r w:rsidRPr="00115A95">
              <w:rPr>
                <w:i/>
                <w:color w:val="222222"/>
                <w:sz w:val="20"/>
              </w:rPr>
              <w:t>et al.</w:t>
            </w:r>
            <w:r w:rsidRPr="00115A95" w:rsidDel="003662F0">
              <w:rPr>
                <w:color w:val="222222"/>
                <w:sz w:val="20"/>
              </w:rPr>
              <w:t xml:space="preserve"> </w:t>
            </w:r>
            <w:r w:rsidRPr="00115A95">
              <w:rPr>
                <w:color w:val="222222"/>
                <w:sz w:val="20"/>
              </w:rPr>
              <w:t>identified infection in all Rhesus-positive blood groups but none amongst Rhesus-negative individuals. However, the proportion of Rhesus-negative individuals was too low to draw robust conclusions. The association between erythrocyte phenotypes and susceptibility to viral infection remains difficult to interpret as long as the mechanisms and cellular receptors involved in CHIKV infection are not fully identified. The risk associated with specific blood groups may be explained by several non-mutually exclusive factors: individuals with these blood groups</w:t>
            </w:r>
            <w:r w:rsidRPr="00115A95">
              <w:rPr>
                <w:i/>
                <w:color w:val="222222"/>
                <w:sz w:val="20"/>
              </w:rPr>
              <w:t xml:space="preserve"> </w:t>
            </w:r>
            <w:r w:rsidRPr="00115A95">
              <w:rPr>
                <w:color w:val="222222"/>
                <w:sz w:val="20"/>
              </w:rPr>
              <w:t>may be more prone to mosquito bite (for biological, epidemiological or sociological reasons); alternatively, they may have different susceptibilities to infection or capacities to eliminate the virus via specific innate immune responses.</w:t>
            </w:r>
          </w:p>
          <w:p w:rsidR="009D2CE6" w:rsidRPr="00115A95" w:rsidRDefault="00CE3D97" w:rsidP="00423AF5">
            <w:pPr>
              <w:tabs>
                <w:tab w:val="left" w:pos="5400"/>
              </w:tabs>
              <w:spacing w:line="240" w:lineRule="auto"/>
              <w:rPr>
                <w:color w:val="222222"/>
                <w:sz w:val="20"/>
              </w:rPr>
            </w:pPr>
            <w:r w:rsidRPr="00115A95">
              <w:rPr>
                <w:color w:val="222222"/>
                <w:sz w:val="20"/>
              </w:rPr>
              <w:t>It is interesting to observe that on both islands the outbreak declined when a 40-50% herd immunity level was reached. This threshold is strikingly similar to that observed at the end of the outbreak on Reunion island (38</w:t>
            </w:r>
            <w:r w:rsidRPr="00115A95">
              <w:rPr>
                <w:sz w:val="20"/>
              </w:rPr>
              <w:t>·</w:t>
            </w:r>
            <w:r w:rsidRPr="00115A95">
              <w:rPr>
                <w:color w:val="222222"/>
                <w:sz w:val="20"/>
              </w:rPr>
              <w:t>2%) and Mayotte (37</w:t>
            </w:r>
            <w:r w:rsidRPr="00115A95">
              <w:rPr>
                <w:sz w:val="20"/>
              </w:rPr>
              <w:t>·</w:t>
            </w:r>
            <w:r w:rsidRPr="00115A95">
              <w:rPr>
                <w:color w:val="222222"/>
                <w:sz w:val="20"/>
              </w:rPr>
              <w:t>2%). This is despite the fact that different virus genotypes were implicated in the Caribbean and Indian Ocean epidemics. In contrast the threshold for decline was much higher in Kenya (72%), Kerala (68%) and Thailand (62</w:t>
            </w:r>
            <w:r w:rsidRPr="00115A95">
              <w:rPr>
                <w:sz w:val="20"/>
              </w:rPr>
              <w:t>·</w:t>
            </w:r>
            <w:r w:rsidRPr="00115A95">
              <w:rPr>
                <w:color w:val="222222"/>
                <w:sz w:val="20"/>
              </w:rPr>
              <w:t>1%). This possibly reflects differing levels of social and economic development together with local efficacy of mosquito control measures.</w:t>
            </w:r>
          </w:p>
          <w:p w:rsidR="00115A95" w:rsidRPr="00115A95" w:rsidRDefault="00115A95" w:rsidP="00423AF5">
            <w:pPr>
              <w:tabs>
                <w:tab w:val="left" w:pos="5400"/>
              </w:tabs>
              <w:spacing w:line="240" w:lineRule="auto"/>
              <w:rPr>
                <w:sz w:val="20"/>
              </w:rPr>
            </w:pPr>
            <w:r w:rsidRPr="00115A95">
              <w:rPr>
                <w:rStyle w:val="hps"/>
                <w:sz w:val="20"/>
              </w:rPr>
              <w:t xml:space="preserve">The duration of asymptomatic </w:t>
            </w:r>
            <w:proofErr w:type="spellStart"/>
            <w:r w:rsidRPr="00115A95">
              <w:rPr>
                <w:rStyle w:val="hps"/>
                <w:sz w:val="20"/>
              </w:rPr>
              <w:t>viraemia</w:t>
            </w:r>
            <w:proofErr w:type="spellEnd"/>
            <w:r w:rsidRPr="00115A95">
              <w:rPr>
                <w:rStyle w:val="hps"/>
                <w:sz w:val="20"/>
              </w:rPr>
              <w:t xml:space="preserve"> was close to 2.5 days. This estimated period may be extended by the use of molecular assays with an improved limit of detection. However our results are consistent with the post-donation survey of</w:t>
            </w:r>
            <w:r w:rsidRPr="00115A95">
              <w:rPr>
                <w:sz w:val="20"/>
              </w:rPr>
              <w:t xml:space="preserve"> 48 </w:t>
            </w:r>
            <w:proofErr w:type="spellStart"/>
            <w:r w:rsidRPr="00115A95">
              <w:rPr>
                <w:sz w:val="20"/>
              </w:rPr>
              <w:t>viraemiac</w:t>
            </w:r>
            <w:proofErr w:type="spellEnd"/>
            <w:r w:rsidRPr="00115A95">
              <w:rPr>
                <w:sz w:val="20"/>
              </w:rPr>
              <w:t xml:space="preserve"> blood donors, in which clinical symptoms were reported 1-5 days after donation (39·6% at day 1, 39·6% at day 2, 14·5% at day 3, 4·2% at day 4 and 2·1% at day 5; mean value=1·9 days). The actual mean duration of asymptomatic </w:t>
            </w:r>
            <w:proofErr w:type="spellStart"/>
            <w:r w:rsidRPr="00115A95">
              <w:rPr>
                <w:sz w:val="20"/>
              </w:rPr>
              <w:t>viraemia</w:t>
            </w:r>
            <w:proofErr w:type="spellEnd"/>
            <w:r w:rsidRPr="00115A95">
              <w:rPr>
                <w:sz w:val="20"/>
              </w:rPr>
              <w:t xml:space="preserve"> corresponds to this observed mean delay before the symptoms, plus the duration of </w:t>
            </w:r>
            <w:proofErr w:type="spellStart"/>
            <w:r w:rsidRPr="00115A95">
              <w:rPr>
                <w:sz w:val="20"/>
              </w:rPr>
              <w:t>viraemia</w:t>
            </w:r>
            <w:proofErr w:type="spellEnd"/>
            <w:r w:rsidRPr="00115A95">
              <w:rPr>
                <w:sz w:val="20"/>
              </w:rPr>
              <w:t xml:space="preserve"> prior to donation, </w:t>
            </w:r>
            <w:r w:rsidRPr="00115A95">
              <w:rPr>
                <w:i/>
                <w:sz w:val="20"/>
              </w:rPr>
              <w:t>i.e.</w:t>
            </w:r>
            <w:r w:rsidRPr="00115A95">
              <w:rPr>
                <w:sz w:val="20"/>
              </w:rPr>
              <w:t xml:space="preserve"> it should be very close to the value provided by our model. </w:t>
            </w:r>
          </w:p>
          <w:p w:rsidR="00115A95" w:rsidRPr="00907D7C" w:rsidRDefault="00115A95" w:rsidP="00907D7C">
            <w:pPr>
              <w:spacing w:line="240" w:lineRule="auto"/>
              <w:rPr>
                <w:szCs w:val="24"/>
              </w:rPr>
            </w:pPr>
            <w:r w:rsidRPr="00115A95">
              <w:rPr>
                <w:rStyle w:val="hps"/>
                <w:sz w:val="20"/>
              </w:rPr>
              <w:lastRenderedPageBreak/>
              <w:t xml:space="preserve">The length of the </w:t>
            </w:r>
            <w:r w:rsidRPr="00115A95">
              <w:rPr>
                <w:sz w:val="20"/>
              </w:rPr>
              <w:t xml:space="preserve">asymptomatic </w:t>
            </w:r>
            <w:proofErr w:type="spellStart"/>
            <w:r w:rsidRPr="00115A95">
              <w:rPr>
                <w:sz w:val="20"/>
              </w:rPr>
              <w:t>viraemic</w:t>
            </w:r>
            <w:proofErr w:type="spellEnd"/>
            <w:r w:rsidRPr="00115A95">
              <w:rPr>
                <w:sz w:val="20"/>
              </w:rPr>
              <w:t xml:space="preserve"> period identified in the current study </w:t>
            </w:r>
            <w:r w:rsidRPr="00115A95">
              <w:rPr>
                <w:rStyle w:val="hps"/>
                <w:sz w:val="20"/>
              </w:rPr>
              <w:t>is higher than previous proposals (1</w:t>
            </w:r>
            <w:r w:rsidRPr="00115A95">
              <w:rPr>
                <w:sz w:val="20"/>
              </w:rPr>
              <w:t>·</w:t>
            </w:r>
            <w:r w:rsidRPr="00115A95">
              <w:rPr>
                <w:rStyle w:val="hps"/>
                <w:sz w:val="20"/>
              </w:rPr>
              <w:t xml:space="preserve">5 days according to </w:t>
            </w:r>
            <w:proofErr w:type="spellStart"/>
            <w:r w:rsidRPr="00115A95">
              <w:rPr>
                <w:rStyle w:val="hps"/>
                <w:sz w:val="20"/>
              </w:rPr>
              <w:t>Brouard</w:t>
            </w:r>
            <w:proofErr w:type="spellEnd"/>
            <w:r w:rsidRPr="00115A95">
              <w:rPr>
                <w:rStyle w:val="hps"/>
                <w:sz w:val="20"/>
              </w:rPr>
              <w:t xml:space="preserve"> </w:t>
            </w:r>
            <w:r w:rsidRPr="00115A95">
              <w:rPr>
                <w:rStyle w:val="hps"/>
                <w:i/>
                <w:sz w:val="20"/>
              </w:rPr>
              <w:t>et al.</w:t>
            </w:r>
            <w:r w:rsidRPr="00115A95">
              <w:rPr>
                <w:rStyle w:val="hps"/>
                <w:sz w:val="20"/>
              </w:rPr>
              <w:t>)</w:t>
            </w:r>
            <w:r w:rsidR="00907D7C">
              <w:rPr>
                <w:rStyle w:val="hps"/>
                <w:sz w:val="20"/>
              </w:rPr>
              <w:t xml:space="preserve">. </w:t>
            </w:r>
            <w:r w:rsidR="00907D7C" w:rsidRPr="00907D7C">
              <w:rPr>
                <w:rStyle w:val="hps"/>
                <w:sz w:val="20"/>
              </w:rPr>
              <w:t xml:space="preserve">This divergence could reflect either different durations of asymptomatic </w:t>
            </w:r>
            <w:proofErr w:type="spellStart"/>
            <w:r w:rsidR="00907D7C" w:rsidRPr="00907D7C">
              <w:rPr>
                <w:rStyle w:val="hps"/>
                <w:sz w:val="20"/>
              </w:rPr>
              <w:t>viraemia</w:t>
            </w:r>
            <w:proofErr w:type="spellEnd"/>
            <w:r w:rsidR="00907D7C" w:rsidRPr="00907D7C">
              <w:rPr>
                <w:rStyle w:val="hps"/>
                <w:sz w:val="20"/>
              </w:rPr>
              <w:t xml:space="preserve"> in the case of infection by CHIKV ECSA when compared with the Asian genotype, or underestimation of the actual duration due to the limited number of cases previously analysed</w:t>
            </w:r>
            <w:r w:rsidR="00907D7C" w:rsidRPr="00902C96">
              <w:rPr>
                <w:rStyle w:val="hps"/>
                <w:szCs w:val="24"/>
              </w:rPr>
              <w:t>.</w:t>
            </w:r>
            <w:r w:rsidR="00907D7C">
              <w:rPr>
                <w:rStyle w:val="hps"/>
                <w:szCs w:val="24"/>
              </w:rPr>
              <w:t xml:space="preserve"> </w:t>
            </w:r>
          </w:p>
        </w:tc>
        <w:tc>
          <w:tcPr>
            <w:tcW w:w="2432" w:type="dxa"/>
          </w:tcPr>
          <w:p w:rsidR="009D2CE6" w:rsidRPr="0022554A" w:rsidRDefault="009D2CE6" w:rsidP="00191A23">
            <w:pPr>
              <w:tabs>
                <w:tab w:val="left" w:pos="5400"/>
              </w:tabs>
              <w:rPr>
                <w:sz w:val="20"/>
              </w:rPr>
            </w:pPr>
          </w:p>
        </w:tc>
      </w:tr>
      <w:tr w:rsidR="009D2CE6" w:rsidRPr="0022554A" w:rsidTr="000873D8">
        <w:tc>
          <w:tcPr>
            <w:tcW w:w="0" w:type="auto"/>
          </w:tcPr>
          <w:p w:rsidR="009D2CE6" w:rsidRPr="0022554A" w:rsidRDefault="009D2CE6" w:rsidP="00191A23">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gridSpan w:val="2"/>
          </w:tcPr>
          <w:p w:rsidR="009D2CE6" w:rsidRPr="0022554A" w:rsidRDefault="009D2CE6" w:rsidP="00191A23">
            <w:pPr>
              <w:tabs>
                <w:tab w:val="left" w:pos="5400"/>
              </w:tabs>
              <w:jc w:val="center"/>
              <w:rPr>
                <w:sz w:val="20"/>
              </w:rPr>
            </w:pPr>
            <w:r w:rsidRPr="0022554A">
              <w:rPr>
                <w:sz w:val="20"/>
              </w:rPr>
              <w:t>21</w:t>
            </w:r>
          </w:p>
        </w:tc>
        <w:tc>
          <w:tcPr>
            <w:tcW w:w="4264" w:type="dxa"/>
            <w:gridSpan w:val="6"/>
          </w:tcPr>
          <w:p w:rsidR="009D2CE6" w:rsidRPr="00C523A4" w:rsidRDefault="009D2CE6" w:rsidP="00191A23">
            <w:pPr>
              <w:tabs>
                <w:tab w:val="left" w:pos="5400"/>
              </w:tabs>
              <w:rPr>
                <w:sz w:val="20"/>
              </w:rPr>
            </w:pPr>
            <w:r w:rsidRPr="00C523A4">
              <w:rPr>
                <w:sz w:val="20"/>
              </w:rPr>
              <w:t>Discuss the generalisability (external validity) of the study results</w:t>
            </w:r>
          </w:p>
        </w:tc>
        <w:tc>
          <w:tcPr>
            <w:tcW w:w="851" w:type="dxa"/>
          </w:tcPr>
          <w:p w:rsidR="009D2CE6" w:rsidRPr="0022554A" w:rsidRDefault="00720A7B" w:rsidP="00720A7B">
            <w:pPr>
              <w:tabs>
                <w:tab w:val="left" w:pos="5400"/>
              </w:tabs>
              <w:jc w:val="center"/>
              <w:rPr>
                <w:sz w:val="20"/>
              </w:rPr>
            </w:pPr>
            <w:r>
              <w:rPr>
                <w:sz w:val="20"/>
              </w:rPr>
              <w:t>20</w:t>
            </w:r>
          </w:p>
        </w:tc>
        <w:tc>
          <w:tcPr>
            <w:tcW w:w="8459" w:type="dxa"/>
            <w:gridSpan w:val="2"/>
          </w:tcPr>
          <w:p w:rsidR="009D2CE6" w:rsidRPr="00720A7B" w:rsidRDefault="00720A7B" w:rsidP="00720A7B">
            <w:pPr>
              <w:tabs>
                <w:tab w:val="left" w:pos="5400"/>
              </w:tabs>
              <w:spacing w:line="240" w:lineRule="auto"/>
              <w:rPr>
                <w:sz w:val="20"/>
              </w:rPr>
            </w:pPr>
            <w:r w:rsidRPr="00720A7B">
              <w:rPr>
                <w:rStyle w:val="hps"/>
                <w:color w:val="000000" w:themeColor="text1"/>
                <w:sz w:val="20"/>
              </w:rPr>
              <w:t xml:space="preserve">In the stressful context of emerging infectious disease outbreaks, appropriate blood donor-based studies have now been shown to be excellent first-line tools for public health surveys. This is particularly applicable to situations in which the proportion of asymptomatic individuals is high and </w:t>
            </w:r>
            <w:proofErr w:type="spellStart"/>
            <w:r w:rsidRPr="00720A7B">
              <w:rPr>
                <w:rStyle w:val="hps"/>
                <w:color w:val="000000" w:themeColor="text1"/>
                <w:sz w:val="20"/>
              </w:rPr>
              <w:t>seroprevalence</w:t>
            </w:r>
            <w:proofErr w:type="spellEnd"/>
            <w:r w:rsidRPr="00720A7B">
              <w:rPr>
                <w:rStyle w:val="hps"/>
                <w:color w:val="000000" w:themeColor="text1"/>
                <w:sz w:val="20"/>
              </w:rPr>
              <w:t xml:space="preserve"> information is required to estimate the attack rate as, indeed, exemplified by the currently emerging </w:t>
            </w:r>
            <w:proofErr w:type="spellStart"/>
            <w:r w:rsidRPr="00720A7B">
              <w:rPr>
                <w:rStyle w:val="hps"/>
                <w:color w:val="000000" w:themeColor="text1"/>
                <w:sz w:val="20"/>
              </w:rPr>
              <w:t>Zika</w:t>
            </w:r>
            <w:proofErr w:type="spellEnd"/>
            <w:r w:rsidRPr="00720A7B">
              <w:rPr>
                <w:rStyle w:val="hps"/>
                <w:color w:val="000000" w:themeColor="text1"/>
                <w:sz w:val="20"/>
              </w:rPr>
              <w:t xml:space="preserve"> virus</w:t>
            </w:r>
          </w:p>
        </w:tc>
        <w:tc>
          <w:tcPr>
            <w:tcW w:w="2432" w:type="dxa"/>
          </w:tcPr>
          <w:p w:rsidR="009D2CE6" w:rsidRPr="0022554A" w:rsidRDefault="009D2CE6" w:rsidP="00191A23">
            <w:pPr>
              <w:tabs>
                <w:tab w:val="left" w:pos="5400"/>
              </w:tabs>
              <w:rPr>
                <w:sz w:val="20"/>
              </w:rPr>
            </w:pPr>
          </w:p>
        </w:tc>
      </w:tr>
      <w:tr w:rsidR="009D2CE6" w:rsidRPr="0022554A" w:rsidTr="00F95B9A">
        <w:tc>
          <w:tcPr>
            <w:tcW w:w="2115" w:type="dxa"/>
            <w:gridSpan w:val="3"/>
          </w:tcPr>
          <w:p w:rsidR="009D2CE6" w:rsidRPr="0022554A" w:rsidRDefault="009D2CE6" w:rsidP="00191A23">
            <w:pPr>
              <w:pStyle w:val="TableSubHead"/>
              <w:tabs>
                <w:tab w:val="left" w:pos="5400"/>
              </w:tabs>
              <w:rPr>
                <w:sz w:val="20"/>
              </w:rPr>
            </w:pPr>
            <w:bookmarkStart w:id="90" w:name="italic49"/>
            <w:bookmarkStart w:id="91" w:name="bold50"/>
            <w:bookmarkEnd w:id="88"/>
            <w:bookmarkEnd w:id="89"/>
            <w:r w:rsidRPr="0022554A">
              <w:rPr>
                <w:sz w:val="20"/>
              </w:rPr>
              <w:t>Other information</w:t>
            </w:r>
          </w:p>
        </w:tc>
        <w:tc>
          <w:tcPr>
            <w:tcW w:w="2808" w:type="dxa"/>
            <w:gridSpan w:val="2"/>
          </w:tcPr>
          <w:p w:rsidR="009D2CE6" w:rsidRPr="0022554A" w:rsidRDefault="009D2CE6" w:rsidP="00191A23">
            <w:pPr>
              <w:pStyle w:val="TableSubHead"/>
              <w:tabs>
                <w:tab w:val="left" w:pos="5400"/>
              </w:tabs>
              <w:rPr>
                <w:sz w:val="20"/>
              </w:rPr>
            </w:pPr>
          </w:p>
        </w:tc>
        <w:bookmarkEnd w:id="90"/>
        <w:bookmarkEnd w:id="91"/>
        <w:tc>
          <w:tcPr>
            <w:tcW w:w="13198" w:type="dxa"/>
            <w:gridSpan w:val="8"/>
          </w:tcPr>
          <w:p w:rsidR="009D2CE6" w:rsidRPr="0022554A" w:rsidRDefault="009D2CE6" w:rsidP="00191A23">
            <w:pPr>
              <w:pStyle w:val="TableSubHead"/>
              <w:tabs>
                <w:tab w:val="left" w:pos="5400"/>
              </w:tabs>
              <w:rPr>
                <w:sz w:val="20"/>
              </w:rPr>
            </w:pPr>
          </w:p>
        </w:tc>
      </w:tr>
      <w:tr w:rsidR="009D2CE6" w:rsidRPr="0022554A" w:rsidTr="000873D8">
        <w:tc>
          <w:tcPr>
            <w:tcW w:w="0" w:type="auto"/>
          </w:tcPr>
          <w:p w:rsidR="009D2CE6" w:rsidRPr="0022554A" w:rsidRDefault="009D2CE6" w:rsidP="00191A23">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gridSpan w:val="2"/>
          </w:tcPr>
          <w:p w:rsidR="009D2CE6" w:rsidRPr="0022554A" w:rsidRDefault="009D2CE6" w:rsidP="00191A23">
            <w:pPr>
              <w:tabs>
                <w:tab w:val="left" w:pos="5400"/>
              </w:tabs>
              <w:jc w:val="center"/>
              <w:rPr>
                <w:sz w:val="20"/>
              </w:rPr>
            </w:pPr>
            <w:r w:rsidRPr="0022554A">
              <w:rPr>
                <w:sz w:val="20"/>
              </w:rPr>
              <w:t>22</w:t>
            </w:r>
          </w:p>
        </w:tc>
        <w:tc>
          <w:tcPr>
            <w:tcW w:w="4264" w:type="dxa"/>
            <w:gridSpan w:val="6"/>
          </w:tcPr>
          <w:p w:rsidR="009D2CE6" w:rsidRPr="0022554A" w:rsidRDefault="009D2CE6"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851" w:type="dxa"/>
          </w:tcPr>
          <w:p w:rsidR="009D2CE6" w:rsidRPr="0022554A" w:rsidRDefault="003F4F2B" w:rsidP="00191A23">
            <w:pPr>
              <w:tabs>
                <w:tab w:val="left" w:pos="5400"/>
              </w:tabs>
              <w:rPr>
                <w:sz w:val="20"/>
              </w:rPr>
            </w:pPr>
            <w:r>
              <w:rPr>
                <w:sz w:val="20"/>
              </w:rPr>
              <w:t>26</w:t>
            </w:r>
            <w:bookmarkStart w:id="94" w:name="_GoBack"/>
            <w:bookmarkEnd w:id="94"/>
          </w:p>
        </w:tc>
        <w:tc>
          <w:tcPr>
            <w:tcW w:w="8459" w:type="dxa"/>
            <w:gridSpan w:val="2"/>
          </w:tcPr>
          <w:p w:rsidR="009D2CE6" w:rsidRPr="00A804C4" w:rsidRDefault="00A804C4" w:rsidP="00191A23">
            <w:pPr>
              <w:tabs>
                <w:tab w:val="left" w:pos="5400"/>
              </w:tabs>
              <w:rPr>
                <w:b/>
                <w:sz w:val="20"/>
              </w:rPr>
            </w:pPr>
            <w:r w:rsidRPr="00A804C4">
              <w:rPr>
                <w:b/>
                <w:sz w:val="20"/>
              </w:rPr>
              <w:t>Financial disclosure section on website:</w:t>
            </w:r>
          </w:p>
          <w:p w:rsidR="00A804C4" w:rsidRPr="00A804C4" w:rsidRDefault="00A804C4" w:rsidP="00A804C4">
            <w:pPr>
              <w:spacing w:line="240" w:lineRule="auto"/>
              <w:rPr>
                <w:b/>
                <w:sz w:val="20"/>
                <w:lang w:val="en-US"/>
              </w:rPr>
            </w:pPr>
            <w:r w:rsidRPr="00A804C4">
              <w:rPr>
                <w:sz w:val="20"/>
                <w:lang w:val="fr-FR"/>
              </w:rPr>
              <w:t xml:space="preserve">This </w:t>
            </w:r>
            <w:proofErr w:type="spellStart"/>
            <w:r w:rsidRPr="00A804C4">
              <w:rPr>
                <w:sz w:val="20"/>
                <w:lang w:val="fr-FR"/>
              </w:rPr>
              <w:t>work</w:t>
            </w:r>
            <w:proofErr w:type="spellEnd"/>
            <w:r w:rsidRPr="00A804C4">
              <w:rPr>
                <w:sz w:val="20"/>
                <w:lang w:val="fr-FR"/>
              </w:rPr>
              <w:t xml:space="preserve"> </w:t>
            </w:r>
            <w:proofErr w:type="spellStart"/>
            <w:r w:rsidRPr="00A804C4">
              <w:rPr>
                <w:sz w:val="20"/>
                <w:lang w:val="fr-FR"/>
              </w:rPr>
              <w:t>was</w:t>
            </w:r>
            <w:proofErr w:type="spellEnd"/>
            <w:r w:rsidRPr="00A804C4">
              <w:rPr>
                <w:sz w:val="20"/>
                <w:lang w:val="fr-FR"/>
              </w:rPr>
              <w:t xml:space="preserve"> </w:t>
            </w:r>
            <w:proofErr w:type="spellStart"/>
            <w:r w:rsidRPr="00A804C4">
              <w:rPr>
                <w:sz w:val="20"/>
                <w:lang w:val="fr-FR"/>
              </w:rPr>
              <w:t>supported</w:t>
            </w:r>
            <w:proofErr w:type="spellEnd"/>
            <w:r w:rsidRPr="00A804C4">
              <w:rPr>
                <w:sz w:val="20"/>
                <w:lang w:val="fr-FR"/>
              </w:rPr>
              <w:t xml:space="preserve"> by Etablissement Français du Sang (EFS), Alliance pour les sciences de la vie et de la santé (AVIESAN), Institut National de la Santé et de la Recherche Médicale (INSERM) and in part by the European programmes </w:t>
            </w:r>
            <w:r w:rsidRPr="00A804C4">
              <w:rPr>
                <w:i/>
                <w:iCs/>
                <w:sz w:val="20"/>
                <w:lang w:val="fr-FR"/>
              </w:rPr>
              <w:t>PREDEMICS</w:t>
            </w:r>
            <w:r w:rsidRPr="00A804C4">
              <w:rPr>
                <w:sz w:val="20"/>
                <w:lang w:val="fr-FR"/>
              </w:rPr>
              <w:t xml:space="preserve"> (FP7-n°278433), </w:t>
            </w:r>
            <w:r w:rsidRPr="00A804C4">
              <w:rPr>
                <w:i/>
                <w:iCs/>
                <w:sz w:val="20"/>
                <w:lang w:val="fr-FR"/>
              </w:rPr>
              <w:t xml:space="preserve">European Virus Archive </w:t>
            </w:r>
            <w:proofErr w:type="spellStart"/>
            <w:r w:rsidRPr="00A804C4">
              <w:rPr>
                <w:i/>
                <w:iCs/>
                <w:sz w:val="20"/>
                <w:lang w:val="fr-FR"/>
              </w:rPr>
              <w:t>goes</w:t>
            </w:r>
            <w:proofErr w:type="spellEnd"/>
            <w:r w:rsidRPr="00A804C4">
              <w:rPr>
                <w:i/>
                <w:iCs/>
                <w:sz w:val="20"/>
                <w:lang w:val="fr-FR"/>
              </w:rPr>
              <w:t xml:space="preserve"> Global</w:t>
            </w:r>
            <w:r w:rsidRPr="00A804C4">
              <w:rPr>
                <w:sz w:val="20"/>
                <w:lang w:val="fr-FR"/>
              </w:rPr>
              <w:t xml:space="preserve"> (</w:t>
            </w:r>
            <w:proofErr w:type="spellStart"/>
            <w:r w:rsidRPr="00A804C4">
              <w:rPr>
                <w:sz w:val="20"/>
                <w:lang w:val="fr-FR"/>
              </w:rPr>
              <w:t>EVAg</w:t>
            </w:r>
            <w:proofErr w:type="spellEnd"/>
            <w:r w:rsidRPr="00A804C4">
              <w:rPr>
                <w:sz w:val="20"/>
                <w:lang w:val="fr-FR"/>
              </w:rPr>
              <w:t xml:space="preserve">, H2020-n°653316) and </w:t>
            </w:r>
            <w:r w:rsidRPr="00A804C4">
              <w:rPr>
                <w:i/>
                <w:sz w:val="20"/>
                <w:lang w:val="fr-FR"/>
              </w:rPr>
              <w:t xml:space="preserve">European Network for Diagnostics of </w:t>
            </w:r>
            <w:proofErr w:type="spellStart"/>
            <w:r w:rsidRPr="00A804C4">
              <w:rPr>
                <w:i/>
                <w:sz w:val="20"/>
                <w:lang w:val="fr-FR"/>
              </w:rPr>
              <w:t>Imported</w:t>
            </w:r>
            <w:proofErr w:type="spellEnd"/>
            <w:r w:rsidRPr="00A804C4">
              <w:rPr>
                <w:i/>
                <w:sz w:val="20"/>
                <w:lang w:val="fr-FR"/>
              </w:rPr>
              <w:t xml:space="preserve"> Viral Diseases</w:t>
            </w:r>
            <w:r w:rsidRPr="00A804C4">
              <w:rPr>
                <w:sz w:val="20"/>
                <w:lang w:val="fr-FR"/>
              </w:rPr>
              <w:t xml:space="preserve"> (ENIVD, European Centre for </w:t>
            </w:r>
            <w:proofErr w:type="spellStart"/>
            <w:r w:rsidRPr="00A804C4">
              <w:rPr>
                <w:sz w:val="20"/>
                <w:lang w:val="fr-FR"/>
              </w:rPr>
              <w:t>Disease</w:t>
            </w:r>
            <w:proofErr w:type="spellEnd"/>
            <w:r w:rsidRPr="00A804C4">
              <w:rPr>
                <w:sz w:val="20"/>
                <w:lang w:val="fr-FR"/>
              </w:rPr>
              <w:t xml:space="preserve"> </w:t>
            </w:r>
            <w:proofErr w:type="spellStart"/>
            <w:r w:rsidRPr="00A804C4">
              <w:rPr>
                <w:sz w:val="20"/>
                <w:lang w:val="fr-FR"/>
              </w:rPr>
              <w:t>Prevention</w:t>
            </w:r>
            <w:proofErr w:type="spellEnd"/>
            <w:r w:rsidRPr="00A804C4">
              <w:rPr>
                <w:sz w:val="20"/>
                <w:lang w:val="fr-FR"/>
              </w:rPr>
              <w:t xml:space="preserve"> and Control). </w:t>
            </w:r>
            <w:r w:rsidRPr="00A804C4">
              <w:rPr>
                <w:sz w:val="20"/>
              </w:rPr>
              <w:t xml:space="preserve">The work of RC was done under the frame of </w:t>
            </w:r>
            <w:proofErr w:type="spellStart"/>
            <w:r w:rsidRPr="00A804C4">
              <w:rPr>
                <w:sz w:val="20"/>
              </w:rPr>
              <w:t>EurNegVec</w:t>
            </w:r>
            <w:proofErr w:type="spellEnd"/>
            <w:r w:rsidRPr="00A804C4">
              <w:rPr>
                <w:sz w:val="20"/>
              </w:rPr>
              <w:t xml:space="preserve"> COST Action TD1303. </w:t>
            </w:r>
            <w:r w:rsidRPr="00A804C4">
              <w:rPr>
                <w:sz w:val="20"/>
                <w:lang w:val="en-US"/>
              </w:rPr>
              <w:t>The funders had no role in study design, data collection and analysis, decision to publish, or preparation of the manuscript.</w:t>
            </w:r>
          </w:p>
        </w:tc>
        <w:tc>
          <w:tcPr>
            <w:tcW w:w="2432" w:type="dxa"/>
          </w:tcPr>
          <w:p w:rsidR="009D2CE6" w:rsidRPr="0022554A" w:rsidRDefault="009D2CE6" w:rsidP="00191A23">
            <w:pPr>
              <w:tabs>
                <w:tab w:val="left" w:pos="5400"/>
              </w:tabs>
              <w:rPr>
                <w:sz w:val="20"/>
              </w:rPr>
            </w:pP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7"/>
      <w:footerReference w:type="default" r:id="rId8"/>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97C" w:rsidRDefault="0008397C">
      <w:r>
        <w:separator/>
      </w:r>
    </w:p>
  </w:endnote>
  <w:endnote w:type="continuationSeparator" w:id="0">
    <w:p w:rsidR="0008397C" w:rsidRDefault="0008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A13C9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A13C96" w:rsidRDefault="00A13C96" w:rsidP="005D0CF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C96" w:rsidRDefault="00A13C96" w:rsidP="007F7F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66F9C">
      <w:rPr>
        <w:rStyle w:val="Numrodepage"/>
        <w:noProof/>
      </w:rPr>
      <w:t>6</w:t>
    </w:r>
    <w:r>
      <w:rPr>
        <w:rStyle w:val="Numrodepage"/>
      </w:rPr>
      <w:fldChar w:fldCharType="end"/>
    </w:r>
  </w:p>
  <w:p w:rsidR="00A13C96" w:rsidRDefault="00A13C96" w:rsidP="005D0CFC">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97C" w:rsidRDefault="0008397C">
      <w:r>
        <w:separator/>
      </w:r>
    </w:p>
  </w:footnote>
  <w:footnote w:type="continuationSeparator" w:id="0">
    <w:p w:rsidR="0008397C" w:rsidRDefault="00083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48D2375"/>
    <w:multiLevelType w:val="hybridMultilevel"/>
    <w:tmpl w:val="EB4C49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1"/>
  </w:num>
  <w:num w:numId="2">
    <w:abstractNumId w:val="11"/>
  </w:num>
  <w:num w:numId="3">
    <w:abstractNumId w:val="19"/>
  </w:num>
  <w:num w:numId="4">
    <w:abstractNumId w:val="16"/>
  </w:num>
  <w:num w:numId="5">
    <w:abstractNumId w:val="15"/>
  </w:num>
  <w:num w:numId="6">
    <w:abstractNumId w:val="20"/>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23515"/>
    <w:rsid w:val="00040EEF"/>
    <w:rsid w:val="0008397C"/>
    <w:rsid w:val="000873D8"/>
    <w:rsid w:val="00093E3A"/>
    <w:rsid w:val="000B0998"/>
    <w:rsid w:val="000B6FD4"/>
    <w:rsid w:val="000E3193"/>
    <w:rsid w:val="000E691B"/>
    <w:rsid w:val="000F26ED"/>
    <w:rsid w:val="00105961"/>
    <w:rsid w:val="00110BFB"/>
    <w:rsid w:val="00115A95"/>
    <w:rsid w:val="00134AAC"/>
    <w:rsid w:val="00166F9C"/>
    <w:rsid w:val="00191A23"/>
    <w:rsid w:val="001A495C"/>
    <w:rsid w:val="001A75E9"/>
    <w:rsid w:val="001E02AD"/>
    <w:rsid w:val="001F5F42"/>
    <w:rsid w:val="00210F73"/>
    <w:rsid w:val="0021265E"/>
    <w:rsid w:val="00215E03"/>
    <w:rsid w:val="00224268"/>
    <w:rsid w:val="0022554A"/>
    <w:rsid w:val="00226A29"/>
    <w:rsid w:val="00243845"/>
    <w:rsid w:val="002552FD"/>
    <w:rsid w:val="002602FB"/>
    <w:rsid w:val="00262205"/>
    <w:rsid w:val="002B385C"/>
    <w:rsid w:val="002C731D"/>
    <w:rsid w:val="002D06D0"/>
    <w:rsid w:val="002D1ABE"/>
    <w:rsid w:val="002E1C5E"/>
    <w:rsid w:val="002F1A87"/>
    <w:rsid w:val="003354B7"/>
    <w:rsid w:val="003508EF"/>
    <w:rsid w:val="0037058A"/>
    <w:rsid w:val="00372129"/>
    <w:rsid w:val="00385050"/>
    <w:rsid w:val="0039451D"/>
    <w:rsid w:val="003A3FDD"/>
    <w:rsid w:val="003F4F2B"/>
    <w:rsid w:val="00404D2C"/>
    <w:rsid w:val="004060E6"/>
    <w:rsid w:val="00407BEA"/>
    <w:rsid w:val="00423AF5"/>
    <w:rsid w:val="004243C8"/>
    <w:rsid w:val="00443848"/>
    <w:rsid w:val="00452088"/>
    <w:rsid w:val="0045419E"/>
    <w:rsid w:val="0045734B"/>
    <w:rsid w:val="00465542"/>
    <w:rsid w:val="00472DF5"/>
    <w:rsid w:val="00495204"/>
    <w:rsid w:val="004A2F7F"/>
    <w:rsid w:val="004A31B3"/>
    <w:rsid w:val="004A32C8"/>
    <w:rsid w:val="004E1263"/>
    <w:rsid w:val="004E5468"/>
    <w:rsid w:val="004F4B71"/>
    <w:rsid w:val="005044A6"/>
    <w:rsid w:val="00517788"/>
    <w:rsid w:val="005840B4"/>
    <w:rsid w:val="00590F64"/>
    <w:rsid w:val="005923E5"/>
    <w:rsid w:val="00596A45"/>
    <w:rsid w:val="005B3CC8"/>
    <w:rsid w:val="005B567D"/>
    <w:rsid w:val="005D0CFC"/>
    <w:rsid w:val="005D19F4"/>
    <w:rsid w:val="005F254A"/>
    <w:rsid w:val="006149D3"/>
    <w:rsid w:val="00644DA3"/>
    <w:rsid w:val="0065657F"/>
    <w:rsid w:val="00666336"/>
    <w:rsid w:val="00683E42"/>
    <w:rsid w:val="006A2F18"/>
    <w:rsid w:val="006A5DD9"/>
    <w:rsid w:val="006B2915"/>
    <w:rsid w:val="006B56D7"/>
    <w:rsid w:val="006C0B63"/>
    <w:rsid w:val="006C7601"/>
    <w:rsid w:val="006D16AA"/>
    <w:rsid w:val="006F66AC"/>
    <w:rsid w:val="00701AC5"/>
    <w:rsid w:val="00711D81"/>
    <w:rsid w:val="00720A7B"/>
    <w:rsid w:val="0074576C"/>
    <w:rsid w:val="00754BA5"/>
    <w:rsid w:val="007562C3"/>
    <w:rsid w:val="007C72F6"/>
    <w:rsid w:val="007F4C23"/>
    <w:rsid w:val="007F5F04"/>
    <w:rsid w:val="007F7FA0"/>
    <w:rsid w:val="0080401D"/>
    <w:rsid w:val="00816966"/>
    <w:rsid w:val="00817D26"/>
    <w:rsid w:val="00821CD4"/>
    <w:rsid w:val="008423A7"/>
    <w:rsid w:val="008440CC"/>
    <w:rsid w:val="00854EED"/>
    <w:rsid w:val="0089107E"/>
    <w:rsid w:val="00891604"/>
    <w:rsid w:val="008D225B"/>
    <w:rsid w:val="008E2ABB"/>
    <w:rsid w:val="008F5CA8"/>
    <w:rsid w:val="00907D7C"/>
    <w:rsid w:val="00913DB5"/>
    <w:rsid w:val="00916C6E"/>
    <w:rsid w:val="00921BF8"/>
    <w:rsid w:val="009263F3"/>
    <w:rsid w:val="009347D0"/>
    <w:rsid w:val="009367F9"/>
    <w:rsid w:val="009642BE"/>
    <w:rsid w:val="00976EE1"/>
    <w:rsid w:val="009872CC"/>
    <w:rsid w:val="009A045F"/>
    <w:rsid w:val="009B10F1"/>
    <w:rsid w:val="009B368D"/>
    <w:rsid w:val="009B6E77"/>
    <w:rsid w:val="009C24D4"/>
    <w:rsid w:val="009D2CE6"/>
    <w:rsid w:val="009E0429"/>
    <w:rsid w:val="009F5211"/>
    <w:rsid w:val="00A13C96"/>
    <w:rsid w:val="00A42352"/>
    <w:rsid w:val="00A527E4"/>
    <w:rsid w:val="00A5640D"/>
    <w:rsid w:val="00A729D6"/>
    <w:rsid w:val="00A804C4"/>
    <w:rsid w:val="00A92F9F"/>
    <w:rsid w:val="00A938BF"/>
    <w:rsid w:val="00A9713C"/>
    <w:rsid w:val="00AB7BC4"/>
    <w:rsid w:val="00AE23EB"/>
    <w:rsid w:val="00AE2C57"/>
    <w:rsid w:val="00AF4615"/>
    <w:rsid w:val="00B16ACB"/>
    <w:rsid w:val="00B50DF8"/>
    <w:rsid w:val="00B54EA0"/>
    <w:rsid w:val="00B60EFB"/>
    <w:rsid w:val="00B65366"/>
    <w:rsid w:val="00B77807"/>
    <w:rsid w:val="00B940E9"/>
    <w:rsid w:val="00BA1206"/>
    <w:rsid w:val="00BC7FE6"/>
    <w:rsid w:val="00BD6861"/>
    <w:rsid w:val="00BE3709"/>
    <w:rsid w:val="00C01246"/>
    <w:rsid w:val="00C523A4"/>
    <w:rsid w:val="00CA489B"/>
    <w:rsid w:val="00CB6CC8"/>
    <w:rsid w:val="00CC4C93"/>
    <w:rsid w:val="00CE3D97"/>
    <w:rsid w:val="00D077D4"/>
    <w:rsid w:val="00D120D2"/>
    <w:rsid w:val="00D20D7C"/>
    <w:rsid w:val="00D26FCA"/>
    <w:rsid w:val="00D41395"/>
    <w:rsid w:val="00D6407C"/>
    <w:rsid w:val="00D87AF7"/>
    <w:rsid w:val="00DA120C"/>
    <w:rsid w:val="00DB42D2"/>
    <w:rsid w:val="00DC4BEF"/>
    <w:rsid w:val="00DF6B79"/>
    <w:rsid w:val="00E10628"/>
    <w:rsid w:val="00E144CD"/>
    <w:rsid w:val="00E2292B"/>
    <w:rsid w:val="00E341E9"/>
    <w:rsid w:val="00EA6E28"/>
    <w:rsid w:val="00EB07B3"/>
    <w:rsid w:val="00F058E1"/>
    <w:rsid w:val="00F0752A"/>
    <w:rsid w:val="00F3747A"/>
    <w:rsid w:val="00F378D0"/>
    <w:rsid w:val="00F72023"/>
    <w:rsid w:val="00F76A7F"/>
    <w:rsid w:val="00F838E1"/>
    <w:rsid w:val="00F842DC"/>
    <w:rsid w:val="00F86D09"/>
    <w:rsid w:val="00F876FF"/>
    <w:rsid w:val="00F93A89"/>
    <w:rsid w:val="00F95B9A"/>
    <w:rsid w:val="00F970FA"/>
    <w:rsid w:val="00FA2721"/>
    <w:rsid w:val="00FA3D11"/>
    <w:rsid w:val="00FC42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95F09ED2-B15F-4312-B120-7D57CEC2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Titre1">
    <w:name w:val="heading 1"/>
    <w:basedOn w:val="Normal"/>
    <w:next w:val="Normal"/>
    <w:qFormat/>
    <w:rsid w:val="000B6FD4"/>
    <w:pPr>
      <w:keepNext/>
      <w:spacing w:before="240" w:after="60"/>
      <w:outlineLvl w:val="0"/>
    </w:pPr>
    <w:rPr>
      <w:rFonts w:ascii="Arial" w:hAnsi="Arial"/>
      <w:b/>
      <w:bCs/>
      <w:kern w:val="32"/>
      <w:sz w:val="32"/>
      <w:szCs w:val="32"/>
    </w:rPr>
  </w:style>
  <w:style w:type="paragraph" w:styleId="Titre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itre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itre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itre5">
    <w:name w:val="heading 5"/>
    <w:basedOn w:val="Normal"/>
    <w:next w:val="Normal"/>
    <w:qFormat/>
    <w:rsid w:val="000B6FD4"/>
    <w:pPr>
      <w:numPr>
        <w:ilvl w:val="4"/>
        <w:numId w:val="5"/>
      </w:numPr>
      <w:spacing w:before="240" w:after="60" w:line="240" w:lineRule="auto"/>
      <w:outlineLvl w:val="4"/>
    </w:pPr>
    <w:rPr>
      <w:sz w:val="22"/>
    </w:rPr>
  </w:style>
  <w:style w:type="paragraph" w:styleId="Titre6">
    <w:name w:val="heading 6"/>
    <w:basedOn w:val="Normal"/>
    <w:next w:val="Normal"/>
    <w:qFormat/>
    <w:rsid w:val="000B6FD4"/>
    <w:pPr>
      <w:numPr>
        <w:ilvl w:val="5"/>
        <w:numId w:val="5"/>
      </w:numPr>
      <w:spacing w:before="240" w:after="60" w:line="240" w:lineRule="auto"/>
      <w:outlineLvl w:val="5"/>
    </w:pPr>
    <w:rPr>
      <w:i/>
      <w:sz w:val="22"/>
    </w:rPr>
  </w:style>
  <w:style w:type="paragraph" w:styleId="Titre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itre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itre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0B6FD4"/>
    <w:pPr>
      <w:spacing w:after="120"/>
      <w:ind w:left="283"/>
    </w:pPr>
  </w:style>
  <w:style w:type="paragraph" w:styleId="Textedebulles">
    <w:name w:val="Balloon Text"/>
    <w:basedOn w:val="Normal"/>
    <w:semiHidden/>
    <w:rsid w:val="008D225B"/>
    <w:rPr>
      <w:rFonts w:ascii="Tahoma" w:hAnsi="Tahoma" w:cs="Tahoma"/>
      <w:sz w:val="16"/>
      <w:szCs w:val="16"/>
    </w:rPr>
  </w:style>
  <w:style w:type="paragraph" w:styleId="Pieddepage">
    <w:name w:val="footer"/>
    <w:basedOn w:val="Normal"/>
    <w:rsid w:val="000B6FD4"/>
    <w:pPr>
      <w:tabs>
        <w:tab w:val="center" w:pos="4153"/>
        <w:tab w:val="right" w:pos="8306"/>
      </w:tabs>
      <w:spacing w:line="240" w:lineRule="auto"/>
    </w:pPr>
    <w:rPr>
      <w:rFonts w:ascii="Arial" w:hAnsi="Arial"/>
      <w:sz w:val="20"/>
    </w:rPr>
  </w:style>
  <w:style w:type="character" w:styleId="Numrodepage">
    <w:name w:val="page number"/>
    <w:basedOn w:val="Policepardfaut"/>
    <w:rsid w:val="000B6FD4"/>
  </w:style>
  <w:style w:type="paragraph" w:styleId="En-tte">
    <w:name w:val="header"/>
    <w:basedOn w:val="Normal"/>
    <w:rsid w:val="000B6FD4"/>
    <w:pPr>
      <w:tabs>
        <w:tab w:val="center" w:pos="4153"/>
        <w:tab w:val="right" w:pos="8306"/>
      </w:tabs>
      <w:spacing w:line="240" w:lineRule="auto"/>
    </w:pPr>
    <w:rPr>
      <w:sz w:val="18"/>
    </w:rPr>
  </w:style>
  <w:style w:type="paragraph" w:styleId="Notedebasdepag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ebru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Lgende">
    <w:name w:val="caption"/>
    <w:basedOn w:val="Normal"/>
    <w:next w:val="Normal"/>
    <w:qFormat/>
    <w:rsid w:val="000B6FD4"/>
    <w:pPr>
      <w:spacing w:before="120" w:after="120" w:line="240" w:lineRule="auto"/>
    </w:pPr>
    <w:rPr>
      <w:b/>
      <w:sz w:val="20"/>
    </w:rPr>
  </w:style>
  <w:style w:type="paragraph" w:styleId="Commentaire">
    <w:name w:val="annotation text"/>
    <w:basedOn w:val="Normal"/>
    <w:semiHidden/>
    <w:rsid w:val="000B6FD4"/>
    <w:pPr>
      <w:spacing w:line="240" w:lineRule="auto"/>
    </w:pPr>
    <w:rPr>
      <w:sz w:val="20"/>
    </w:rPr>
  </w:style>
  <w:style w:type="paragraph" w:styleId="Normalcentr">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Lgende"/>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Corpsdetexte">
    <w:name w:val="Body Text"/>
    <w:basedOn w:val="Normal"/>
    <w:rsid w:val="000B6FD4"/>
    <w:pPr>
      <w:spacing w:after="120"/>
    </w:pPr>
  </w:style>
  <w:style w:type="character" w:styleId="Appeldenotedefin">
    <w:name w:val="endnote reference"/>
    <w:basedOn w:val="Policepardfaut"/>
    <w:semiHidden/>
    <w:rsid w:val="000B6FD4"/>
    <w:rPr>
      <w:vertAlign w:val="superscript"/>
    </w:rPr>
  </w:style>
  <w:style w:type="paragraph" w:styleId="Notedefin">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Policepardfaut"/>
    <w:rsid w:val="000B6FD4"/>
    <w:rPr>
      <w:color w:val="0000FF"/>
      <w:vertAlign w:val="superscript"/>
    </w:rPr>
  </w:style>
  <w:style w:type="character" w:customStyle="1" w:styleId="FnoteRef">
    <w:name w:val="FnoteRef"/>
    <w:basedOn w:val="Policepardfaut"/>
    <w:rsid w:val="000B6FD4"/>
    <w:rPr>
      <w:color w:val="FF0000"/>
      <w:vertAlign w:val="superscript"/>
    </w:rPr>
  </w:style>
  <w:style w:type="paragraph" w:customStyle="1" w:styleId="Footnote">
    <w:name w:val="Footnote"/>
    <w:basedOn w:val="Normal"/>
    <w:rsid w:val="000B6FD4"/>
    <w:pPr>
      <w:spacing w:line="240" w:lineRule="auto"/>
    </w:pPr>
  </w:style>
  <w:style w:type="character" w:styleId="Appelnotedebasdep">
    <w:name w:val="footnote reference"/>
    <w:basedOn w:val="Policepardfau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re"/>
    <w:next w:val="Titr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Corpsdetex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epuce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Corpsdetex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r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Accentuation">
    <w:name w:val="Emphasis"/>
    <w:basedOn w:val="Policepardfaut"/>
    <w:qFormat/>
    <w:rsid w:val="000B6FD4"/>
    <w:rPr>
      <w:i/>
      <w:iCs/>
    </w:rPr>
  </w:style>
  <w:style w:type="paragraph" w:customStyle="1" w:styleId="GroupAuthor">
    <w:name w:val="GroupAuthor"/>
    <w:basedOn w:val="Author"/>
    <w:rsid w:val="000B6FD4"/>
    <w:rPr>
      <w:b/>
      <w:i/>
    </w:rPr>
  </w:style>
  <w:style w:type="character" w:styleId="Marquedecommentaire">
    <w:name w:val="annotation reference"/>
    <w:basedOn w:val="Policepardfau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Retrait1religne">
    <w:name w:val="Body Text First Indent"/>
    <w:basedOn w:val="Corpsdetex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s">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ous-titre">
    <w:name w:val="Subtitle"/>
    <w:basedOn w:val="Normal"/>
    <w:qFormat/>
    <w:rsid w:val="000B6FD4"/>
    <w:pPr>
      <w:spacing w:after="60"/>
      <w:outlineLvl w:val="1"/>
    </w:pPr>
    <w:rPr>
      <w:i/>
    </w:rPr>
  </w:style>
  <w:style w:type="paragraph" w:customStyle="1" w:styleId="Subtitle1">
    <w:name w:val="Subtitle1"/>
    <w:basedOn w:val="Sous-titr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Policepardfau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Policepardfau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Policepardfaut"/>
    <w:rsid w:val="000B6FD4"/>
    <w:rPr>
      <w:color w:val="0000FF"/>
      <w:vertAlign w:val="superscript"/>
    </w:rPr>
  </w:style>
  <w:style w:type="paragraph" w:styleId="Retraitcorpset1relig">
    <w:name w:val="Body Text First Indent 2"/>
    <w:basedOn w:val="Retraitcorpsdetexte"/>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Retraitcorpsdetexte2">
    <w:name w:val="Body Text Indent 2"/>
    <w:basedOn w:val="Normal"/>
    <w:rsid w:val="000B6FD4"/>
    <w:pPr>
      <w:spacing w:after="120" w:line="480" w:lineRule="auto"/>
      <w:ind w:left="283"/>
    </w:pPr>
  </w:style>
  <w:style w:type="paragraph" w:styleId="Retraitcorpsdetexte3">
    <w:name w:val="Body Text Indent 3"/>
    <w:basedOn w:val="Normal"/>
    <w:rsid w:val="000B6FD4"/>
    <w:pPr>
      <w:spacing w:after="120"/>
      <w:ind w:left="283"/>
    </w:pPr>
    <w:rPr>
      <w:sz w:val="16"/>
      <w:szCs w:val="16"/>
    </w:rPr>
  </w:style>
  <w:style w:type="paragraph" w:styleId="Formuledepolitesse">
    <w:name w:val="Closing"/>
    <w:basedOn w:val="Normal"/>
    <w:rsid w:val="000B6FD4"/>
    <w:pPr>
      <w:ind w:left="4252"/>
    </w:pPr>
  </w:style>
  <w:style w:type="paragraph" w:styleId="Explorateurdedocuments">
    <w:name w:val="Document Map"/>
    <w:basedOn w:val="Normal"/>
    <w:semiHidden/>
    <w:rsid w:val="000B6FD4"/>
    <w:pPr>
      <w:shd w:val="clear" w:color="auto" w:fill="000080"/>
    </w:pPr>
    <w:rPr>
      <w:rFonts w:ascii="Tahoma" w:hAnsi="Tahoma" w:cs="Tahoma"/>
    </w:rPr>
  </w:style>
  <w:style w:type="paragraph" w:styleId="Signaturelectronique">
    <w:name w:val="E-mail Signature"/>
    <w:basedOn w:val="Normal"/>
    <w:rsid w:val="000B6FD4"/>
  </w:style>
  <w:style w:type="paragraph" w:styleId="Adressedestinatai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Adresseexpditeur">
    <w:name w:val="envelope return"/>
    <w:basedOn w:val="Normal"/>
    <w:rsid w:val="000B6FD4"/>
    <w:rPr>
      <w:rFonts w:ascii="Arial" w:hAnsi="Arial"/>
      <w:sz w:val="20"/>
    </w:rPr>
  </w:style>
  <w:style w:type="character" w:styleId="Lienhypertextesuivivisit">
    <w:name w:val="FollowedHyperlink"/>
    <w:basedOn w:val="Policepardfaut"/>
    <w:rsid w:val="000B6FD4"/>
    <w:rPr>
      <w:color w:val="800080"/>
      <w:u w:val="single"/>
    </w:rPr>
  </w:style>
  <w:style w:type="character" w:styleId="AcronymeHTML">
    <w:name w:val="HTML Acronym"/>
    <w:basedOn w:val="Policepardfaut"/>
    <w:rsid w:val="000B6FD4"/>
  </w:style>
  <w:style w:type="paragraph" w:styleId="AdresseHTML">
    <w:name w:val="HTML Address"/>
    <w:basedOn w:val="Normal"/>
    <w:rsid w:val="000B6FD4"/>
    <w:rPr>
      <w:i/>
      <w:iCs/>
    </w:rPr>
  </w:style>
  <w:style w:type="character" w:styleId="CitationHTML">
    <w:name w:val="HTML Cite"/>
    <w:basedOn w:val="Policepardfaut"/>
    <w:rsid w:val="000B6FD4"/>
    <w:rPr>
      <w:i/>
      <w:iCs/>
    </w:rPr>
  </w:style>
  <w:style w:type="character" w:styleId="CodeHTML">
    <w:name w:val="HTML Code"/>
    <w:basedOn w:val="Policepardfaut"/>
    <w:rsid w:val="000B6FD4"/>
    <w:rPr>
      <w:rFonts w:ascii="Courier New" w:hAnsi="Courier New"/>
      <w:sz w:val="20"/>
      <w:szCs w:val="20"/>
    </w:rPr>
  </w:style>
  <w:style w:type="character" w:styleId="DfinitionHTML">
    <w:name w:val="HTML Definition"/>
    <w:basedOn w:val="Policepardfaut"/>
    <w:rsid w:val="000B6FD4"/>
    <w:rPr>
      <w:i/>
      <w:iCs/>
    </w:rPr>
  </w:style>
  <w:style w:type="character" w:styleId="ClavierHTML">
    <w:name w:val="HTML Keyboard"/>
    <w:basedOn w:val="Policepardfaut"/>
    <w:rsid w:val="000B6FD4"/>
    <w:rPr>
      <w:rFonts w:ascii="Courier New" w:hAnsi="Courier New"/>
      <w:sz w:val="20"/>
      <w:szCs w:val="20"/>
    </w:rPr>
  </w:style>
  <w:style w:type="paragraph" w:styleId="PrformatHTML">
    <w:name w:val="HTML Preformatted"/>
    <w:basedOn w:val="Normal"/>
    <w:rsid w:val="000B6FD4"/>
    <w:rPr>
      <w:rFonts w:ascii="Courier New" w:hAnsi="Courier New"/>
      <w:sz w:val="20"/>
    </w:rPr>
  </w:style>
  <w:style w:type="character" w:styleId="ExempleHTML">
    <w:name w:val="HTML Sample"/>
    <w:basedOn w:val="Policepardfaut"/>
    <w:rsid w:val="000B6FD4"/>
    <w:rPr>
      <w:rFonts w:ascii="Courier New" w:hAnsi="Courier New"/>
    </w:rPr>
  </w:style>
  <w:style w:type="character" w:styleId="MachinecrireHTML">
    <w:name w:val="HTML Typewriter"/>
    <w:basedOn w:val="Policepardfaut"/>
    <w:rsid w:val="000B6FD4"/>
    <w:rPr>
      <w:rFonts w:ascii="Courier New" w:hAnsi="Courier New"/>
      <w:sz w:val="20"/>
      <w:szCs w:val="20"/>
    </w:rPr>
  </w:style>
  <w:style w:type="character" w:styleId="VariableHTML">
    <w:name w:val="HTML Variable"/>
    <w:basedOn w:val="Policepardfaut"/>
    <w:rsid w:val="000B6FD4"/>
    <w:rPr>
      <w:i/>
      <w:iCs/>
    </w:rPr>
  </w:style>
  <w:style w:type="character" w:styleId="Lienhypertexte">
    <w:name w:val="Hyperlink"/>
    <w:basedOn w:val="Policepardfau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Titreindex">
    <w:name w:val="index heading"/>
    <w:basedOn w:val="Normal"/>
    <w:next w:val="Index1"/>
    <w:semiHidden/>
    <w:rsid w:val="000B6FD4"/>
    <w:rPr>
      <w:rFonts w:ascii="Arial" w:hAnsi="Arial"/>
      <w:b/>
      <w:bCs/>
    </w:rPr>
  </w:style>
  <w:style w:type="character" w:styleId="Numrodeligne">
    <w:name w:val="line number"/>
    <w:basedOn w:val="Policepardfaut"/>
    <w:rsid w:val="000B6FD4"/>
  </w:style>
  <w:style w:type="paragraph" w:styleId="Liste">
    <w:name w:val="List"/>
    <w:basedOn w:val="Normal"/>
    <w:rsid w:val="000B6FD4"/>
    <w:pPr>
      <w:ind w:left="283" w:hanging="283"/>
    </w:pPr>
  </w:style>
  <w:style w:type="paragraph" w:styleId="Liste2">
    <w:name w:val="List 2"/>
    <w:basedOn w:val="Normal"/>
    <w:rsid w:val="000B6FD4"/>
    <w:pPr>
      <w:ind w:left="566" w:hanging="283"/>
    </w:pPr>
  </w:style>
  <w:style w:type="paragraph" w:styleId="Liste3">
    <w:name w:val="List 3"/>
    <w:basedOn w:val="Normal"/>
    <w:rsid w:val="000B6FD4"/>
    <w:pPr>
      <w:ind w:left="849" w:hanging="283"/>
    </w:pPr>
  </w:style>
  <w:style w:type="paragraph" w:styleId="Liste4">
    <w:name w:val="List 4"/>
    <w:basedOn w:val="Normal"/>
    <w:rsid w:val="000B6FD4"/>
    <w:pPr>
      <w:ind w:left="1132" w:hanging="283"/>
    </w:pPr>
  </w:style>
  <w:style w:type="paragraph" w:styleId="Liste5">
    <w:name w:val="List 5"/>
    <w:basedOn w:val="Normal"/>
    <w:rsid w:val="000B6FD4"/>
    <w:pPr>
      <w:ind w:left="1415" w:hanging="283"/>
    </w:pPr>
  </w:style>
  <w:style w:type="paragraph" w:styleId="Listepuces2">
    <w:name w:val="List Bullet 2"/>
    <w:basedOn w:val="Normal"/>
    <w:autoRedefine/>
    <w:rsid w:val="000B6FD4"/>
    <w:pPr>
      <w:numPr>
        <w:numId w:val="11"/>
      </w:numPr>
    </w:pPr>
  </w:style>
  <w:style w:type="paragraph" w:styleId="Listepuces3">
    <w:name w:val="List Bullet 3"/>
    <w:basedOn w:val="Normal"/>
    <w:autoRedefine/>
    <w:rsid w:val="000B6FD4"/>
    <w:pPr>
      <w:numPr>
        <w:numId w:val="12"/>
      </w:numPr>
    </w:pPr>
  </w:style>
  <w:style w:type="paragraph" w:styleId="Listepuces4">
    <w:name w:val="List Bullet 4"/>
    <w:basedOn w:val="Normal"/>
    <w:autoRedefine/>
    <w:rsid w:val="000B6FD4"/>
    <w:pPr>
      <w:numPr>
        <w:numId w:val="13"/>
      </w:numPr>
    </w:pPr>
  </w:style>
  <w:style w:type="paragraph" w:styleId="Listepuces5">
    <w:name w:val="List Bullet 5"/>
    <w:basedOn w:val="Normal"/>
    <w:autoRedefine/>
    <w:rsid w:val="000B6FD4"/>
    <w:pPr>
      <w:numPr>
        <w:numId w:val="14"/>
      </w:numPr>
    </w:pPr>
  </w:style>
  <w:style w:type="paragraph" w:styleId="Listecontinue">
    <w:name w:val="List Continue"/>
    <w:basedOn w:val="Normal"/>
    <w:rsid w:val="000B6FD4"/>
    <w:pPr>
      <w:spacing w:after="120"/>
      <w:ind w:left="283"/>
    </w:pPr>
  </w:style>
  <w:style w:type="paragraph" w:styleId="Listecontinue2">
    <w:name w:val="List Continue 2"/>
    <w:basedOn w:val="Normal"/>
    <w:rsid w:val="000B6FD4"/>
    <w:pPr>
      <w:spacing w:after="120"/>
      <w:ind w:left="566"/>
    </w:pPr>
  </w:style>
  <w:style w:type="paragraph" w:styleId="Listecontinue3">
    <w:name w:val="List Continue 3"/>
    <w:basedOn w:val="Normal"/>
    <w:rsid w:val="000B6FD4"/>
    <w:pPr>
      <w:spacing w:after="120"/>
      <w:ind w:left="849"/>
    </w:pPr>
  </w:style>
  <w:style w:type="paragraph" w:styleId="Listecontinue4">
    <w:name w:val="List Continue 4"/>
    <w:basedOn w:val="Normal"/>
    <w:rsid w:val="000B6FD4"/>
    <w:pPr>
      <w:spacing w:after="120"/>
      <w:ind w:left="1132"/>
    </w:pPr>
  </w:style>
  <w:style w:type="paragraph" w:styleId="Listecontinue5">
    <w:name w:val="List Continue 5"/>
    <w:basedOn w:val="Normal"/>
    <w:rsid w:val="000B6FD4"/>
    <w:pPr>
      <w:spacing w:after="120"/>
      <w:ind w:left="1415"/>
    </w:pPr>
  </w:style>
  <w:style w:type="paragraph" w:styleId="Listenumros">
    <w:name w:val="List Number"/>
    <w:basedOn w:val="Normal"/>
    <w:rsid w:val="000B6FD4"/>
    <w:pPr>
      <w:numPr>
        <w:numId w:val="15"/>
      </w:numPr>
    </w:pPr>
  </w:style>
  <w:style w:type="paragraph" w:styleId="Listenumros2">
    <w:name w:val="List Number 2"/>
    <w:basedOn w:val="Normal"/>
    <w:rsid w:val="000B6FD4"/>
    <w:pPr>
      <w:numPr>
        <w:numId w:val="16"/>
      </w:numPr>
    </w:pPr>
  </w:style>
  <w:style w:type="paragraph" w:styleId="Listenumros3">
    <w:name w:val="List Number 3"/>
    <w:basedOn w:val="Normal"/>
    <w:rsid w:val="000B6FD4"/>
    <w:pPr>
      <w:numPr>
        <w:numId w:val="17"/>
      </w:numPr>
    </w:pPr>
  </w:style>
  <w:style w:type="paragraph" w:styleId="Listenumros4">
    <w:name w:val="List Number 4"/>
    <w:basedOn w:val="Normal"/>
    <w:rsid w:val="000B6FD4"/>
    <w:pPr>
      <w:numPr>
        <w:numId w:val="18"/>
      </w:numPr>
    </w:pPr>
  </w:style>
  <w:style w:type="paragraph" w:styleId="Listenumros5">
    <w:name w:val="List Number 5"/>
    <w:basedOn w:val="Normal"/>
    <w:rsid w:val="000B6FD4"/>
    <w:pPr>
      <w:numPr>
        <w:numId w:val="19"/>
      </w:numPr>
    </w:pPr>
  </w:style>
  <w:style w:type="paragraph" w:styleId="Textede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ttedemessag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Retraitnormal">
    <w:name w:val="Normal Indent"/>
    <w:basedOn w:val="Normal"/>
    <w:rsid w:val="000B6FD4"/>
    <w:pPr>
      <w:ind w:left="720"/>
    </w:pPr>
  </w:style>
  <w:style w:type="paragraph" w:styleId="Titredenote">
    <w:name w:val="Note Heading"/>
    <w:basedOn w:val="Normal"/>
    <w:next w:val="Normal"/>
    <w:rsid w:val="000B6FD4"/>
  </w:style>
  <w:style w:type="character" w:customStyle="1" w:styleId="ParaHead">
    <w:name w:val="ParaHead"/>
    <w:basedOn w:val="Policepardfau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ie">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Policepardfau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1">
    <w:name w:val="Citation1"/>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tion">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Objetducommentaire">
    <w:name w:val="annotation subject"/>
    <w:basedOn w:val="Commentaire"/>
    <w:next w:val="Commentaire"/>
    <w:semiHidden/>
    <w:rsid w:val="00F378D0"/>
    <w:pPr>
      <w:spacing w:line="300" w:lineRule="exact"/>
    </w:pPr>
    <w:rPr>
      <w:b/>
      <w:bCs/>
    </w:rPr>
  </w:style>
  <w:style w:type="paragraph" w:styleId="Paragraphedeliste">
    <w:name w:val="List Paragraph"/>
    <w:basedOn w:val="Normal"/>
    <w:uiPriority w:val="34"/>
    <w:qFormat/>
    <w:rsid w:val="004E5468"/>
    <w:pPr>
      <w:spacing w:after="160" w:line="259" w:lineRule="auto"/>
      <w:ind w:left="720"/>
      <w:contextualSpacing/>
    </w:pPr>
    <w:rPr>
      <w:rFonts w:asciiTheme="minorHAnsi" w:eastAsiaTheme="minorHAnsi" w:hAnsiTheme="minorHAnsi" w:cstheme="minorBidi"/>
      <w:sz w:val="22"/>
      <w:szCs w:val="22"/>
      <w:lang w:val="fr-FR"/>
    </w:rPr>
  </w:style>
  <w:style w:type="character" w:customStyle="1" w:styleId="hps">
    <w:name w:val="hps"/>
    <w:basedOn w:val="Policepardfaut"/>
    <w:rsid w:val="00452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119</TotalTime>
  <Pages>7</Pages>
  <Words>3117</Words>
  <Characters>17146</Characters>
  <Application>Microsoft Office Word</Application>
  <DocSecurity>0</DocSecurity>
  <Lines>142</Lines>
  <Paragraphs>40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20223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GALLIAN Pierre</cp:lastModifiedBy>
  <cp:revision>42</cp:revision>
  <cp:lastPrinted>2014-09-01T08:36:00Z</cp:lastPrinted>
  <dcterms:created xsi:type="dcterms:W3CDTF">2016-11-09T10:04:00Z</dcterms:created>
  <dcterms:modified xsi:type="dcterms:W3CDTF">2016-12-06T15:09:00Z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