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581" w:rsidRPr="0076178E" w:rsidRDefault="00E60081" w:rsidP="00AE4BB0">
      <w:pPr>
        <w:spacing w:line="480" w:lineRule="auto"/>
        <w:rPr>
          <w:rFonts w:ascii="Times New Roman" w:hAnsi="Times New Roman" w:cs="Times New Roman"/>
          <w:sz w:val="24"/>
          <w:szCs w:val="24"/>
        </w:rPr>
      </w:pPr>
      <w:r w:rsidRPr="0076178E">
        <w:rPr>
          <w:rFonts w:ascii="Times New Roman" w:hAnsi="Times New Roman" w:cs="Times New Roman"/>
          <w:b/>
          <w:sz w:val="24"/>
          <w:szCs w:val="24"/>
        </w:rPr>
        <w:t>S8</w:t>
      </w:r>
      <w:r>
        <w:rPr>
          <w:rFonts w:ascii="Times New Roman" w:hAnsi="Times New Roman" w:cs="Times New Roman"/>
          <w:b/>
          <w:sz w:val="24"/>
          <w:szCs w:val="24"/>
        </w:rPr>
        <w:t xml:space="preserve"> </w:t>
      </w:r>
      <w:bookmarkStart w:id="0" w:name="_GoBack"/>
      <w:bookmarkEnd w:id="0"/>
      <w:r w:rsidR="00095581" w:rsidRPr="0076178E">
        <w:rPr>
          <w:rFonts w:ascii="Times New Roman" w:hAnsi="Times New Roman" w:cs="Times New Roman"/>
          <w:b/>
          <w:sz w:val="24"/>
          <w:szCs w:val="24"/>
        </w:rPr>
        <w:t>Table.</w:t>
      </w:r>
      <w:r w:rsidR="0076178E" w:rsidRPr="0076178E">
        <w:rPr>
          <w:rFonts w:ascii="Times New Roman" w:hAnsi="Times New Roman" w:cs="Times New Roman"/>
          <w:b/>
          <w:sz w:val="24"/>
          <w:szCs w:val="24"/>
        </w:rPr>
        <w:t xml:space="preserve"> </w:t>
      </w:r>
      <w:r w:rsidR="00AE4BB0">
        <w:rPr>
          <w:rFonts w:ascii="Times New Roman" w:hAnsi="Times New Roman" w:cs="Times New Roman"/>
          <w:b/>
          <w:sz w:val="24"/>
          <w:szCs w:val="24"/>
        </w:rPr>
        <w:t xml:space="preserve">Virulence of </w:t>
      </w:r>
      <w:r w:rsidR="0076178E">
        <w:rPr>
          <w:rFonts w:ascii="Times New Roman" w:hAnsi="Times New Roman" w:cs="Times New Roman"/>
          <w:b/>
          <w:iCs/>
          <w:sz w:val="24"/>
          <w:szCs w:val="24"/>
          <w:lang w:val="en-US"/>
        </w:rPr>
        <w:t xml:space="preserve">Murray </w:t>
      </w:r>
      <w:r w:rsidR="00AE4BB0">
        <w:rPr>
          <w:rFonts w:ascii="Times New Roman" w:hAnsi="Times New Roman" w:cs="Times New Roman"/>
          <w:b/>
          <w:iCs/>
          <w:sz w:val="24"/>
          <w:szCs w:val="24"/>
          <w:lang w:val="en-US"/>
        </w:rPr>
        <w:t>Valley encephalitis virus</w:t>
      </w:r>
      <w:r w:rsidR="0076178E">
        <w:rPr>
          <w:rFonts w:ascii="Times New Roman" w:hAnsi="Times New Roman" w:cs="Times New Roman"/>
          <w:b/>
          <w:iCs/>
          <w:sz w:val="24"/>
          <w:szCs w:val="24"/>
          <w:lang w:val="en-US"/>
        </w:rPr>
        <w:t xml:space="preserve"> </w:t>
      </w:r>
      <w:r w:rsidR="00DD2A68">
        <w:rPr>
          <w:rFonts w:ascii="Times New Roman" w:hAnsi="Times New Roman" w:cs="Times New Roman"/>
          <w:b/>
          <w:iCs/>
          <w:sz w:val="24"/>
          <w:szCs w:val="24"/>
          <w:lang w:val="en-US"/>
        </w:rPr>
        <w:t>strains</w:t>
      </w:r>
      <w:r w:rsidR="00AE4BB0">
        <w:rPr>
          <w:rFonts w:ascii="Times New Roman" w:hAnsi="Times New Roman" w:cs="Times New Roman"/>
          <w:b/>
          <w:iCs/>
          <w:sz w:val="24"/>
          <w:szCs w:val="24"/>
          <w:lang w:val="en-US"/>
        </w:rPr>
        <w:t>,</w:t>
      </w:r>
      <w:r w:rsidR="00DD2A68">
        <w:rPr>
          <w:rFonts w:ascii="Times New Roman" w:hAnsi="Times New Roman" w:cs="Times New Roman"/>
          <w:b/>
          <w:iCs/>
          <w:sz w:val="24"/>
          <w:szCs w:val="24"/>
          <w:lang w:val="en-US"/>
        </w:rPr>
        <w:t xml:space="preserve"> representing genotype</w:t>
      </w:r>
      <w:r w:rsidR="00092216">
        <w:rPr>
          <w:rFonts w:ascii="Times New Roman" w:hAnsi="Times New Roman" w:cs="Times New Roman"/>
          <w:b/>
          <w:iCs/>
          <w:sz w:val="24"/>
          <w:szCs w:val="24"/>
          <w:lang w:val="en-US"/>
        </w:rPr>
        <w:t>s</w:t>
      </w:r>
      <w:r w:rsidR="00DD2A68">
        <w:rPr>
          <w:rFonts w:ascii="Times New Roman" w:hAnsi="Times New Roman" w:cs="Times New Roman"/>
          <w:b/>
          <w:iCs/>
          <w:sz w:val="24"/>
          <w:szCs w:val="24"/>
          <w:lang w:val="en-US"/>
        </w:rPr>
        <w:t xml:space="preserve"> 1 and 2, </w:t>
      </w:r>
      <w:r w:rsidR="00AE4BB0">
        <w:rPr>
          <w:rFonts w:ascii="Times New Roman" w:hAnsi="Times New Roman" w:cs="Times New Roman"/>
          <w:b/>
          <w:iCs/>
          <w:sz w:val="24"/>
          <w:szCs w:val="24"/>
          <w:lang w:val="en-US"/>
        </w:rPr>
        <w:t xml:space="preserve">in </w:t>
      </w:r>
      <w:r w:rsidR="00AE4BB0" w:rsidRPr="0076178E">
        <w:rPr>
          <w:rFonts w:ascii="Times New Roman" w:hAnsi="Times New Roman" w:cs="Times New Roman"/>
          <w:b/>
          <w:iCs/>
          <w:sz w:val="24"/>
          <w:szCs w:val="24"/>
          <w:lang w:val="en-US"/>
        </w:rPr>
        <w:t xml:space="preserve">18-day old </w:t>
      </w:r>
      <w:r w:rsidR="00092216">
        <w:rPr>
          <w:rFonts w:ascii="Times New Roman" w:hAnsi="Times New Roman" w:cs="Times New Roman"/>
          <w:b/>
          <w:iCs/>
          <w:sz w:val="24"/>
          <w:szCs w:val="24"/>
          <w:lang w:val="en-US"/>
        </w:rPr>
        <w:t xml:space="preserve">Swiss </w:t>
      </w:r>
      <w:r w:rsidR="00AE4BB0" w:rsidRPr="0076178E">
        <w:rPr>
          <w:rFonts w:ascii="Times New Roman" w:hAnsi="Times New Roman" w:cs="Times New Roman"/>
          <w:b/>
          <w:iCs/>
          <w:sz w:val="24"/>
          <w:szCs w:val="24"/>
          <w:lang w:val="en-US"/>
        </w:rPr>
        <w:t xml:space="preserve">mice </w:t>
      </w:r>
      <w:r w:rsidR="00095581" w:rsidRPr="0076178E">
        <w:rPr>
          <w:rFonts w:ascii="Times New Roman" w:hAnsi="Times New Roman" w:cs="Times New Roman"/>
          <w:b/>
          <w:iCs/>
          <w:sz w:val="24"/>
          <w:szCs w:val="24"/>
          <w:lang w:val="en-US"/>
        </w:rPr>
        <w:t xml:space="preserve">following </w:t>
      </w:r>
      <w:r w:rsidR="00AE4BB0">
        <w:rPr>
          <w:rFonts w:ascii="Times New Roman" w:hAnsi="Times New Roman" w:cs="Times New Roman"/>
          <w:b/>
          <w:iCs/>
          <w:sz w:val="24"/>
          <w:szCs w:val="24"/>
          <w:lang w:val="en-US"/>
        </w:rPr>
        <w:t xml:space="preserve">intraperitoneal </w:t>
      </w:r>
      <w:r w:rsidR="00095581" w:rsidRPr="0076178E">
        <w:rPr>
          <w:rFonts w:ascii="Times New Roman" w:hAnsi="Times New Roman" w:cs="Times New Roman"/>
          <w:b/>
          <w:iCs/>
          <w:sz w:val="24"/>
          <w:szCs w:val="24"/>
          <w:lang w:val="en-US"/>
        </w:rPr>
        <w:t>inoculation.</w:t>
      </w:r>
      <w:r w:rsidR="00AE4BB0" w:rsidRPr="00AE4BB0">
        <w:rPr>
          <w:rFonts w:ascii="Times New Roman" w:hAnsi="Times New Roman" w:cs="Times New Roman"/>
          <w:b/>
          <w:iCs/>
          <w:sz w:val="24"/>
          <w:szCs w:val="24"/>
          <w:lang w:val="en-US"/>
        </w:rPr>
        <w:t xml:space="preserve"> </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795"/>
        <w:gridCol w:w="1795"/>
        <w:gridCol w:w="1795"/>
        <w:gridCol w:w="1795"/>
      </w:tblGrid>
      <w:tr w:rsidR="00095581" w:rsidRPr="00095581" w:rsidTr="00095581">
        <w:trPr>
          <w:trHeight w:val="617"/>
        </w:trPr>
        <w:tc>
          <w:tcPr>
            <w:tcW w:w="1794" w:type="dxa"/>
            <w:shd w:val="clear" w:color="auto" w:fill="auto"/>
            <w:noWrap/>
            <w:vAlign w:val="bottom"/>
            <w:hideMark/>
          </w:tcPr>
          <w:p w:rsidR="00095581" w:rsidRPr="00095581" w:rsidRDefault="00095581" w:rsidP="00095581">
            <w:pPr>
              <w:jc w:val="center"/>
              <w:rPr>
                <w:rFonts w:ascii="Times New Roman" w:hAnsi="Times New Roman" w:cs="Times New Roman"/>
                <w:bCs/>
                <w:sz w:val="24"/>
                <w:szCs w:val="24"/>
              </w:rPr>
            </w:pPr>
            <w:r w:rsidRPr="00095581">
              <w:rPr>
                <w:rFonts w:ascii="Times New Roman" w:hAnsi="Times New Roman" w:cs="Times New Roman"/>
                <w:bCs/>
                <w:sz w:val="24"/>
                <w:szCs w:val="24"/>
              </w:rPr>
              <w:t>Virus</w:t>
            </w:r>
            <w:r w:rsidR="0076178E">
              <w:rPr>
                <w:rFonts w:ascii="Times New Roman" w:hAnsi="Times New Roman" w:cs="Times New Roman"/>
                <w:bCs/>
                <w:sz w:val="24"/>
                <w:szCs w:val="24"/>
              </w:rPr>
              <w:t xml:space="preserve"> (genotype)</w:t>
            </w:r>
          </w:p>
        </w:tc>
        <w:tc>
          <w:tcPr>
            <w:tcW w:w="1795" w:type="dxa"/>
            <w:shd w:val="clear" w:color="auto" w:fill="auto"/>
            <w:noWrap/>
            <w:vAlign w:val="bottom"/>
            <w:hideMark/>
          </w:tcPr>
          <w:p w:rsidR="00095581" w:rsidRPr="00095581" w:rsidRDefault="00095581" w:rsidP="00095581">
            <w:pPr>
              <w:jc w:val="center"/>
              <w:rPr>
                <w:rFonts w:ascii="Times New Roman" w:hAnsi="Times New Roman" w:cs="Times New Roman"/>
                <w:bCs/>
                <w:sz w:val="24"/>
                <w:szCs w:val="24"/>
              </w:rPr>
            </w:pPr>
            <w:r w:rsidRPr="00095581">
              <w:rPr>
                <w:rFonts w:ascii="Times New Roman" w:hAnsi="Times New Roman" w:cs="Times New Roman"/>
                <w:bCs/>
                <w:sz w:val="24"/>
                <w:szCs w:val="24"/>
              </w:rPr>
              <w:t>Dose</w:t>
            </w:r>
          </w:p>
          <w:p w:rsidR="00095581" w:rsidRPr="00095581" w:rsidRDefault="00095581" w:rsidP="00095581">
            <w:pPr>
              <w:jc w:val="center"/>
              <w:rPr>
                <w:rFonts w:ascii="Times New Roman" w:hAnsi="Times New Roman" w:cs="Times New Roman"/>
                <w:bCs/>
                <w:sz w:val="24"/>
                <w:szCs w:val="24"/>
              </w:rPr>
            </w:pPr>
            <w:r w:rsidRPr="00095581">
              <w:rPr>
                <w:rFonts w:ascii="Times New Roman" w:hAnsi="Times New Roman" w:cs="Times New Roman"/>
                <w:bCs/>
                <w:sz w:val="24"/>
                <w:szCs w:val="24"/>
              </w:rPr>
              <w:t>(Log</w:t>
            </w:r>
            <w:r w:rsidRPr="00095581">
              <w:rPr>
                <w:rFonts w:ascii="Times New Roman" w:hAnsi="Times New Roman" w:cs="Times New Roman"/>
                <w:bCs/>
                <w:sz w:val="24"/>
                <w:szCs w:val="24"/>
                <w:vertAlign w:val="subscript"/>
              </w:rPr>
              <w:t>10</w:t>
            </w:r>
            <w:r w:rsidRPr="00095581">
              <w:rPr>
                <w:rFonts w:ascii="Times New Roman" w:hAnsi="Times New Roman" w:cs="Times New Roman"/>
                <w:bCs/>
                <w:sz w:val="24"/>
                <w:szCs w:val="24"/>
              </w:rPr>
              <w:t xml:space="preserve"> TCID</w:t>
            </w:r>
            <w:r w:rsidRPr="00095581">
              <w:rPr>
                <w:rFonts w:ascii="Times New Roman" w:hAnsi="Times New Roman" w:cs="Times New Roman"/>
                <w:bCs/>
                <w:sz w:val="24"/>
                <w:szCs w:val="24"/>
                <w:vertAlign w:val="subscript"/>
              </w:rPr>
              <w:t>50</w:t>
            </w:r>
            <w:r w:rsidRPr="00095581">
              <w:rPr>
                <w:rFonts w:ascii="Times New Roman" w:hAnsi="Times New Roman" w:cs="Times New Roman"/>
                <w:bCs/>
                <w:sz w:val="24"/>
                <w:szCs w:val="24"/>
              </w:rPr>
              <w:t>)</w:t>
            </w:r>
          </w:p>
        </w:tc>
        <w:tc>
          <w:tcPr>
            <w:tcW w:w="1795" w:type="dxa"/>
            <w:shd w:val="clear" w:color="auto" w:fill="auto"/>
            <w:noWrap/>
            <w:vAlign w:val="bottom"/>
            <w:hideMark/>
          </w:tcPr>
          <w:p w:rsidR="00095581" w:rsidRPr="00095581" w:rsidRDefault="00095581" w:rsidP="00095581">
            <w:pPr>
              <w:jc w:val="center"/>
              <w:rPr>
                <w:rFonts w:ascii="Times New Roman" w:hAnsi="Times New Roman" w:cs="Times New Roman"/>
                <w:bCs/>
                <w:sz w:val="24"/>
                <w:szCs w:val="24"/>
              </w:rPr>
            </w:pPr>
            <w:r w:rsidRPr="00095581">
              <w:rPr>
                <w:rFonts w:ascii="Times New Roman" w:hAnsi="Times New Roman" w:cs="Times New Roman"/>
                <w:bCs/>
                <w:sz w:val="24"/>
                <w:szCs w:val="24"/>
              </w:rPr>
              <w:t>Mortality (%)</w:t>
            </w:r>
          </w:p>
        </w:tc>
        <w:tc>
          <w:tcPr>
            <w:tcW w:w="1795" w:type="dxa"/>
            <w:shd w:val="clear" w:color="auto" w:fill="auto"/>
            <w:noWrap/>
            <w:vAlign w:val="bottom"/>
            <w:hideMark/>
          </w:tcPr>
          <w:p w:rsidR="00095581" w:rsidRPr="00AE4BB0" w:rsidRDefault="00095581" w:rsidP="00095581">
            <w:pPr>
              <w:jc w:val="center"/>
              <w:rPr>
                <w:rFonts w:ascii="Times New Roman" w:hAnsi="Times New Roman" w:cs="Times New Roman"/>
                <w:bCs/>
                <w:sz w:val="24"/>
                <w:szCs w:val="24"/>
                <w:vertAlign w:val="superscript"/>
              </w:rPr>
            </w:pPr>
            <w:proofErr w:type="spellStart"/>
            <w:r w:rsidRPr="00095581">
              <w:rPr>
                <w:rFonts w:ascii="Times New Roman" w:hAnsi="Times New Roman" w:cs="Times New Roman"/>
                <w:bCs/>
                <w:sz w:val="24"/>
                <w:szCs w:val="24"/>
              </w:rPr>
              <w:t>AST</w:t>
            </w:r>
            <w:r w:rsidR="00AE4BB0">
              <w:rPr>
                <w:rFonts w:ascii="Times New Roman" w:hAnsi="Times New Roman" w:cs="Times New Roman"/>
                <w:bCs/>
                <w:sz w:val="24"/>
                <w:szCs w:val="24"/>
                <w:vertAlign w:val="superscript"/>
              </w:rPr>
              <w:t>a</w:t>
            </w:r>
            <w:proofErr w:type="spellEnd"/>
          </w:p>
          <w:p w:rsidR="00095581" w:rsidRPr="00095581" w:rsidRDefault="00095581" w:rsidP="00095581">
            <w:pPr>
              <w:jc w:val="center"/>
              <w:rPr>
                <w:rFonts w:ascii="Times New Roman" w:hAnsi="Times New Roman" w:cs="Times New Roman"/>
                <w:bCs/>
                <w:sz w:val="24"/>
                <w:szCs w:val="24"/>
              </w:rPr>
            </w:pPr>
            <w:r w:rsidRPr="00095581">
              <w:rPr>
                <w:rFonts w:ascii="Times New Roman" w:hAnsi="Times New Roman" w:cs="Times New Roman"/>
                <w:bCs/>
                <w:sz w:val="24"/>
                <w:szCs w:val="24"/>
              </w:rPr>
              <w:t>(days)</w:t>
            </w:r>
          </w:p>
        </w:tc>
        <w:tc>
          <w:tcPr>
            <w:tcW w:w="1795" w:type="dxa"/>
            <w:shd w:val="clear" w:color="auto" w:fill="auto"/>
            <w:noWrap/>
            <w:vAlign w:val="bottom"/>
            <w:hideMark/>
          </w:tcPr>
          <w:p w:rsidR="00095581" w:rsidRPr="00AE4BB0" w:rsidRDefault="00095581" w:rsidP="00095581">
            <w:pPr>
              <w:jc w:val="center"/>
              <w:rPr>
                <w:rFonts w:ascii="Times New Roman" w:hAnsi="Times New Roman" w:cs="Times New Roman"/>
                <w:bCs/>
                <w:sz w:val="24"/>
                <w:szCs w:val="24"/>
                <w:vertAlign w:val="superscript"/>
              </w:rPr>
            </w:pPr>
            <w:r w:rsidRPr="00095581">
              <w:rPr>
                <w:rFonts w:ascii="Times New Roman" w:hAnsi="Times New Roman" w:cs="Times New Roman"/>
                <w:bCs/>
                <w:sz w:val="24"/>
                <w:szCs w:val="24"/>
              </w:rPr>
              <w:t>HD</w:t>
            </w:r>
            <w:r w:rsidRPr="00095581">
              <w:rPr>
                <w:rFonts w:ascii="Times New Roman" w:hAnsi="Times New Roman" w:cs="Times New Roman"/>
                <w:bCs/>
                <w:sz w:val="24"/>
                <w:szCs w:val="24"/>
                <w:vertAlign w:val="subscript"/>
              </w:rPr>
              <w:t>50</w:t>
            </w:r>
            <w:r w:rsidR="00AE4BB0">
              <w:rPr>
                <w:rFonts w:ascii="Times New Roman" w:hAnsi="Times New Roman" w:cs="Times New Roman"/>
                <w:bCs/>
                <w:sz w:val="24"/>
                <w:szCs w:val="24"/>
                <w:vertAlign w:val="superscript"/>
              </w:rPr>
              <w:t>c</w:t>
            </w:r>
          </w:p>
          <w:p w:rsidR="00095581" w:rsidRPr="00095581" w:rsidRDefault="00095581" w:rsidP="00095581">
            <w:pPr>
              <w:jc w:val="center"/>
              <w:rPr>
                <w:rFonts w:ascii="Times New Roman" w:hAnsi="Times New Roman" w:cs="Times New Roman"/>
                <w:bCs/>
                <w:sz w:val="24"/>
                <w:szCs w:val="24"/>
              </w:rPr>
            </w:pPr>
            <w:r w:rsidRPr="00095581">
              <w:rPr>
                <w:rFonts w:ascii="Times New Roman" w:hAnsi="Times New Roman" w:cs="Times New Roman"/>
                <w:bCs/>
                <w:sz w:val="24"/>
                <w:szCs w:val="24"/>
              </w:rPr>
              <w:t>(Log</w:t>
            </w:r>
            <w:r w:rsidRPr="00095581">
              <w:rPr>
                <w:rFonts w:ascii="Times New Roman" w:hAnsi="Times New Roman" w:cs="Times New Roman"/>
                <w:bCs/>
                <w:sz w:val="24"/>
                <w:szCs w:val="24"/>
                <w:vertAlign w:val="subscript"/>
              </w:rPr>
              <w:t xml:space="preserve">10 </w:t>
            </w:r>
            <w:r w:rsidRPr="00095581">
              <w:rPr>
                <w:rFonts w:ascii="Times New Roman" w:hAnsi="Times New Roman" w:cs="Times New Roman"/>
                <w:bCs/>
                <w:sz w:val="24"/>
                <w:szCs w:val="24"/>
              </w:rPr>
              <w:t>TCID</w:t>
            </w:r>
            <w:r w:rsidRPr="00095581">
              <w:rPr>
                <w:rFonts w:ascii="Times New Roman" w:hAnsi="Times New Roman" w:cs="Times New Roman"/>
                <w:bCs/>
                <w:sz w:val="24"/>
                <w:szCs w:val="24"/>
                <w:vertAlign w:val="subscript"/>
              </w:rPr>
              <w:t>50</w:t>
            </w:r>
            <w:r w:rsidRPr="00095581">
              <w:rPr>
                <w:rFonts w:ascii="Times New Roman" w:hAnsi="Times New Roman" w:cs="Times New Roman"/>
                <w:bCs/>
                <w:sz w:val="24"/>
                <w:szCs w:val="24"/>
              </w:rPr>
              <w:t>)</w:t>
            </w:r>
          </w:p>
        </w:tc>
      </w:tr>
      <w:tr w:rsidR="0076178E" w:rsidRPr="00095581" w:rsidTr="0076178E">
        <w:trPr>
          <w:trHeight w:val="288"/>
        </w:trPr>
        <w:tc>
          <w:tcPr>
            <w:tcW w:w="1794" w:type="dxa"/>
            <w:vMerge w:val="restart"/>
            <w:shd w:val="clear" w:color="auto" w:fill="auto"/>
            <w:noWrap/>
          </w:tcPr>
          <w:p w:rsidR="0076178E" w:rsidRPr="0076178E" w:rsidRDefault="0076178E" w:rsidP="0076178E">
            <w:pPr>
              <w:spacing w:line="312" w:lineRule="auto"/>
              <w:rPr>
                <w:rFonts w:ascii="Times New Roman" w:eastAsia="Times New Roman" w:hAnsi="Times New Roman" w:cs="Times New Roman"/>
                <w:color w:val="000000"/>
                <w:sz w:val="24"/>
                <w:szCs w:val="24"/>
                <w:lang w:eastAsia="en-AU"/>
              </w:rPr>
            </w:pPr>
            <w:r w:rsidRPr="0076178E">
              <w:rPr>
                <w:rFonts w:ascii="Times New Roman" w:eastAsia="Times New Roman" w:hAnsi="Times New Roman" w:cs="Times New Roman"/>
                <w:color w:val="000000"/>
                <w:sz w:val="24"/>
                <w:szCs w:val="24"/>
                <w:lang w:eastAsia="en-AU"/>
              </w:rPr>
              <w:t>MVE-1-51 (G1)</w:t>
            </w:r>
          </w:p>
        </w:tc>
        <w:tc>
          <w:tcPr>
            <w:tcW w:w="1795" w:type="dxa"/>
            <w:shd w:val="clear" w:color="auto" w:fill="auto"/>
            <w:noWrap/>
          </w:tcPr>
          <w:p w:rsidR="0076178E" w:rsidRPr="0076178E" w:rsidRDefault="0076178E" w:rsidP="0076178E">
            <w:pPr>
              <w:spacing w:line="312" w:lineRule="auto"/>
              <w:jc w:val="center"/>
              <w:rPr>
                <w:rFonts w:ascii="Times New Roman" w:eastAsia="Times New Roman" w:hAnsi="Times New Roman" w:cs="Times New Roman"/>
                <w:color w:val="000000"/>
                <w:sz w:val="24"/>
                <w:szCs w:val="24"/>
                <w:lang w:eastAsia="en-AU"/>
              </w:rPr>
            </w:pPr>
            <w:r w:rsidRPr="0076178E">
              <w:rPr>
                <w:rFonts w:ascii="Times New Roman" w:eastAsia="Times New Roman" w:hAnsi="Times New Roman" w:cs="Times New Roman"/>
                <w:color w:val="000000"/>
                <w:sz w:val="24"/>
                <w:szCs w:val="24"/>
                <w:lang w:eastAsia="en-AU"/>
              </w:rPr>
              <w:t>0</w:t>
            </w:r>
          </w:p>
        </w:tc>
        <w:tc>
          <w:tcPr>
            <w:tcW w:w="1795" w:type="dxa"/>
            <w:shd w:val="clear" w:color="auto" w:fill="auto"/>
            <w:noWrap/>
          </w:tcPr>
          <w:p w:rsidR="0076178E" w:rsidRPr="0076178E" w:rsidRDefault="0076178E" w:rsidP="0076178E">
            <w:pPr>
              <w:spacing w:line="312" w:lineRule="auto"/>
              <w:jc w:val="center"/>
              <w:rPr>
                <w:rFonts w:ascii="Times New Roman" w:eastAsia="Times New Roman" w:hAnsi="Times New Roman" w:cs="Times New Roman"/>
                <w:color w:val="000000"/>
                <w:sz w:val="24"/>
                <w:szCs w:val="24"/>
                <w:lang w:eastAsia="en-AU"/>
              </w:rPr>
            </w:pPr>
            <w:r w:rsidRPr="0076178E">
              <w:rPr>
                <w:rFonts w:ascii="Times New Roman" w:eastAsia="Times New Roman" w:hAnsi="Times New Roman" w:cs="Times New Roman"/>
                <w:color w:val="000000"/>
                <w:sz w:val="24"/>
                <w:szCs w:val="24"/>
                <w:lang w:eastAsia="en-AU"/>
              </w:rPr>
              <w:t>0/6 (0%)</w:t>
            </w:r>
          </w:p>
        </w:tc>
        <w:tc>
          <w:tcPr>
            <w:tcW w:w="1795" w:type="dxa"/>
            <w:shd w:val="clear" w:color="auto" w:fill="auto"/>
            <w:noWrap/>
          </w:tcPr>
          <w:p w:rsidR="0076178E" w:rsidRPr="0076178E" w:rsidRDefault="0076178E" w:rsidP="0076178E">
            <w:pPr>
              <w:spacing w:line="312" w:lineRule="auto"/>
              <w:jc w:val="center"/>
              <w:rPr>
                <w:rFonts w:ascii="Times New Roman" w:eastAsia="Times New Roman" w:hAnsi="Times New Roman" w:cs="Times New Roman"/>
                <w:color w:val="000000"/>
                <w:sz w:val="24"/>
                <w:szCs w:val="24"/>
                <w:lang w:eastAsia="en-AU"/>
              </w:rPr>
            </w:pPr>
            <w:r w:rsidRPr="0076178E">
              <w:rPr>
                <w:rFonts w:ascii="Times New Roman" w:eastAsia="Times New Roman" w:hAnsi="Times New Roman" w:cs="Times New Roman"/>
                <w:color w:val="000000"/>
                <w:sz w:val="24"/>
                <w:szCs w:val="24"/>
                <w:lang w:eastAsia="en-AU"/>
              </w:rPr>
              <w:t>N/A</w:t>
            </w:r>
          </w:p>
        </w:tc>
        <w:tc>
          <w:tcPr>
            <w:tcW w:w="1795" w:type="dxa"/>
            <w:vMerge w:val="restart"/>
            <w:shd w:val="clear" w:color="auto" w:fill="auto"/>
            <w:noWrap/>
          </w:tcPr>
          <w:p w:rsidR="0076178E" w:rsidRPr="0076178E" w:rsidRDefault="0076178E" w:rsidP="0076178E">
            <w:pPr>
              <w:jc w:val="center"/>
              <w:rPr>
                <w:rFonts w:ascii="Times New Roman" w:hAnsi="Times New Roman" w:cs="Times New Roman"/>
                <w:sz w:val="24"/>
                <w:szCs w:val="24"/>
              </w:rPr>
            </w:pPr>
            <w:r>
              <w:rPr>
                <w:rFonts w:ascii="Times New Roman" w:hAnsi="Times New Roman" w:cs="Times New Roman"/>
                <w:sz w:val="24"/>
                <w:szCs w:val="24"/>
              </w:rPr>
              <w:t>0.88</w:t>
            </w:r>
          </w:p>
        </w:tc>
      </w:tr>
      <w:tr w:rsidR="0076178E" w:rsidRPr="00095581" w:rsidTr="0076178E">
        <w:trPr>
          <w:trHeight w:val="288"/>
        </w:trPr>
        <w:tc>
          <w:tcPr>
            <w:tcW w:w="1794" w:type="dxa"/>
            <w:vMerge/>
            <w:shd w:val="clear" w:color="auto" w:fill="auto"/>
            <w:noWrap/>
          </w:tcPr>
          <w:p w:rsidR="0076178E" w:rsidRPr="0076178E" w:rsidRDefault="0076178E" w:rsidP="0076178E">
            <w:pPr>
              <w:jc w:val="center"/>
              <w:rPr>
                <w:rFonts w:ascii="Times New Roman" w:hAnsi="Times New Roman" w:cs="Times New Roman"/>
                <w:sz w:val="24"/>
                <w:szCs w:val="24"/>
              </w:rPr>
            </w:pPr>
          </w:p>
        </w:tc>
        <w:tc>
          <w:tcPr>
            <w:tcW w:w="1795" w:type="dxa"/>
            <w:shd w:val="clear" w:color="auto" w:fill="auto"/>
            <w:noWrap/>
          </w:tcPr>
          <w:p w:rsidR="0076178E" w:rsidRPr="0076178E" w:rsidRDefault="0076178E" w:rsidP="0076178E">
            <w:pPr>
              <w:jc w:val="center"/>
              <w:rPr>
                <w:rFonts w:ascii="Times New Roman" w:hAnsi="Times New Roman" w:cs="Times New Roman"/>
                <w:sz w:val="24"/>
                <w:szCs w:val="24"/>
              </w:rPr>
            </w:pPr>
            <w:r w:rsidRPr="0076178E">
              <w:rPr>
                <w:rFonts w:ascii="Times New Roman" w:eastAsia="Times New Roman" w:hAnsi="Times New Roman" w:cs="Times New Roman"/>
                <w:color w:val="000000"/>
                <w:sz w:val="24"/>
                <w:szCs w:val="24"/>
                <w:lang w:eastAsia="en-AU"/>
              </w:rPr>
              <w:t>1</w:t>
            </w:r>
          </w:p>
        </w:tc>
        <w:tc>
          <w:tcPr>
            <w:tcW w:w="1795" w:type="dxa"/>
            <w:shd w:val="clear" w:color="auto" w:fill="auto"/>
            <w:noWrap/>
          </w:tcPr>
          <w:p w:rsidR="0076178E" w:rsidRPr="0076178E" w:rsidRDefault="0076178E" w:rsidP="0076178E">
            <w:pPr>
              <w:jc w:val="center"/>
              <w:rPr>
                <w:rFonts w:ascii="Times New Roman" w:hAnsi="Times New Roman" w:cs="Times New Roman"/>
                <w:sz w:val="24"/>
                <w:szCs w:val="24"/>
              </w:rPr>
            </w:pPr>
            <w:r w:rsidRPr="0076178E">
              <w:rPr>
                <w:rFonts w:ascii="Times New Roman" w:eastAsia="Times New Roman" w:hAnsi="Times New Roman" w:cs="Times New Roman"/>
                <w:color w:val="000000"/>
                <w:sz w:val="24"/>
                <w:szCs w:val="24"/>
                <w:lang w:eastAsia="en-AU"/>
              </w:rPr>
              <w:t>4/6 (66.7%)</w:t>
            </w:r>
          </w:p>
        </w:tc>
        <w:tc>
          <w:tcPr>
            <w:tcW w:w="1795" w:type="dxa"/>
            <w:shd w:val="clear" w:color="auto" w:fill="auto"/>
            <w:noWrap/>
          </w:tcPr>
          <w:p w:rsidR="0076178E" w:rsidRPr="0076178E" w:rsidRDefault="0076178E" w:rsidP="0076178E">
            <w:pPr>
              <w:jc w:val="center"/>
              <w:rPr>
                <w:rFonts w:ascii="Times New Roman" w:hAnsi="Times New Roman" w:cs="Times New Roman"/>
                <w:sz w:val="24"/>
                <w:szCs w:val="24"/>
              </w:rPr>
            </w:pPr>
            <w:r w:rsidRPr="0076178E">
              <w:rPr>
                <w:rFonts w:ascii="Times New Roman" w:eastAsia="Times New Roman" w:hAnsi="Times New Roman" w:cs="Times New Roman"/>
                <w:color w:val="000000"/>
                <w:sz w:val="24"/>
                <w:szCs w:val="24"/>
                <w:lang w:eastAsia="en-AU"/>
              </w:rPr>
              <w:t>6.3</w:t>
            </w:r>
          </w:p>
        </w:tc>
        <w:tc>
          <w:tcPr>
            <w:tcW w:w="1795" w:type="dxa"/>
            <w:vMerge/>
            <w:shd w:val="clear" w:color="auto" w:fill="auto"/>
            <w:noWrap/>
          </w:tcPr>
          <w:p w:rsidR="0076178E" w:rsidRPr="0076178E" w:rsidRDefault="0076178E" w:rsidP="0076178E">
            <w:pPr>
              <w:jc w:val="center"/>
              <w:rPr>
                <w:rFonts w:ascii="Times New Roman" w:hAnsi="Times New Roman" w:cs="Times New Roman"/>
                <w:sz w:val="24"/>
                <w:szCs w:val="24"/>
              </w:rPr>
            </w:pPr>
          </w:p>
        </w:tc>
      </w:tr>
      <w:tr w:rsidR="0076178E" w:rsidRPr="00095581" w:rsidTr="0076178E">
        <w:trPr>
          <w:trHeight w:val="288"/>
        </w:trPr>
        <w:tc>
          <w:tcPr>
            <w:tcW w:w="1794" w:type="dxa"/>
            <w:vMerge/>
            <w:shd w:val="clear" w:color="auto" w:fill="auto"/>
            <w:noWrap/>
          </w:tcPr>
          <w:p w:rsidR="0076178E" w:rsidRPr="0076178E" w:rsidRDefault="0076178E" w:rsidP="0076178E">
            <w:pPr>
              <w:jc w:val="center"/>
              <w:rPr>
                <w:rFonts w:ascii="Times New Roman" w:hAnsi="Times New Roman" w:cs="Times New Roman"/>
                <w:sz w:val="24"/>
                <w:szCs w:val="24"/>
              </w:rPr>
            </w:pPr>
          </w:p>
        </w:tc>
        <w:tc>
          <w:tcPr>
            <w:tcW w:w="1795" w:type="dxa"/>
            <w:shd w:val="clear" w:color="auto" w:fill="auto"/>
            <w:noWrap/>
          </w:tcPr>
          <w:p w:rsidR="0076178E" w:rsidRPr="0076178E" w:rsidRDefault="0076178E" w:rsidP="0076178E">
            <w:pPr>
              <w:jc w:val="center"/>
              <w:rPr>
                <w:rFonts w:ascii="Times New Roman" w:hAnsi="Times New Roman" w:cs="Times New Roman"/>
                <w:sz w:val="24"/>
                <w:szCs w:val="24"/>
              </w:rPr>
            </w:pPr>
            <w:r w:rsidRPr="0076178E">
              <w:rPr>
                <w:rFonts w:ascii="Times New Roman" w:eastAsia="Times New Roman" w:hAnsi="Times New Roman" w:cs="Times New Roman"/>
                <w:color w:val="000000"/>
                <w:sz w:val="24"/>
                <w:szCs w:val="24"/>
                <w:lang w:eastAsia="en-AU"/>
              </w:rPr>
              <w:t>2</w:t>
            </w:r>
          </w:p>
        </w:tc>
        <w:tc>
          <w:tcPr>
            <w:tcW w:w="1795" w:type="dxa"/>
            <w:shd w:val="clear" w:color="auto" w:fill="auto"/>
            <w:noWrap/>
          </w:tcPr>
          <w:p w:rsidR="0076178E" w:rsidRPr="0076178E" w:rsidRDefault="0076178E" w:rsidP="0076178E">
            <w:pPr>
              <w:jc w:val="center"/>
              <w:rPr>
                <w:rFonts w:ascii="Times New Roman" w:hAnsi="Times New Roman" w:cs="Times New Roman"/>
                <w:sz w:val="24"/>
                <w:szCs w:val="24"/>
              </w:rPr>
            </w:pPr>
            <w:r w:rsidRPr="0076178E">
              <w:rPr>
                <w:rFonts w:ascii="Times New Roman" w:eastAsia="Times New Roman" w:hAnsi="Times New Roman" w:cs="Times New Roman"/>
                <w:color w:val="000000"/>
                <w:sz w:val="24"/>
                <w:szCs w:val="24"/>
                <w:lang w:eastAsia="en-AU"/>
              </w:rPr>
              <w:t>5/6 (83.3%)</w:t>
            </w:r>
          </w:p>
        </w:tc>
        <w:tc>
          <w:tcPr>
            <w:tcW w:w="1795" w:type="dxa"/>
            <w:shd w:val="clear" w:color="auto" w:fill="auto"/>
            <w:noWrap/>
          </w:tcPr>
          <w:p w:rsidR="0076178E" w:rsidRPr="0076178E" w:rsidRDefault="0076178E" w:rsidP="0076178E">
            <w:pPr>
              <w:jc w:val="center"/>
              <w:rPr>
                <w:rFonts w:ascii="Times New Roman" w:hAnsi="Times New Roman" w:cs="Times New Roman"/>
                <w:sz w:val="24"/>
                <w:szCs w:val="24"/>
              </w:rPr>
            </w:pPr>
            <w:r w:rsidRPr="0076178E">
              <w:rPr>
                <w:rFonts w:ascii="Times New Roman" w:eastAsia="Times New Roman" w:hAnsi="Times New Roman" w:cs="Times New Roman"/>
                <w:color w:val="000000"/>
                <w:sz w:val="24"/>
                <w:szCs w:val="24"/>
                <w:lang w:eastAsia="en-AU"/>
              </w:rPr>
              <w:t>5.2</w:t>
            </w:r>
          </w:p>
        </w:tc>
        <w:tc>
          <w:tcPr>
            <w:tcW w:w="1795" w:type="dxa"/>
            <w:vMerge/>
            <w:shd w:val="clear" w:color="auto" w:fill="auto"/>
            <w:noWrap/>
          </w:tcPr>
          <w:p w:rsidR="0076178E" w:rsidRPr="0076178E" w:rsidRDefault="0076178E" w:rsidP="0076178E">
            <w:pPr>
              <w:jc w:val="center"/>
              <w:rPr>
                <w:rFonts w:ascii="Times New Roman" w:hAnsi="Times New Roman" w:cs="Times New Roman"/>
                <w:sz w:val="24"/>
                <w:szCs w:val="24"/>
              </w:rPr>
            </w:pPr>
          </w:p>
        </w:tc>
      </w:tr>
      <w:tr w:rsidR="0076178E" w:rsidRPr="00095581" w:rsidTr="00095581">
        <w:trPr>
          <w:trHeight w:val="288"/>
        </w:trPr>
        <w:tc>
          <w:tcPr>
            <w:tcW w:w="1794" w:type="dxa"/>
            <w:vMerge w:val="restart"/>
            <w:shd w:val="clear" w:color="auto" w:fill="auto"/>
            <w:noWrap/>
          </w:tcPr>
          <w:p w:rsidR="0076178E" w:rsidRPr="0076178E" w:rsidRDefault="0076178E" w:rsidP="0076178E">
            <w:pPr>
              <w:jc w:val="center"/>
              <w:rPr>
                <w:rFonts w:ascii="Times New Roman" w:hAnsi="Times New Roman" w:cs="Times New Roman"/>
                <w:sz w:val="24"/>
                <w:szCs w:val="24"/>
              </w:rPr>
            </w:pPr>
            <w:r w:rsidRPr="0076178E">
              <w:rPr>
                <w:rFonts w:ascii="Times New Roman" w:hAnsi="Times New Roman" w:cs="Times New Roman"/>
                <w:sz w:val="24"/>
                <w:szCs w:val="24"/>
              </w:rPr>
              <w:t>OR156 (G2)</w:t>
            </w:r>
          </w:p>
        </w:tc>
        <w:tc>
          <w:tcPr>
            <w:tcW w:w="1795" w:type="dxa"/>
            <w:shd w:val="clear" w:color="auto" w:fill="auto"/>
            <w:noWrap/>
          </w:tcPr>
          <w:p w:rsidR="0076178E" w:rsidRPr="0076178E" w:rsidRDefault="0076178E" w:rsidP="0076178E">
            <w:pPr>
              <w:jc w:val="center"/>
              <w:rPr>
                <w:rFonts w:ascii="Times New Roman" w:hAnsi="Times New Roman" w:cs="Times New Roman"/>
                <w:sz w:val="24"/>
                <w:szCs w:val="24"/>
              </w:rPr>
            </w:pPr>
            <w:r w:rsidRPr="0076178E">
              <w:rPr>
                <w:rFonts w:ascii="Times New Roman" w:hAnsi="Times New Roman" w:cs="Times New Roman"/>
                <w:sz w:val="24"/>
                <w:szCs w:val="24"/>
              </w:rPr>
              <w:t>2</w:t>
            </w:r>
          </w:p>
        </w:tc>
        <w:tc>
          <w:tcPr>
            <w:tcW w:w="1795" w:type="dxa"/>
            <w:shd w:val="clear" w:color="auto" w:fill="auto"/>
            <w:noWrap/>
          </w:tcPr>
          <w:p w:rsidR="0076178E" w:rsidRPr="0076178E" w:rsidRDefault="0076178E" w:rsidP="0076178E">
            <w:pPr>
              <w:jc w:val="center"/>
              <w:rPr>
                <w:rFonts w:ascii="Times New Roman" w:hAnsi="Times New Roman" w:cs="Times New Roman"/>
                <w:sz w:val="24"/>
                <w:szCs w:val="24"/>
              </w:rPr>
            </w:pPr>
            <w:r w:rsidRPr="0076178E">
              <w:rPr>
                <w:rFonts w:ascii="Times New Roman" w:hAnsi="Times New Roman" w:cs="Times New Roman"/>
                <w:sz w:val="24"/>
                <w:szCs w:val="24"/>
              </w:rPr>
              <w:t>1/6 (16.7%)</w:t>
            </w:r>
          </w:p>
        </w:tc>
        <w:tc>
          <w:tcPr>
            <w:tcW w:w="1795" w:type="dxa"/>
            <w:shd w:val="clear" w:color="auto" w:fill="auto"/>
            <w:noWrap/>
          </w:tcPr>
          <w:p w:rsidR="0076178E" w:rsidRPr="00AE4BB0" w:rsidRDefault="0076178E" w:rsidP="0076178E">
            <w:pPr>
              <w:jc w:val="center"/>
              <w:rPr>
                <w:rFonts w:ascii="Times New Roman" w:hAnsi="Times New Roman" w:cs="Times New Roman"/>
                <w:sz w:val="24"/>
                <w:szCs w:val="24"/>
                <w:vertAlign w:val="superscript"/>
              </w:rPr>
            </w:pPr>
            <w:r w:rsidRPr="0076178E">
              <w:rPr>
                <w:rFonts w:ascii="Times New Roman" w:hAnsi="Times New Roman" w:cs="Times New Roman"/>
                <w:sz w:val="24"/>
                <w:szCs w:val="24"/>
              </w:rPr>
              <w:t>12.0</w:t>
            </w:r>
            <w:r w:rsidR="00AE4BB0">
              <w:rPr>
                <w:rFonts w:ascii="Times New Roman" w:hAnsi="Times New Roman" w:cs="Times New Roman"/>
                <w:b/>
                <w:bCs/>
                <w:sz w:val="24"/>
                <w:szCs w:val="24"/>
                <w:vertAlign w:val="superscript"/>
              </w:rPr>
              <w:t>b</w:t>
            </w:r>
          </w:p>
        </w:tc>
        <w:tc>
          <w:tcPr>
            <w:tcW w:w="1795" w:type="dxa"/>
            <w:vMerge w:val="restart"/>
            <w:shd w:val="clear" w:color="auto" w:fill="auto"/>
            <w:noWrap/>
          </w:tcPr>
          <w:p w:rsidR="0076178E" w:rsidRPr="0076178E" w:rsidRDefault="0076178E" w:rsidP="0076178E">
            <w:pPr>
              <w:jc w:val="center"/>
              <w:rPr>
                <w:rFonts w:ascii="Times New Roman" w:hAnsi="Times New Roman" w:cs="Times New Roman"/>
                <w:sz w:val="24"/>
                <w:szCs w:val="24"/>
              </w:rPr>
            </w:pPr>
            <w:r w:rsidRPr="00095581">
              <w:rPr>
                <w:rFonts w:ascii="Times New Roman" w:hAnsi="Times New Roman" w:cs="Times New Roman"/>
                <w:sz w:val="24"/>
                <w:szCs w:val="24"/>
              </w:rPr>
              <w:t>&gt;4.00</w:t>
            </w:r>
          </w:p>
        </w:tc>
      </w:tr>
      <w:tr w:rsidR="0076178E" w:rsidRPr="00095581" w:rsidTr="00095581">
        <w:trPr>
          <w:trHeight w:val="288"/>
        </w:trPr>
        <w:tc>
          <w:tcPr>
            <w:tcW w:w="1794" w:type="dxa"/>
            <w:vMerge/>
            <w:shd w:val="clear" w:color="auto" w:fill="auto"/>
            <w:noWrap/>
          </w:tcPr>
          <w:p w:rsidR="0076178E" w:rsidRPr="00095581" w:rsidRDefault="0076178E" w:rsidP="0076178E">
            <w:pPr>
              <w:jc w:val="center"/>
              <w:rPr>
                <w:rFonts w:ascii="Times New Roman" w:hAnsi="Times New Roman" w:cs="Times New Roman"/>
                <w:sz w:val="24"/>
                <w:szCs w:val="24"/>
              </w:rPr>
            </w:pPr>
          </w:p>
        </w:tc>
        <w:tc>
          <w:tcPr>
            <w:tcW w:w="1795" w:type="dxa"/>
            <w:shd w:val="clear" w:color="auto" w:fill="auto"/>
            <w:noWrap/>
          </w:tcPr>
          <w:p w:rsidR="0076178E" w:rsidRPr="00095581" w:rsidRDefault="0076178E" w:rsidP="0076178E">
            <w:pPr>
              <w:jc w:val="center"/>
              <w:rPr>
                <w:rFonts w:ascii="Times New Roman" w:hAnsi="Times New Roman" w:cs="Times New Roman"/>
                <w:sz w:val="24"/>
                <w:szCs w:val="24"/>
              </w:rPr>
            </w:pPr>
            <w:r w:rsidRPr="00095581">
              <w:rPr>
                <w:rFonts w:ascii="Times New Roman" w:hAnsi="Times New Roman" w:cs="Times New Roman"/>
                <w:sz w:val="24"/>
                <w:szCs w:val="24"/>
              </w:rPr>
              <w:t>3</w:t>
            </w:r>
          </w:p>
        </w:tc>
        <w:tc>
          <w:tcPr>
            <w:tcW w:w="1795" w:type="dxa"/>
            <w:shd w:val="clear" w:color="auto" w:fill="auto"/>
            <w:noWrap/>
          </w:tcPr>
          <w:p w:rsidR="0076178E" w:rsidRPr="00095581" w:rsidRDefault="0076178E" w:rsidP="0076178E">
            <w:pPr>
              <w:jc w:val="center"/>
              <w:rPr>
                <w:rFonts w:ascii="Times New Roman" w:hAnsi="Times New Roman" w:cs="Times New Roman"/>
                <w:sz w:val="24"/>
                <w:szCs w:val="24"/>
              </w:rPr>
            </w:pPr>
            <w:r w:rsidRPr="00095581">
              <w:rPr>
                <w:rFonts w:ascii="Times New Roman" w:hAnsi="Times New Roman" w:cs="Times New Roman"/>
                <w:sz w:val="24"/>
                <w:szCs w:val="24"/>
              </w:rPr>
              <w:t>0/6 (0%)</w:t>
            </w:r>
          </w:p>
        </w:tc>
        <w:tc>
          <w:tcPr>
            <w:tcW w:w="1795" w:type="dxa"/>
            <w:shd w:val="clear" w:color="auto" w:fill="auto"/>
            <w:noWrap/>
          </w:tcPr>
          <w:p w:rsidR="0076178E" w:rsidRPr="00095581" w:rsidRDefault="0076178E" w:rsidP="0076178E">
            <w:pPr>
              <w:jc w:val="center"/>
              <w:rPr>
                <w:rFonts w:ascii="Times New Roman" w:hAnsi="Times New Roman" w:cs="Times New Roman"/>
                <w:sz w:val="24"/>
                <w:szCs w:val="24"/>
              </w:rPr>
            </w:pPr>
            <w:r w:rsidRPr="00095581">
              <w:rPr>
                <w:rFonts w:ascii="Times New Roman" w:hAnsi="Times New Roman" w:cs="Times New Roman"/>
                <w:sz w:val="24"/>
                <w:szCs w:val="24"/>
              </w:rPr>
              <w:t>N/A</w:t>
            </w:r>
          </w:p>
        </w:tc>
        <w:tc>
          <w:tcPr>
            <w:tcW w:w="1795" w:type="dxa"/>
            <w:vMerge/>
            <w:shd w:val="clear" w:color="auto" w:fill="auto"/>
            <w:noWrap/>
          </w:tcPr>
          <w:p w:rsidR="0076178E" w:rsidRPr="00095581" w:rsidRDefault="0076178E" w:rsidP="0076178E">
            <w:pPr>
              <w:jc w:val="center"/>
              <w:rPr>
                <w:rFonts w:ascii="Times New Roman" w:hAnsi="Times New Roman" w:cs="Times New Roman"/>
                <w:sz w:val="24"/>
                <w:szCs w:val="24"/>
              </w:rPr>
            </w:pPr>
          </w:p>
        </w:tc>
      </w:tr>
      <w:tr w:rsidR="0076178E" w:rsidRPr="00095581" w:rsidTr="00095581">
        <w:trPr>
          <w:trHeight w:val="288"/>
        </w:trPr>
        <w:tc>
          <w:tcPr>
            <w:tcW w:w="1794" w:type="dxa"/>
            <w:vMerge/>
            <w:shd w:val="clear" w:color="auto" w:fill="auto"/>
            <w:noWrap/>
          </w:tcPr>
          <w:p w:rsidR="0076178E" w:rsidRPr="00095581" w:rsidRDefault="0076178E" w:rsidP="0076178E">
            <w:pPr>
              <w:jc w:val="center"/>
              <w:rPr>
                <w:rFonts w:ascii="Times New Roman" w:hAnsi="Times New Roman" w:cs="Times New Roman"/>
                <w:sz w:val="24"/>
                <w:szCs w:val="24"/>
              </w:rPr>
            </w:pPr>
          </w:p>
        </w:tc>
        <w:tc>
          <w:tcPr>
            <w:tcW w:w="1795" w:type="dxa"/>
            <w:shd w:val="clear" w:color="auto" w:fill="auto"/>
            <w:noWrap/>
          </w:tcPr>
          <w:p w:rsidR="0076178E" w:rsidRPr="00095581" w:rsidRDefault="0076178E" w:rsidP="0076178E">
            <w:pPr>
              <w:jc w:val="center"/>
              <w:rPr>
                <w:rFonts w:ascii="Times New Roman" w:hAnsi="Times New Roman" w:cs="Times New Roman"/>
                <w:sz w:val="24"/>
                <w:szCs w:val="24"/>
              </w:rPr>
            </w:pPr>
            <w:r w:rsidRPr="00095581">
              <w:rPr>
                <w:rFonts w:ascii="Times New Roman" w:hAnsi="Times New Roman" w:cs="Times New Roman"/>
                <w:sz w:val="24"/>
                <w:szCs w:val="24"/>
              </w:rPr>
              <w:t>4</w:t>
            </w:r>
          </w:p>
        </w:tc>
        <w:tc>
          <w:tcPr>
            <w:tcW w:w="1795" w:type="dxa"/>
            <w:shd w:val="clear" w:color="auto" w:fill="auto"/>
            <w:noWrap/>
          </w:tcPr>
          <w:p w:rsidR="0076178E" w:rsidRPr="00095581" w:rsidRDefault="0076178E" w:rsidP="0076178E">
            <w:pPr>
              <w:jc w:val="center"/>
              <w:rPr>
                <w:rFonts w:ascii="Times New Roman" w:hAnsi="Times New Roman" w:cs="Times New Roman"/>
                <w:sz w:val="24"/>
                <w:szCs w:val="24"/>
              </w:rPr>
            </w:pPr>
            <w:r w:rsidRPr="00095581">
              <w:rPr>
                <w:rFonts w:ascii="Times New Roman" w:hAnsi="Times New Roman" w:cs="Times New Roman"/>
                <w:sz w:val="24"/>
                <w:szCs w:val="24"/>
              </w:rPr>
              <w:t>0/6 (0%)</w:t>
            </w:r>
          </w:p>
        </w:tc>
        <w:tc>
          <w:tcPr>
            <w:tcW w:w="1795" w:type="dxa"/>
            <w:shd w:val="clear" w:color="auto" w:fill="auto"/>
            <w:noWrap/>
          </w:tcPr>
          <w:p w:rsidR="0076178E" w:rsidRPr="00095581" w:rsidRDefault="0076178E" w:rsidP="0076178E">
            <w:pPr>
              <w:jc w:val="center"/>
              <w:rPr>
                <w:rFonts w:ascii="Times New Roman" w:hAnsi="Times New Roman" w:cs="Times New Roman"/>
                <w:sz w:val="24"/>
                <w:szCs w:val="24"/>
              </w:rPr>
            </w:pPr>
            <w:r w:rsidRPr="00095581">
              <w:rPr>
                <w:rFonts w:ascii="Times New Roman" w:hAnsi="Times New Roman" w:cs="Times New Roman"/>
                <w:sz w:val="24"/>
                <w:szCs w:val="24"/>
              </w:rPr>
              <w:t>N/A</w:t>
            </w:r>
          </w:p>
        </w:tc>
        <w:tc>
          <w:tcPr>
            <w:tcW w:w="1795" w:type="dxa"/>
            <w:vMerge/>
            <w:shd w:val="clear" w:color="auto" w:fill="auto"/>
            <w:noWrap/>
          </w:tcPr>
          <w:p w:rsidR="0076178E" w:rsidRPr="00095581" w:rsidRDefault="0076178E" w:rsidP="0076178E">
            <w:pPr>
              <w:jc w:val="center"/>
              <w:rPr>
                <w:rFonts w:ascii="Times New Roman" w:hAnsi="Times New Roman" w:cs="Times New Roman"/>
                <w:sz w:val="24"/>
                <w:szCs w:val="24"/>
              </w:rPr>
            </w:pPr>
          </w:p>
        </w:tc>
      </w:tr>
      <w:tr w:rsidR="0076178E" w:rsidRPr="00095581" w:rsidTr="00095581">
        <w:trPr>
          <w:trHeight w:val="288"/>
        </w:trPr>
        <w:tc>
          <w:tcPr>
            <w:tcW w:w="1794" w:type="dxa"/>
            <w:vMerge w:val="restart"/>
            <w:shd w:val="clear" w:color="auto" w:fill="auto"/>
            <w:noWrap/>
            <w:hideMark/>
          </w:tcPr>
          <w:p w:rsidR="0076178E" w:rsidRPr="00095581" w:rsidRDefault="0076178E" w:rsidP="0076178E">
            <w:pPr>
              <w:jc w:val="center"/>
              <w:rPr>
                <w:rFonts w:ascii="Times New Roman" w:hAnsi="Times New Roman" w:cs="Times New Roman"/>
                <w:sz w:val="24"/>
                <w:szCs w:val="24"/>
              </w:rPr>
            </w:pPr>
            <w:r w:rsidRPr="00095581">
              <w:rPr>
                <w:rFonts w:ascii="Times New Roman" w:hAnsi="Times New Roman" w:cs="Times New Roman"/>
                <w:sz w:val="24"/>
                <w:szCs w:val="24"/>
              </w:rPr>
              <w:t>K59532</w:t>
            </w:r>
            <w:r>
              <w:rPr>
                <w:rFonts w:ascii="Times New Roman" w:hAnsi="Times New Roman" w:cs="Times New Roman"/>
                <w:sz w:val="24"/>
                <w:szCs w:val="24"/>
              </w:rPr>
              <w:t xml:space="preserve"> (G2)</w:t>
            </w:r>
          </w:p>
        </w:tc>
        <w:tc>
          <w:tcPr>
            <w:tcW w:w="1795" w:type="dxa"/>
            <w:shd w:val="clear" w:color="auto" w:fill="auto"/>
            <w:noWrap/>
            <w:hideMark/>
          </w:tcPr>
          <w:p w:rsidR="0076178E" w:rsidRPr="00095581" w:rsidRDefault="0076178E" w:rsidP="0076178E">
            <w:pPr>
              <w:jc w:val="center"/>
              <w:rPr>
                <w:rFonts w:ascii="Times New Roman" w:hAnsi="Times New Roman" w:cs="Times New Roman"/>
                <w:sz w:val="24"/>
                <w:szCs w:val="24"/>
              </w:rPr>
            </w:pPr>
            <w:r w:rsidRPr="00095581">
              <w:rPr>
                <w:rFonts w:ascii="Times New Roman" w:hAnsi="Times New Roman" w:cs="Times New Roman"/>
                <w:sz w:val="24"/>
                <w:szCs w:val="24"/>
              </w:rPr>
              <w:t>2</w:t>
            </w:r>
          </w:p>
        </w:tc>
        <w:tc>
          <w:tcPr>
            <w:tcW w:w="1795" w:type="dxa"/>
            <w:shd w:val="clear" w:color="auto" w:fill="auto"/>
            <w:noWrap/>
            <w:hideMark/>
          </w:tcPr>
          <w:p w:rsidR="0076178E" w:rsidRPr="00095581" w:rsidRDefault="0076178E" w:rsidP="0076178E">
            <w:pPr>
              <w:jc w:val="center"/>
              <w:rPr>
                <w:rFonts w:ascii="Times New Roman" w:hAnsi="Times New Roman" w:cs="Times New Roman"/>
                <w:sz w:val="24"/>
                <w:szCs w:val="24"/>
              </w:rPr>
            </w:pPr>
            <w:r w:rsidRPr="00095581">
              <w:rPr>
                <w:rFonts w:ascii="Times New Roman" w:hAnsi="Times New Roman" w:cs="Times New Roman"/>
                <w:sz w:val="24"/>
                <w:szCs w:val="24"/>
              </w:rPr>
              <w:t>2/6 (33.3%)</w:t>
            </w:r>
          </w:p>
        </w:tc>
        <w:tc>
          <w:tcPr>
            <w:tcW w:w="1795" w:type="dxa"/>
            <w:shd w:val="clear" w:color="auto" w:fill="auto"/>
            <w:noWrap/>
            <w:hideMark/>
          </w:tcPr>
          <w:p w:rsidR="0076178E" w:rsidRPr="00095581" w:rsidRDefault="0076178E" w:rsidP="0076178E">
            <w:pPr>
              <w:jc w:val="center"/>
              <w:rPr>
                <w:rFonts w:ascii="Times New Roman" w:hAnsi="Times New Roman" w:cs="Times New Roman"/>
                <w:sz w:val="24"/>
                <w:szCs w:val="24"/>
              </w:rPr>
            </w:pPr>
            <w:r w:rsidRPr="00095581">
              <w:rPr>
                <w:rFonts w:ascii="Times New Roman" w:hAnsi="Times New Roman" w:cs="Times New Roman"/>
                <w:sz w:val="24"/>
                <w:szCs w:val="24"/>
              </w:rPr>
              <w:t>10.0</w:t>
            </w:r>
          </w:p>
        </w:tc>
        <w:tc>
          <w:tcPr>
            <w:tcW w:w="1795" w:type="dxa"/>
            <w:vMerge w:val="restart"/>
            <w:shd w:val="clear" w:color="auto" w:fill="auto"/>
            <w:noWrap/>
            <w:hideMark/>
          </w:tcPr>
          <w:p w:rsidR="0076178E" w:rsidRPr="00095581" w:rsidRDefault="0076178E" w:rsidP="0076178E">
            <w:pPr>
              <w:jc w:val="center"/>
              <w:rPr>
                <w:rFonts w:ascii="Times New Roman" w:hAnsi="Times New Roman" w:cs="Times New Roman"/>
                <w:sz w:val="24"/>
                <w:szCs w:val="24"/>
              </w:rPr>
            </w:pPr>
            <w:r w:rsidRPr="00095581">
              <w:rPr>
                <w:rFonts w:ascii="Times New Roman" w:hAnsi="Times New Roman" w:cs="Times New Roman"/>
                <w:sz w:val="24"/>
                <w:szCs w:val="24"/>
              </w:rPr>
              <w:t>&gt;4.00</w:t>
            </w:r>
          </w:p>
        </w:tc>
      </w:tr>
      <w:tr w:rsidR="0076178E" w:rsidRPr="00095581" w:rsidTr="00095581">
        <w:trPr>
          <w:trHeight w:val="288"/>
        </w:trPr>
        <w:tc>
          <w:tcPr>
            <w:tcW w:w="1794" w:type="dxa"/>
            <w:vMerge/>
            <w:shd w:val="clear" w:color="auto" w:fill="auto"/>
            <w:noWrap/>
          </w:tcPr>
          <w:p w:rsidR="0076178E" w:rsidRPr="00095581" w:rsidRDefault="0076178E" w:rsidP="0076178E">
            <w:pPr>
              <w:jc w:val="center"/>
              <w:rPr>
                <w:rFonts w:ascii="Times New Roman" w:hAnsi="Times New Roman" w:cs="Times New Roman"/>
                <w:sz w:val="24"/>
                <w:szCs w:val="24"/>
              </w:rPr>
            </w:pPr>
          </w:p>
        </w:tc>
        <w:tc>
          <w:tcPr>
            <w:tcW w:w="1795" w:type="dxa"/>
            <w:shd w:val="clear" w:color="auto" w:fill="auto"/>
            <w:noWrap/>
            <w:hideMark/>
          </w:tcPr>
          <w:p w:rsidR="0076178E" w:rsidRPr="00095581" w:rsidRDefault="0076178E" w:rsidP="0076178E">
            <w:pPr>
              <w:jc w:val="center"/>
              <w:rPr>
                <w:rFonts w:ascii="Times New Roman" w:hAnsi="Times New Roman" w:cs="Times New Roman"/>
                <w:sz w:val="24"/>
                <w:szCs w:val="24"/>
              </w:rPr>
            </w:pPr>
            <w:r w:rsidRPr="00095581">
              <w:rPr>
                <w:rFonts w:ascii="Times New Roman" w:hAnsi="Times New Roman" w:cs="Times New Roman"/>
                <w:sz w:val="24"/>
                <w:szCs w:val="24"/>
              </w:rPr>
              <w:t>3</w:t>
            </w:r>
          </w:p>
        </w:tc>
        <w:tc>
          <w:tcPr>
            <w:tcW w:w="1795" w:type="dxa"/>
            <w:shd w:val="clear" w:color="auto" w:fill="auto"/>
            <w:noWrap/>
            <w:hideMark/>
          </w:tcPr>
          <w:p w:rsidR="0076178E" w:rsidRPr="00095581" w:rsidRDefault="0076178E" w:rsidP="0076178E">
            <w:pPr>
              <w:jc w:val="center"/>
              <w:rPr>
                <w:rFonts w:ascii="Times New Roman" w:hAnsi="Times New Roman" w:cs="Times New Roman"/>
                <w:sz w:val="24"/>
                <w:szCs w:val="24"/>
              </w:rPr>
            </w:pPr>
            <w:r w:rsidRPr="00095581">
              <w:rPr>
                <w:rFonts w:ascii="Times New Roman" w:hAnsi="Times New Roman" w:cs="Times New Roman"/>
                <w:sz w:val="24"/>
                <w:szCs w:val="24"/>
              </w:rPr>
              <w:t>1/6 (16.7%)</w:t>
            </w:r>
          </w:p>
        </w:tc>
        <w:tc>
          <w:tcPr>
            <w:tcW w:w="1795" w:type="dxa"/>
            <w:shd w:val="clear" w:color="auto" w:fill="auto"/>
            <w:noWrap/>
            <w:hideMark/>
          </w:tcPr>
          <w:p w:rsidR="0076178E" w:rsidRPr="00AE4BB0" w:rsidRDefault="0076178E" w:rsidP="0076178E">
            <w:pPr>
              <w:jc w:val="center"/>
              <w:rPr>
                <w:rFonts w:ascii="Times New Roman" w:hAnsi="Times New Roman" w:cs="Times New Roman"/>
                <w:sz w:val="24"/>
                <w:szCs w:val="24"/>
                <w:vertAlign w:val="superscript"/>
              </w:rPr>
            </w:pPr>
            <w:r w:rsidRPr="00095581">
              <w:rPr>
                <w:rFonts w:ascii="Times New Roman" w:hAnsi="Times New Roman" w:cs="Times New Roman"/>
                <w:sz w:val="24"/>
                <w:szCs w:val="24"/>
              </w:rPr>
              <w:t>10.0</w:t>
            </w:r>
            <w:r w:rsidR="00AE4BB0">
              <w:rPr>
                <w:rFonts w:ascii="Times New Roman" w:hAnsi="Times New Roman" w:cs="Times New Roman"/>
                <w:b/>
                <w:bCs/>
                <w:sz w:val="24"/>
                <w:szCs w:val="24"/>
                <w:vertAlign w:val="superscript"/>
              </w:rPr>
              <w:t>b</w:t>
            </w:r>
          </w:p>
        </w:tc>
        <w:tc>
          <w:tcPr>
            <w:tcW w:w="1795" w:type="dxa"/>
            <w:vMerge/>
            <w:shd w:val="clear" w:color="auto" w:fill="auto"/>
            <w:noWrap/>
            <w:hideMark/>
          </w:tcPr>
          <w:p w:rsidR="0076178E" w:rsidRPr="00095581" w:rsidRDefault="0076178E" w:rsidP="0076178E">
            <w:pPr>
              <w:jc w:val="center"/>
              <w:rPr>
                <w:rFonts w:ascii="Times New Roman" w:hAnsi="Times New Roman" w:cs="Times New Roman"/>
                <w:sz w:val="24"/>
                <w:szCs w:val="24"/>
              </w:rPr>
            </w:pPr>
          </w:p>
        </w:tc>
      </w:tr>
      <w:tr w:rsidR="0076178E" w:rsidRPr="00095581" w:rsidTr="00095581">
        <w:trPr>
          <w:trHeight w:val="288"/>
        </w:trPr>
        <w:tc>
          <w:tcPr>
            <w:tcW w:w="1794" w:type="dxa"/>
            <w:vMerge/>
            <w:shd w:val="clear" w:color="auto" w:fill="auto"/>
            <w:noWrap/>
          </w:tcPr>
          <w:p w:rsidR="0076178E" w:rsidRPr="00095581" w:rsidRDefault="0076178E" w:rsidP="0076178E">
            <w:pPr>
              <w:jc w:val="center"/>
              <w:rPr>
                <w:rFonts w:ascii="Times New Roman" w:hAnsi="Times New Roman" w:cs="Times New Roman"/>
                <w:sz w:val="24"/>
                <w:szCs w:val="24"/>
              </w:rPr>
            </w:pPr>
          </w:p>
        </w:tc>
        <w:tc>
          <w:tcPr>
            <w:tcW w:w="1795" w:type="dxa"/>
            <w:shd w:val="clear" w:color="auto" w:fill="auto"/>
            <w:noWrap/>
            <w:hideMark/>
          </w:tcPr>
          <w:p w:rsidR="0076178E" w:rsidRPr="00095581" w:rsidRDefault="0076178E" w:rsidP="0076178E">
            <w:pPr>
              <w:jc w:val="center"/>
              <w:rPr>
                <w:rFonts w:ascii="Times New Roman" w:hAnsi="Times New Roman" w:cs="Times New Roman"/>
                <w:sz w:val="24"/>
                <w:szCs w:val="24"/>
              </w:rPr>
            </w:pPr>
            <w:r w:rsidRPr="00095581">
              <w:rPr>
                <w:rFonts w:ascii="Times New Roman" w:hAnsi="Times New Roman" w:cs="Times New Roman"/>
                <w:sz w:val="24"/>
                <w:szCs w:val="24"/>
              </w:rPr>
              <w:t>4</w:t>
            </w:r>
          </w:p>
        </w:tc>
        <w:tc>
          <w:tcPr>
            <w:tcW w:w="1795" w:type="dxa"/>
            <w:shd w:val="clear" w:color="auto" w:fill="auto"/>
            <w:noWrap/>
            <w:hideMark/>
          </w:tcPr>
          <w:p w:rsidR="0076178E" w:rsidRPr="00095581" w:rsidRDefault="0076178E" w:rsidP="0076178E">
            <w:pPr>
              <w:jc w:val="center"/>
              <w:rPr>
                <w:rFonts w:ascii="Times New Roman" w:hAnsi="Times New Roman" w:cs="Times New Roman"/>
                <w:sz w:val="24"/>
                <w:szCs w:val="24"/>
              </w:rPr>
            </w:pPr>
            <w:r w:rsidRPr="00095581">
              <w:rPr>
                <w:rFonts w:ascii="Times New Roman" w:hAnsi="Times New Roman" w:cs="Times New Roman"/>
                <w:sz w:val="24"/>
                <w:szCs w:val="24"/>
              </w:rPr>
              <w:t>0/6 (0%)</w:t>
            </w:r>
          </w:p>
        </w:tc>
        <w:tc>
          <w:tcPr>
            <w:tcW w:w="1795" w:type="dxa"/>
            <w:shd w:val="clear" w:color="auto" w:fill="auto"/>
            <w:noWrap/>
            <w:hideMark/>
          </w:tcPr>
          <w:p w:rsidR="0076178E" w:rsidRPr="00095581" w:rsidRDefault="0076178E" w:rsidP="0076178E">
            <w:pPr>
              <w:jc w:val="center"/>
              <w:rPr>
                <w:rFonts w:ascii="Times New Roman" w:hAnsi="Times New Roman" w:cs="Times New Roman"/>
                <w:sz w:val="24"/>
                <w:szCs w:val="24"/>
              </w:rPr>
            </w:pPr>
            <w:r w:rsidRPr="00095581">
              <w:rPr>
                <w:rFonts w:ascii="Times New Roman" w:hAnsi="Times New Roman" w:cs="Times New Roman"/>
                <w:sz w:val="24"/>
                <w:szCs w:val="24"/>
              </w:rPr>
              <w:t>N/A</w:t>
            </w:r>
          </w:p>
        </w:tc>
        <w:tc>
          <w:tcPr>
            <w:tcW w:w="1795" w:type="dxa"/>
            <w:vMerge/>
            <w:shd w:val="clear" w:color="auto" w:fill="auto"/>
            <w:noWrap/>
            <w:hideMark/>
          </w:tcPr>
          <w:p w:rsidR="0076178E" w:rsidRPr="00095581" w:rsidRDefault="0076178E" w:rsidP="0076178E">
            <w:pPr>
              <w:jc w:val="center"/>
              <w:rPr>
                <w:rFonts w:ascii="Times New Roman" w:hAnsi="Times New Roman" w:cs="Times New Roman"/>
                <w:sz w:val="24"/>
                <w:szCs w:val="24"/>
              </w:rPr>
            </w:pPr>
          </w:p>
        </w:tc>
      </w:tr>
    </w:tbl>
    <w:p w:rsidR="00AE4BB0" w:rsidRPr="00AE4BB0" w:rsidRDefault="00AE4BB0" w:rsidP="00AE4BB0">
      <w:pPr>
        <w:spacing w:line="480" w:lineRule="auto"/>
        <w:rPr>
          <w:rFonts w:ascii="Times New Roman" w:hAnsi="Times New Roman" w:cs="Times New Roman"/>
          <w:bCs/>
          <w:sz w:val="24"/>
          <w:szCs w:val="24"/>
        </w:rPr>
      </w:pPr>
      <w:proofErr w:type="spellStart"/>
      <w:proofErr w:type="gramStart"/>
      <w:r w:rsidRPr="00AE4BB0">
        <w:rPr>
          <w:rFonts w:ascii="Times New Roman" w:hAnsi="Times New Roman" w:cs="Times New Roman"/>
          <w:bCs/>
          <w:sz w:val="24"/>
          <w:szCs w:val="24"/>
          <w:vertAlign w:val="superscript"/>
        </w:rPr>
        <w:t>a</w:t>
      </w:r>
      <w:r w:rsidRPr="00AE4BB0">
        <w:rPr>
          <w:rFonts w:ascii="Times New Roman" w:hAnsi="Times New Roman" w:cs="Times New Roman"/>
          <w:bCs/>
          <w:sz w:val="24"/>
          <w:szCs w:val="24"/>
        </w:rPr>
        <w:t>Average</w:t>
      </w:r>
      <w:proofErr w:type="spellEnd"/>
      <w:proofErr w:type="gramEnd"/>
      <w:r w:rsidRPr="00AE4BB0">
        <w:rPr>
          <w:rFonts w:ascii="Times New Roman" w:hAnsi="Times New Roman" w:cs="Times New Roman"/>
          <w:bCs/>
          <w:sz w:val="24"/>
          <w:szCs w:val="24"/>
        </w:rPr>
        <w:t xml:space="preserve"> survival time</w:t>
      </w:r>
      <w:r>
        <w:rPr>
          <w:rFonts w:ascii="Times New Roman" w:hAnsi="Times New Roman" w:cs="Times New Roman"/>
          <w:bCs/>
          <w:sz w:val="24"/>
          <w:szCs w:val="24"/>
        </w:rPr>
        <w:t>.</w:t>
      </w:r>
    </w:p>
    <w:p w:rsidR="00095581" w:rsidRDefault="00AE4BB0" w:rsidP="00AE4BB0">
      <w:pPr>
        <w:spacing w:line="480" w:lineRule="auto"/>
        <w:rPr>
          <w:rFonts w:ascii="Times New Roman" w:hAnsi="Times New Roman" w:cs="Times New Roman"/>
          <w:sz w:val="24"/>
          <w:szCs w:val="24"/>
          <w:lang w:val="en-US"/>
        </w:rPr>
      </w:pPr>
      <w:proofErr w:type="gramStart"/>
      <w:r>
        <w:rPr>
          <w:rFonts w:ascii="Times New Roman" w:hAnsi="Times New Roman" w:cs="Times New Roman"/>
          <w:b/>
          <w:bCs/>
          <w:sz w:val="24"/>
          <w:szCs w:val="24"/>
          <w:vertAlign w:val="superscript"/>
        </w:rPr>
        <w:t>b</w:t>
      </w:r>
      <w:r w:rsidR="00095581">
        <w:rPr>
          <w:rFonts w:ascii="Times New Roman" w:hAnsi="Times New Roman" w:cs="Times New Roman"/>
          <w:sz w:val="24"/>
          <w:szCs w:val="24"/>
          <w:lang w:val="en-US"/>
        </w:rPr>
        <w:t>S</w:t>
      </w:r>
      <w:r w:rsidR="00095581" w:rsidRPr="00095581">
        <w:rPr>
          <w:rFonts w:ascii="Times New Roman" w:hAnsi="Times New Roman" w:cs="Times New Roman"/>
          <w:sz w:val="24"/>
          <w:szCs w:val="24"/>
          <w:lang w:val="en-US"/>
        </w:rPr>
        <w:t>urvival</w:t>
      </w:r>
      <w:proofErr w:type="gramEnd"/>
      <w:r w:rsidR="00095581" w:rsidRPr="00095581">
        <w:rPr>
          <w:rFonts w:ascii="Times New Roman" w:hAnsi="Times New Roman" w:cs="Times New Roman"/>
          <w:sz w:val="24"/>
          <w:szCs w:val="24"/>
          <w:lang w:val="en-US"/>
        </w:rPr>
        <w:t xml:space="preserve"> time of mice that died</w:t>
      </w:r>
      <w:r w:rsidR="0076178E">
        <w:rPr>
          <w:rFonts w:ascii="Times New Roman" w:hAnsi="Times New Roman" w:cs="Times New Roman"/>
          <w:sz w:val="24"/>
          <w:szCs w:val="24"/>
          <w:lang w:val="en-US"/>
        </w:rPr>
        <w:t xml:space="preserve"> or were </w:t>
      </w:r>
      <w:proofErr w:type="spellStart"/>
      <w:r w:rsidR="0076178E">
        <w:rPr>
          <w:rFonts w:ascii="Times New Roman" w:hAnsi="Times New Roman" w:cs="Times New Roman"/>
          <w:sz w:val="24"/>
          <w:szCs w:val="24"/>
          <w:lang w:val="en-US"/>
        </w:rPr>
        <w:t>euthanised</w:t>
      </w:r>
      <w:proofErr w:type="spellEnd"/>
      <w:r w:rsidR="00095581" w:rsidRPr="00095581">
        <w:rPr>
          <w:rFonts w:ascii="Times New Roman" w:hAnsi="Times New Roman" w:cs="Times New Roman"/>
          <w:sz w:val="24"/>
          <w:szCs w:val="24"/>
          <w:lang w:val="en-US"/>
        </w:rPr>
        <w:t xml:space="preserve">. </w:t>
      </w:r>
    </w:p>
    <w:p w:rsidR="00AE4BB0" w:rsidRPr="00AE4BB0" w:rsidRDefault="00AE4BB0" w:rsidP="00AE4BB0">
      <w:pPr>
        <w:spacing w:line="48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t>c</w:t>
      </w:r>
      <w:r w:rsidRPr="00AE4BB0">
        <w:rPr>
          <w:rFonts w:ascii="Times New Roman" w:hAnsi="Times New Roman" w:cs="Times New Roman"/>
          <w:sz w:val="24"/>
          <w:szCs w:val="24"/>
          <w:lang w:val="en-US"/>
        </w:rPr>
        <w:t>50% humane end point dose</w:t>
      </w:r>
      <w:r>
        <w:rPr>
          <w:rFonts w:ascii="Times New Roman" w:hAnsi="Times New Roman" w:cs="Times New Roman"/>
          <w:sz w:val="24"/>
          <w:szCs w:val="24"/>
          <w:lang w:val="en-US"/>
        </w:rPr>
        <w:t>.</w:t>
      </w:r>
    </w:p>
    <w:p w:rsidR="00095581" w:rsidRDefault="00095581" w:rsidP="00AE4BB0">
      <w:pPr>
        <w:spacing w:line="480" w:lineRule="auto"/>
        <w:rPr>
          <w:rFonts w:ascii="Times New Roman" w:hAnsi="Times New Roman" w:cs="Times New Roman"/>
          <w:sz w:val="24"/>
          <w:szCs w:val="24"/>
        </w:rPr>
      </w:pPr>
    </w:p>
    <w:p w:rsidR="00095581" w:rsidRPr="00AE4BB0" w:rsidRDefault="00095581" w:rsidP="00AE4BB0">
      <w:pPr>
        <w:spacing w:line="480" w:lineRule="auto"/>
        <w:rPr>
          <w:rFonts w:ascii="Times New Roman" w:hAnsi="Times New Roman" w:cs="Times New Roman"/>
          <w:b/>
          <w:sz w:val="28"/>
          <w:szCs w:val="28"/>
        </w:rPr>
      </w:pPr>
      <w:r w:rsidRPr="00AE4BB0">
        <w:rPr>
          <w:rFonts w:ascii="Times New Roman" w:hAnsi="Times New Roman" w:cs="Times New Roman"/>
          <w:b/>
          <w:sz w:val="28"/>
          <w:szCs w:val="28"/>
        </w:rPr>
        <w:t>Methods</w:t>
      </w:r>
    </w:p>
    <w:p w:rsidR="00095581" w:rsidRDefault="00095581" w:rsidP="00AE4BB0">
      <w:pPr>
        <w:spacing w:line="480" w:lineRule="auto"/>
        <w:rPr>
          <w:rFonts w:ascii="Times New Roman" w:hAnsi="Times New Roman" w:cs="Times New Roman"/>
          <w:sz w:val="24"/>
          <w:szCs w:val="24"/>
        </w:rPr>
      </w:pPr>
      <w:r w:rsidRPr="00095581">
        <w:rPr>
          <w:rFonts w:ascii="Times New Roman" w:hAnsi="Times New Roman" w:cs="Times New Roman"/>
          <w:sz w:val="24"/>
          <w:szCs w:val="24"/>
        </w:rPr>
        <w:t xml:space="preserve">Groups of six 18-day old Swiss ARC mice (Animal Resources Centre, Murdoch, Western Australia, Australia) were injected by the intraperitoneal </w:t>
      </w:r>
      <w:r w:rsidR="00C441AB">
        <w:rPr>
          <w:rFonts w:ascii="Times New Roman" w:hAnsi="Times New Roman" w:cs="Times New Roman"/>
          <w:sz w:val="24"/>
          <w:szCs w:val="24"/>
        </w:rPr>
        <w:t xml:space="preserve">(IP) </w:t>
      </w:r>
      <w:r w:rsidRPr="00095581">
        <w:rPr>
          <w:rFonts w:ascii="Times New Roman" w:hAnsi="Times New Roman" w:cs="Times New Roman"/>
          <w:sz w:val="24"/>
          <w:szCs w:val="24"/>
        </w:rPr>
        <w:t xml:space="preserve">route with 50µl of a range of 10-fold serial dilutions </w:t>
      </w:r>
      <w:r w:rsidR="0076178E">
        <w:rPr>
          <w:rFonts w:ascii="Times New Roman" w:hAnsi="Times New Roman" w:cs="Times New Roman"/>
          <w:sz w:val="24"/>
          <w:szCs w:val="24"/>
        </w:rPr>
        <w:t>of virus in PBS</w:t>
      </w:r>
      <w:r w:rsidRPr="00095581">
        <w:rPr>
          <w:rFonts w:ascii="Times New Roman" w:hAnsi="Times New Roman" w:cs="Times New Roman"/>
          <w:sz w:val="24"/>
          <w:szCs w:val="24"/>
        </w:rPr>
        <w:t>. A group of six control mice were inoculated with 50µl of sterile PBS. Mice were housed in clean individually ventilated cages and were provided with water and food ad libitum. Mice were weighed every morning</w:t>
      </w:r>
      <w:r w:rsidR="00667026">
        <w:rPr>
          <w:rFonts w:ascii="Times New Roman" w:hAnsi="Times New Roman" w:cs="Times New Roman"/>
          <w:sz w:val="24"/>
          <w:szCs w:val="24"/>
        </w:rPr>
        <w:t xml:space="preserve"> to monitor for signs of anorexia</w:t>
      </w:r>
      <w:r w:rsidRPr="00095581">
        <w:rPr>
          <w:rFonts w:ascii="Times New Roman" w:hAnsi="Times New Roman" w:cs="Times New Roman"/>
          <w:sz w:val="24"/>
          <w:szCs w:val="24"/>
        </w:rPr>
        <w:t xml:space="preserve">. Infected mice were monitored twice daily until the first signs of the disease were observed, after which, they were examined every two hours. </w:t>
      </w:r>
      <w:r w:rsidR="002D06E8" w:rsidRPr="002D06E8">
        <w:rPr>
          <w:rFonts w:ascii="Times New Roman" w:hAnsi="Times New Roman" w:cs="Times New Roman"/>
          <w:sz w:val="24"/>
          <w:szCs w:val="24"/>
        </w:rPr>
        <w:t>Mice that show</w:t>
      </w:r>
      <w:r w:rsidR="002D06E8">
        <w:rPr>
          <w:rFonts w:ascii="Times New Roman" w:hAnsi="Times New Roman" w:cs="Times New Roman"/>
          <w:sz w:val="24"/>
          <w:szCs w:val="24"/>
        </w:rPr>
        <w:t xml:space="preserve">ed signs of </w:t>
      </w:r>
      <w:r w:rsidR="002D06E8">
        <w:rPr>
          <w:rFonts w:ascii="Times New Roman" w:hAnsi="Times New Roman" w:cs="Times New Roman"/>
          <w:sz w:val="24"/>
          <w:szCs w:val="24"/>
        </w:rPr>
        <w:lastRenderedPageBreak/>
        <w:t xml:space="preserve">disease </w:t>
      </w:r>
      <w:r w:rsidR="00667026">
        <w:rPr>
          <w:rFonts w:ascii="Times New Roman" w:hAnsi="Times New Roman" w:cs="Times New Roman"/>
          <w:sz w:val="24"/>
          <w:szCs w:val="24"/>
        </w:rPr>
        <w:t>(</w:t>
      </w:r>
      <w:r w:rsidR="00667026" w:rsidRPr="00667026">
        <w:rPr>
          <w:rFonts w:ascii="Times New Roman" w:hAnsi="Times New Roman" w:cs="Times New Roman"/>
          <w:sz w:val="24"/>
          <w:szCs w:val="24"/>
        </w:rPr>
        <w:t>hunching, lethargy, eye closure, con</w:t>
      </w:r>
      <w:r w:rsidR="00667026">
        <w:rPr>
          <w:rFonts w:ascii="Times New Roman" w:hAnsi="Times New Roman" w:cs="Times New Roman"/>
          <w:sz w:val="24"/>
          <w:szCs w:val="24"/>
        </w:rPr>
        <w:t>vulsion, change of skin colour,</w:t>
      </w:r>
      <w:r w:rsidR="00667026" w:rsidRPr="00667026">
        <w:rPr>
          <w:rFonts w:ascii="Times New Roman" w:hAnsi="Times New Roman" w:cs="Times New Roman"/>
          <w:sz w:val="24"/>
          <w:szCs w:val="24"/>
        </w:rPr>
        <w:t xml:space="preserve"> hind leg flaccid paralysis</w:t>
      </w:r>
      <w:r w:rsidR="00667026">
        <w:rPr>
          <w:rFonts w:ascii="Times New Roman" w:hAnsi="Times New Roman" w:cs="Times New Roman"/>
          <w:sz w:val="24"/>
          <w:szCs w:val="24"/>
        </w:rPr>
        <w:t>)</w:t>
      </w:r>
      <w:r w:rsidR="00667026" w:rsidRPr="00667026">
        <w:rPr>
          <w:rFonts w:ascii="Times New Roman" w:hAnsi="Times New Roman" w:cs="Times New Roman"/>
          <w:sz w:val="24"/>
          <w:szCs w:val="24"/>
        </w:rPr>
        <w:t xml:space="preserve"> </w:t>
      </w:r>
      <w:r w:rsidR="002D06E8">
        <w:rPr>
          <w:rFonts w:ascii="Times New Roman" w:hAnsi="Times New Roman" w:cs="Times New Roman"/>
          <w:sz w:val="24"/>
          <w:szCs w:val="24"/>
        </w:rPr>
        <w:t>or that lost</w:t>
      </w:r>
      <w:r w:rsidR="00667026">
        <w:rPr>
          <w:rFonts w:ascii="Times New Roman" w:hAnsi="Times New Roman" w:cs="Times New Roman"/>
          <w:sz w:val="24"/>
          <w:szCs w:val="24"/>
        </w:rPr>
        <w:t xml:space="preserve"> 15% of their pre-inoculation body weight</w:t>
      </w:r>
      <w:r w:rsidR="002D06E8" w:rsidRPr="002D06E8">
        <w:rPr>
          <w:rFonts w:ascii="Times New Roman" w:hAnsi="Times New Roman" w:cs="Times New Roman"/>
          <w:sz w:val="24"/>
          <w:szCs w:val="24"/>
        </w:rPr>
        <w:t xml:space="preserve"> </w:t>
      </w:r>
      <w:r w:rsidR="002D06E8">
        <w:rPr>
          <w:rFonts w:ascii="Times New Roman" w:hAnsi="Times New Roman" w:cs="Times New Roman"/>
          <w:sz w:val="24"/>
          <w:szCs w:val="24"/>
        </w:rPr>
        <w:t>were</w:t>
      </w:r>
      <w:r w:rsidR="002D06E8" w:rsidRPr="002D06E8">
        <w:rPr>
          <w:rFonts w:ascii="Times New Roman" w:hAnsi="Times New Roman" w:cs="Times New Roman"/>
          <w:sz w:val="24"/>
          <w:szCs w:val="24"/>
        </w:rPr>
        <w:t xml:space="preserve"> euthani</w:t>
      </w:r>
      <w:r w:rsidR="00667026">
        <w:rPr>
          <w:rFonts w:ascii="Times New Roman" w:hAnsi="Times New Roman" w:cs="Times New Roman"/>
          <w:sz w:val="24"/>
          <w:szCs w:val="24"/>
        </w:rPr>
        <w:t xml:space="preserve">sed by IP injection of a lethal dose of </w:t>
      </w:r>
      <w:proofErr w:type="spellStart"/>
      <w:r w:rsidR="00667026">
        <w:rPr>
          <w:rFonts w:ascii="Times New Roman" w:hAnsi="Times New Roman" w:cs="Times New Roman"/>
          <w:sz w:val="24"/>
          <w:szCs w:val="24"/>
        </w:rPr>
        <w:t>pentobarbi</w:t>
      </w:r>
      <w:r w:rsidR="002D06E8" w:rsidRPr="002D06E8">
        <w:rPr>
          <w:rFonts w:ascii="Times New Roman" w:hAnsi="Times New Roman" w:cs="Times New Roman"/>
          <w:sz w:val="24"/>
          <w:szCs w:val="24"/>
        </w:rPr>
        <w:t>to</w:t>
      </w:r>
      <w:r w:rsidR="002D06E8">
        <w:rPr>
          <w:rFonts w:ascii="Times New Roman" w:hAnsi="Times New Roman" w:cs="Times New Roman"/>
          <w:sz w:val="24"/>
          <w:szCs w:val="24"/>
        </w:rPr>
        <w:t>l</w:t>
      </w:r>
      <w:proofErr w:type="spellEnd"/>
      <w:r w:rsidR="002D06E8">
        <w:rPr>
          <w:rFonts w:ascii="Times New Roman" w:hAnsi="Times New Roman" w:cs="Times New Roman"/>
          <w:sz w:val="24"/>
          <w:szCs w:val="24"/>
        </w:rPr>
        <w:t xml:space="preserve"> sodium </w:t>
      </w:r>
      <w:r w:rsidR="002D06E8" w:rsidRPr="002D06E8">
        <w:rPr>
          <w:rFonts w:ascii="Times New Roman" w:hAnsi="Times New Roman" w:cs="Times New Roman"/>
          <w:sz w:val="24"/>
          <w:szCs w:val="24"/>
        </w:rPr>
        <w:t>(150 mg/kg body weight)</w:t>
      </w:r>
      <w:r w:rsidR="00667026">
        <w:rPr>
          <w:rFonts w:ascii="Times New Roman" w:hAnsi="Times New Roman" w:cs="Times New Roman"/>
          <w:sz w:val="24"/>
          <w:szCs w:val="24"/>
        </w:rPr>
        <w:t xml:space="preserve"> </w:t>
      </w:r>
      <w:r w:rsidR="002D06E8" w:rsidRPr="002D06E8">
        <w:rPr>
          <w:rFonts w:ascii="Times New Roman" w:hAnsi="Times New Roman" w:cs="Times New Roman"/>
          <w:sz w:val="24"/>
          <w:szCs w:val="24"/>
        </w:rPr>
        <w:t xml:space="preserve">followed by cervical dislocation. </w:t>
      </w:r>
      <w:r w:rsidR="00667026">
        <w:rPr>
          <w:rFonts w:ascii="Times New Roman" w:hAnsi="Times New Roman" w:cs="Times New Roman"/>
          <w:sz w:val="24"/>
          <w:szCs w:val="24"/>
        </w:rPr>
        <w:t xml:space="preserve">After 21 days, surviving mice were </w:t>
      </w:r>
      <w:r w:rsidR="002D06E8" w:rsidRPr="002D06E8">
        <w:rPr>
          <w:rFonts w:ascii="Times New Roman" w:hAnsi="Times New Roman" w:cs="Times New Roman"/>
          <w:sz w:val="24"/>
          <w:szCs w:val="24"/>
        </w:rPr>
        <w:t xml:space="preserve">euthanised </w:t>
      </w:r>
      <w:r w:rsidR="00667026">
        <w:rPr>
          <w:rFonts w:ascii="Times New Roman" w:hAnsi="Times New Roman" w:cs="Times New Roman"/>
          <w:sz w:val="24"/>
          <w:szCs w:val="24"/>
        </w:rPr>
        <w:t>as above</w:t>
      </w:r>
      <w:r w:rsidR="002D06E8">
        <w:rPr>
          <w:rFonts w:ascii="Times New Roman" w:hAnsi="Times New Roman" w:cs="Times New Roman"/>
          <w:sz w:val="24"/>
          <w:szCs w:val="24"/>
        </w:rPr>
        <w:t>.</w:t>
      </w:r>
      <w:r w:rsidR="002D06E8" w:rsidRPr="002D06E8">
        <w:rPr>
          <w:rFonts w:ascii="Times New Roman" w:hAnsi="Times New Roman" w:cs="Times New Roman"/>
          <w:sz w:val="24"/>
          <w:szCs w:val="24"/>
        </w:rPr>
        <w:t xml:space="preserve"> </w:t>
      </w:r>
      <w:r w:rsidRPr="00095581">
        <w:rPr>
          <w:rFonts w:ascii="Times New Roman" w:hAnsi="Times New Roman" w:cs="Times New Roman"/>
          <w:sz w:val="24"/>
          <w:szCs w:val="24"/>
        </w:rPr>
        <w:t>To reduce distress to experimental animals, the HD</w:t>
      </w:r>
      <w:r w:rsidRPr="00095581">
        <w:rPr>
          <w:rFonts w:ascii="Times New Roman" w:hAnsi="Times New Roman" w:cs="Times New Roman"/>
          <w:sz w:val="24"/>
          <w:szCs w:val="24"/>
          <w:vertAlign w:val="subscript"/>
        </w:rPr>
        <w:t>50</w:t>
      </w:r>
      <w:r w:rsidRPr="00095581">
        <w:rPr>
          <w:rFonts w:ascii="Times New Roman" w:hAnsi="Times New Roman" w:cs="Times New Roman"/>
          <w:sz w:val="24"/>
          <w:szCs w:val="24"/>
        </w:rPr>
        <w:t xml:space="preserve"> method </w:t>
      </w:r>
      <w:r w:rsidR="0076178E" w:rsidRPr="00095581">
        <w:rPr>
          <w:rFonts w:ascii="Times New Roman" w:hAnsi="Times New Roman" w:cs="Times New Roman"/>
          <w:sz w:val="24"/>
          <w:szCs w:val="24"/>
        </w:rPr>
        <w:t>was used</w:t>
      </w:r>
      <w:r w:rsidR="0076178E">
        <w:rPr>
          <w:rFonts w:ascii="Times New Roman" w:hAnsi="Times New Roman" w:cs="Times New Roman"/>
          <w:sz w:val="24"/>
          <w:szCs w:val="24"/>
        </w:rPr>
        <w:t>, which</w:t>
      </w:r>
      <w:r w:rsidRPr="00095581">
        <w:rPr>
          <w:rFonts w:ascii="Times New Roman" w:hAnsi="Times New Roman" w:cs="Times New Roman"/>
          <w:sz w:val="24"/>
          <w:szCs w:val="24"/>
        </w:rPr>
        <w:t xml:space="preserve"> does not significantly differ from LD</w:t>
      </w:r>
      <w:r w:rsidRPr="00095581">
        <w:rPr>
          <w:rFonts w:ascii="Times New Roman" w:hAnsi="Times New Roman" w:cs="Times New Roman"/>
          <w:sz w:val="24"/>
          <w:szCs w:val="24"/>
          <w:vertAlign w:val="subscript"/>
        </w:rPr>
        <w:t>50</w:t>
      </w:r>
      <w:r w:rsidR="00444F22">
        <w:rPr>
          <w:rFonts w:ascii="Times New Roman" w:hAnsi="Times New Roman" w:cs="Times New Roman"/>
          <w:sz w:val="24"/>
          <w:szCs w:val="24"/>
        </w:rPr>
        <w:t xml:space="preserve"> [1]</w:t>
      </w:r>
      <w:r w:rsidRPr="00095581">
        <w:rPr>
          <w:rFonts w:ascii="Times New Roman" w:hAnsi="Times New Roman" w:cs="Times New Roman"/>
          <w:sz w:val="24"/>
          <w:szCs w:val="24"/>
        </w:rPr>
        <w:t>. The HD</w:t>
      </w:r>
      <w:r w:rsidRPr="00095581">
        <w:rPr>
          <w:rFonts w:ascii="Times New Roman" w:hAnsi="Times New Roman" w:cs="Times New Roman"/>
          <w:sz w:val="24"/>
          <w:szCs w:val="24"/>
          <w:vertAlign w:val="subscript"/>
        </w:rPr>
        <w:t>50</w:t>
      </w:r>
      <w:r w:rsidRPr="00095581">
        <w:rPr>
          <w:rFonts w:ascii="Times New Roman" w:hAnsi="Times New Roman" w:cs="Times New Roman"/>
          <w:sz w:val="24"/>
          <w:szCs w:val="24"/>
        </w:rPr>
        <w:t xml:space="preserve"> was calculated for each virus using the </w:t>
      </w:r>
      <w:r w:rsidR="00444F22">
        <w:rPr>
          <w:rFonts w:ascii="Times New Roman" w:hAnsi="Times New Roman" w:cs="Times New Roman"/>
          <w:sz w:val="24"/>
          <w:szCs w:val="24"/>
        </w:rPr>
        <w:t xml:space="preserve">method of Reed and </w:t>
      </w:r>
      <w:proofErr w:type="spellStart"/>
      <w:r w:rsidR="00444F22">
        <w:rPr>
          <w:rFonts w:ascii="Times New Roman" w:hAnsi="Times New Roman" w:cs="Times New Roman"/>
          <w:sz w:val="24"/>
          <w:szCs w:val="24"/>
        </w:rPr>
        <w:t>Muench</w:t>
      </w:r>
      <w:proofErr w:type="spellEnd"/>
      <w:r w:rsidR="00444F22">
        <w:rPr>
          <w:rFonts w:ascii="Times New Roman" w:hAnsi="Times New Roman" w:cs="Times New Roman"/>
          <w:sz w:val="24"/>
          <w:szCs w:val="24"/>
        </w:rPr>
        <w:t xml:space="preserve"> [2]</w:t>
      </w:r>
      <w:r w:rsidRPr="00095581">
        <w:rPr>
          <w:rFonts w:ascii="Times New Roman" w:hAnsi="Times New Roman" w:cs="Times New Roman"/>
          <w:sz w:val="24"/>
          <w:szCs w:val="24"/>
        </w:rPr>
        <w:t>.</w:t>
      </w:r>
      <w:r w:rsidR="0076178E">
        <w:rPr>
          <w:rFonts w:ascii="Times New Roman" w:hAnsi="Times New Roman" w:cs="Times New Roman"/>
          <w:sz w:val="24"/>
          <w:szCs w:val="24"/>
        </w:rPr>
        <w:t xml:space="preserve"> The AST</w:t>
      </w:r>
      <w:r w:rsidRPr="00095581">
        <w:rPr>
          <w:rFonts w:ascii="Times New Roman" w:hAnsi="Times New Roman" w:cs="Times New Roman"/>
          <w:sz w:val="24"/>
          <w:szCs w:val="24"/>
        </w:rPr>
        <w:t xml:space="preserve"> was also determined for each infection group by calculating the mean time to death (in days) </w:t>
      </w:r>
      <w:r w:rsidR="00444F22">
        <w:rPr>
          <w:rFonts w:ascii="Times New Roman" w:hAnsi="Times New Roman" w:cs="Times New Roman"/>
          <w:sz w:val="24"/>
          <w:szCs w:val="24"/>
        </w:rPr>
        <w:t>for</w:t>
      </w:r>
      <w:r w:rsidRPr="00095581">
        <w:rPr>
          <w:rFonts w:ascii="Times New Roman" w:hAnsi="Times New Roman" w:cs="Times New Roman"/>
          <w:sz w:val="24"/>
          <w:szCs w:val="24"/>
        </w:rPr>
        <w:t xml:space="preserve"> mice that succumbed to infection. </w:t>
      </w:r>
    </w:p>
    <w:p w:rsidR="00444F22" w:rsidRDefault="00444F22" w:rsidP="00AE4BB0">
      <w:pPr>
        <w:spacing w:line="480" w:lineRule="auto"/>
        <w:rPr>
          <w:rFonts w:ascii="Times New Roman" w:hAnsi="Times New Roman" w:cs="Times New Roman"/>
          <w:b/>
          <w:sz w:val="24"/>
          <w:szCs w:val="24"/>
        </w:rPr>
      </w:pPr>
    </w:p>
    <w:p w:rsidR="00095581" w:rsidRPr="00AE4BB0" w:rsidRDefault="00095581" w:rsidP="00AE4BB0">
      <w:pPr>
        <w:spacing w:line="480" w:lineRule="auto"/>
        <w:rPr>
          <w:rFonts w:ascii="Times New Roman" w:hAnsi="Times New Roman" w:cs="Times New Roman"/>
          <w:b/>
          <w:sz w:val="28"/>
          <w:szCs w:val="28"/>
        </w:rPr>
      </w:pPr>
      <w:r w:rsidRPr="00AE4BB0">
        <w:rPr>
          <w:rFonts w:ascii="Times New Roman" w:hAnsi="Times New Roman" w:cs="Times New Roman"/>
          <w:b/>
          <w:sz w:val="28"/>
          <w:szCs w:val="28"/>
        </w:rPr>
        <w:t>References</w:t>
      </w:r>
    </w:p>
    <w:p w:rsidR="00095581" w:rsidRPr="00444F22" w:rsidRDefault="00444F22" w:rsidP="00AE4BB0">
      <w:p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1. </w:t>
      </w:r>
      <w:r w:rsidR="00095581" w:rsidRPr="00095581">
        <w:rPr>
          <w:rFonts w:ascii="Times New Roman" w:hAnsi="Times New Roman" w:cs="Times New Roman"/>
          <w:sz w:val="24"/>
          <w:szCs w:val="24"/>
        </w:rPr>
        <w:t>Wright</w:t>
      </w:r>
      <w:r>
        <w:rPr>
          <w:rFonts w:ascii="Times New Roman" w:hAnsi="Times New Roman" w:cs="Times New Roman"/>
          <w:sz w:val="24"/>
          <w:szCs w:val="24"/>
        </w:rPr>
        <w:t xml:space="preserve"> A</w:t>
      </w:r>
      <w:r w:rsidR="00095581" w:rsidRPr="00095581">
        <w:rPr>
          <w:rFonts w:ascii="Times New Roman" w:hAnsi="Times New Roman" w:cs="Times New Roman"/>
          <w:sz w:val="24"/>
          <w:szCs w:val="24"/>
        </w:rPr>
        <w:t>, Phillpotts</w:t>
      </w:r>
      <w:r>
        <w:rPr>
          <w:rFonts w:ascii="Times New Roman" w:hAnsi="Times New Roman" w:cs="Times New Roman"/>
          <w:sz w:val="24"/>
          <w:szCs w:val="24"/>
        </w:rPr>
        <w:t xml:space="preserve"> R (</w:t>
      </w:r>
      <w:r w:rsidR="00095581" w:rsidRPr="00095581">
        <w:rPr>
          <w:rFonts w:ascii="Times New Roman" w:hAnsi="Times New Roman" w:cs="Times New Roman"/>
          <w:sz w:val="24"/>
          <w:szCs w:val="24"/>
        </w:rPr>
        <w:t>1998</w:t>
      </w:r>
      <w:r>
        <w:rPr>
          <w:rFonts w:ascii="Times New Roman" w:hAnsi="Times New Roman" w:cs="Times New Roman"/>
          <w:sz w:val="24"/>
          <w:szCs w:val="24"/>
        </w:rPr>
        <w:t>)</w:t>
      </w:r>
      <w:r w:rsidR="00095581" w:rsidRPr="00095581">
        <w:rPr>
          <w:rFonts w:ascii="Times New Roman" w:hAnsi="Times New Roman" w:cs="Times New Roman"/>
          <w:sz w:val="24"/>
          <w:szCs w:val="24"/>
        </w:rPr>
        <w:t xml:space="preserve"> Humane endpoints are an objective measure of morbidity in Venezuelan encephalomyelitis virus infection of </w:t>
      </w:r>
      <w:r w:rsidR="00095581" w:rsidRPr="00444F22">
        <w:rPr>
          <w:rFonts w:ascii="Times New Roman" w:hAnsi="Times New Roman" w:cs="Times New Roman"/>
          <w:sz w:val="24"/>
          <w:szCs w:val="24"/>
        </w:rPr>
        <w:t xml:space="preserve">mice. </w:t>
      </w:r>
      <w:r>
        <w:rPr>
          <w:rFonts w:ascii="Times New Roman" w:hAnsi="Times New Roman" w:cs="Times New Roman"/>
          <w:sz w:val="24"/>
          <w:szCs w:val="24"/>
        </w:rPr>
        <w:t xml:space="preserve">Arch </w:t>
      </w:r>
      <w:proofErr w:type="spellStart"/>
      <w:r>
        <w:rPr>
          <w:rFonts w:ascii="Times New Roman" w:hAnsi="Times New Roman" w:cs="Times New Roman"/>
          <w:sz w:val="24"/>
          <w:szCs w:val="24"/>
        </w:rPr>
        <w:t>Virol</w:t>
      </w:r>
      <w:proofErr w:type="spellEnd"/>
      <w:r>
        <w:rPr>
          <w:rFonts w:ascii="Times New Roman" w:hAnsi="Times New Roman" w:cs="Times New Roman"/>
          <w:sz w:val="24"/>
          <w:szCs w:val="24"/>
        </w:rPr>
        <w:t xml:space="preserve"> 143:</w:t>
      </w:r>
      <w:r w:rsidR="00095581" w:rsidRPr="00444F22">
        <w:rPr>
          <w:rFonts w:ascii="Times New Roman" w:hAnsi="Times New Roman" w:cs="Times New Roman"/>
          <w:sz w:val="24"/>
          <w:szCs w:val="24"/>
        </w:rPr>
        <w:t xml:space="preserve"> 155-1162.</w:t>
      </w:r>
    </w:p>
    <w:p w:rsidR="00095581" w:rsidRPr="00444F22" w:rsidRDefault="00444F22" w:rsidP="00AE4BB0">
      <w:p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2. Reed L, </w:t>
      </w:r>
      <w:proofErr w:type="spellStart"/>
      <w:r>
        <w:rPr>
          <w:rFonts w:ascii="Times New Roman" w:hAnsi="Times New Roman" w:cs="Times New Roman"/>
          <w:sz w:val="24"/>
          <w:szCs w:val="24"/>
        </w:rPr>
        <w:t>Muench</w:t>
      </w:r>
      <w:proofErr w:type="spellEnd"/>
      <w:r>
        <w:rPr>
          <w:rFonts w:ascii="Times New Roman" w:hAnsi="Times New Roman" w:cs="Times New Roman"/>
          <w:sz w:val="24"/>
          <w:szCs w:val="24"/>
        </w:rPr>
        <w:t xml:space="preserve"> H (1938)</w:t>
      </w:r>
      <w:r w:rsidR="00095581" w:rsidRPr="00444F22">
        <w:rPr>
          <w:rFonts w:ascii="Times New Roman" w:hAnsi="Times New Roman" w:cs="Times New Roman"/>
          <w:sz w:val="24"/>
          <w:szCs w:val="24"/>
        </w:rPr>
        <w:t xml:space="preserve"> A simple method of estimating fifty per cent endpoints. </w:t>
      </w:r>
      <w:r>
        <w:rPr>
          <w:rFonts w:ascii="Times New Roman" w:hAnsi="Times New Roman" w:cs="Times New Roman"/>
          <w:sz w:val="24"/>
          <w:szCs w:val="24"/>
        </w:rPr>
        <w:t xml:space="preserve">Am J </w:t>
      </w:r>
      <w:proofErr w:type="spellStart"/>
      <w:r>
        <w:rPr>
          <w:rFonts w:ascii="Times New Roman" w:hAnsi="Times New Roman" w:cs="Times New Roman"/>
          <w:sz w:val="24"/>
          <w:szCs w:val="24"/>
        </w:rPr>
        <w:t>Hyg</w:t>
      </w:r>
      <w:proofErr w:type="spellEnd"/>
      <w:r>
        <w:rPr>
          <w:rFonts w:ascii="Times New Roman" w:hAnsi="Times New Roman" w:cs="Times New Roman"/>
          <w:sz w:val="24"/>
          <w:szCs w:val="24"/>
        </w:rPr>
        <w:t xml:space="preserve"> 27:</w:t>
      </w:r>
      <w:r w:rsidR="00095581" w:rsidRPr="00444F22">
        <w:rPr>
          <w:rFonts w:ascii="Times New Roman" w:hAnsi="Times New Roman" w:cs="Times New Roman"/>
          <w:sz w:val="24"/>
          <w:szCs w:val="24"/>
        </w:rPr>
        <w:t xml:space="preserve"> 493-497</w:t>
      </w:r>
      <w:r>
        <w:rPr>
          <w:rFonts w:ascii="Times New Roman" w:hAnsi="Times New Roman" w:cs="Times New Roman"/>
          <w:sz w:val="24"/>
          <w:szCs w:val="24"/>
        </w:rPr>
        <w:t>.</w:t>
      </w:r>
    </w:p>
    <w:sectPr w:rsidR="00095581" w:rsidRPr="00444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81"/>
    <w:rsid w:val="00092216"/>
    <w:rsid w:val="00095581"/>
    <w:rsid w:val="000B7BB2"/>
    <w:rsid w:val="002D06E8"/>
    <w:rsid w:val="00444F22"/>
    <w:rsid w:val="00455941"/>
    <w:rsid w:val="00667026"/>
    <w:rsid w:val="0076178E"/>
    <w:rsid w:val="00905279"/>
    <w:rsid w:val="00AE4BB0"/>
    <w:rsid w:val="00C441AB"/>
    <w:rsid w:val="00DD2A68"/>
    <w:rsid w:val="00E60081"/>
    <w:rsid w:val="00F03187"/>
    <w:rsid w:val="00F24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A138B-5B9D-4884-8122-7B254B9E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5581"/>
    <w:rPr>
      <w:sz w:val="16"/>
      <w:szCs w:val="16"/>
    </w:rPr>
  </w:style>
  <w:style w:type="paragraph" w:styleId="CommentText">
    <w:name w:val="annotation text"/>
    <w:basedOn w:val="Normal"/>
    <w:link w:val="CommentTextChar"/>
    <w:uiPriority w:val="99"/>
    <w:semiHidden/>
    <w:unhideWhenUsed/>
    <w:rsid w:val="00095581"/>
    <w:pPr>
      <w:widowControl w:val="0"/>
      <w:suppressAutoHyphens/>
      <w:autoSpaceDN w:val="0"/>
      <w:spacing w:after="0" w:line="240" w:lineRule="auto"/>
      <w:textAlignment w:val="baseline"/>
    </w:pPr>
    <w:rPr>
      <w:rFonts w:ascii="Liberation Serif" w:eastAsia="DejaVu Sans" w:hAnsi="Liberation Serif" w:cs="Mangal"/>
      <w:kern w:val="3"/>
      <w:sz w:val="20"/>
      <w:szCs w:val="18"/>
      <w:lang w:val="en-US" w:eastAsia="zh-CN" w:bidi="hi-IN"/>
    </w:rPr>
  </w:style>
  <w:style w:type="character" w:customStyle="1" w:styleId="CommentTextChar">
    <w:name w:val="Comment Text Char"/>
    <w:basedOn w:val="DefaultParagraphFont"/>
    <w:link w:val="CommentText"/>
    <w:uiPriority w:val="99"/>
    <w:semiHidden/>
    <w:rsid w:val="00095581"/>
    <w:rPr>
      <w:rFonts w:ascii="Liberation Serif" w:eastAsia="DejaVu Sans" w:hAnsi="Liberation Serif" w:cs="Mangal"/>
      <w:kern w:val="3"/>
      <w:sz w:val="20"/>
      <w:szCs w:val="18"/>
      <w:lang w:val="en-US" w:eastAsia="zh-CN" w:bidi="hi-IN"/>
    </w:rPr>
  </w:style>
  <w:style w:type="paragraph" w:styleId="BalloonText">
    <w:name w:val="Balloon Text"/>
    <w:basedOn w:val="Normal"/>
    <w:link w:val="BalloonTextChar"/>
    <w:uiPriority w:val="99"/>
    <w:semiHidden/>
    <w:unhideWhenUsed/>
    <w:rsid w:val="00095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581"/>
    <w:rPr>
      <w:rFonts w:ascii="Segoe UI" w:hAnsi="Segoe UI" w:cs="Segoe UI"/>
      <w:sz w:val="18"/>
      <w:szCs w:val="18"/>
    </w:rPr>
  </w:style>
  <w:style w:type="paragraph" w:styleId="ListParagraph">
    <w:name w:val="List Paragraph"/>
    <w:basedOn w:val="Normal"/>
    <w:uiPriority w:val="34"/>
    <w:qFormat/>
    <w:rsid w:val="00444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1909</Characters>
  <Application>Microsoft Office Word</Application>
  <DocSecurity>0</DocSecurity>
  <Lines>95</Lines>
  <Paragraphs>68</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David (AAHL, Geelong AAHL)</dc:creator>
  <cp:keywords/>
  <dc:description/>
  <cp:lastModifiedBy>Williams, David (AAHL, Geelong AAHL)</cp:lastModifiedBy>
  <cp:revision>2</cp:revision>
  <dcterms:created xsi:type="dcterms:W3CDTF">2015-11-02T10:44:00Z</dcterms:created>
  <dcterms:modified xsi:type="dcterms:W3CDTF">2015-11-02T10:44:00Z</dcterms:modified>
</cp:coreProperties>
</file>