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C5B" w:rsidRPr="00F306A8" w:rsidRDefault="00B877BA" w:rsidP="009C1C5B">
      <w:pPr>
        <w:spacing w:after="200" w:line="480" w:lineRule="auto"/>
        <w:rPr>
          <w:rFonts w:eastAsiaTheme="minorHAnsi"/>
          <w:b/>
        </w:rPr>
      </w:pPr>
      <w:r w:rsidRPr="00F306A8">
        <w:rPr>
          <w:rFonts w:eastAsiaTheme="minorHAnsi"/>
          <w:b/>
        </w:rPr>
        <w:t>S</w:t>
      </w:r>
      <w:r>
        <w:rPr>
          <w:rFonts w:eastAsiaTheme="minorHAnsi"/>
          <w:b/>
        </w:rPr>
        <w:t>5</w:t>
      </w:r>
      <w:r>
        <w:rPr>
          <w:rFonts w:eastAsiaTheme="minorHAnsi"/>
          <w:b/>
        </w:rPr>
        <w:t xml:space="preserve"> </w:t>
      </w:r>
      <w:bookmarkStart w:id="0" w:name="_GoBack"/>
      <w:bookmarkEnd w:id="0"/>
      <w:r w:rsidR="00F306A8" w:rsidRPr="00F306A8">
        <w:rPr>
          <w:rFonts w:eastAsiaTheme="minorHAnsi"/>
          <w:b/>
        </w:rPr>
        <w:t>Table</w:t>
      </w:r>
      <w:r w:rsidR="009C1C5B" w:rsidRPr="00F306A8">
        <w:rPr>
          <w:rFonts w:eastAsiaTheme="minorHAnsi"/>
          <w:b/>
        </w:rPr>
        <w:t xml:space="preserve">. Evidence for positive and negative selection in the prM and Env genes (668 amino acids) of Murray Valley encephalitis using six different methods implemented in the </w:t>
      </w:r>
      <w:proofErr w:type="spellStart"/>
      <w:r w:rsidR="009C1C5B" w:rsidRPr="00F306A8">
        <w:rPr>
          <w:rFonts w:eastAsiaTheme="minorHAnsi"/>
          <w:b/>
        </w:rPr>
        <w:t>DataMonkey</w:t>
      </w:r>
      <w:proofErr w:type="spellEnd"/>
      <w:r w:rsidR="009C1C5B" w:rsidRPr="00F306A8">
        <w:rPr>
          <w:rFonts w:eastAsiaTheme="minorHAnsi"/>
          <w:b/>
        </w:rPr>
        <w:t xml:space="preserve"> server of the </w:t>
      </w:r>
      <w:proofErr w:type="spellStart"/>
      <w:r w:rsidR="009C1C5B" w:rsidRPr="00F306A8">
        <w:rPr>
          <w:rFonts w:eastAsiaTheme="minorHAnsi"/>
          <w:b/>
        </w:rPr>
        <w:t>HyPhy</w:t>
      </w:r>
      <w:proofErr w:type="spellEnd"/>
      <w:r w:rsidR="009C1C5B" w:rsidRPr="00F306A8">
        <w:rPr>
          <w:rFonts w:eastAsiaTheme="minorHAnsi"/>
          <w:b/>
        </w:rPr>
        <w:t xml:space="preserve"> software package</w:t>
      </w:r>
      <w:r w:rsidR="00F306A8" w:rsidRPr="00F306A8">
        <w:rPr>
          <w:rFonts w:eastAsiaTheme="minorHAnsi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559"/>
      </w:tblGrid>
      <w:tr w:rsidR="009C1C5B" w:rsidTr="00C03BCB">
        <w:tc>
          <w:tcPr>
            <w:tcW w:w="1809" w:type="dxa"/>
            <w:vMerge w:val="restart"/>
          </w:tcPr>
          <w:p w:rsidR="009C1C5B" w:rsidRDefault="009C1C5B" w:rsidP="00C03BCB">
            <w:pPr>
              <w:spacing w:line="480" w:lineRule="auto"/>
              <w:jc w:val="center"/>
            </w:pPr>
            <w:r>
              <w:t>Selection Method</w:t>
            </w:r>
          </w:p>
        </w:tc>
        <w:tc>
          <w:tcPr>
            <w:tcW w:w="3119" w:type="dxa"/>
            <w:gridSpan w:val="2"/>
          </w:tcPr>
          <w:p w:rsidR="009C1C5B" w:rsidRPr="003D024A" w:rsidRDefault="009C1C5B" w:rsidP="00C03BCB">
            <w:pPr>
              <w:spacing w:line="480" w:lineRule="auto"/>
              <w:jc w:val="center"/>
            </w:pPr>
            <w:r w:rsidRPr="003D024A">
              <w:t>Selection</w:t>
            </w:r>
          </w:p>
        </w:tc>
      </w:tr>
      <w:tr w:rsidR="009C1C5B" w:rsidTr="00C03BCB">
        <w:tc>
          <w:tcPr>
            <w:tcW w:w="1809" w:type="dxa"/>
            <w:vMerge/>
          </w:tcPr>
          <w:p w:rsidR="009C1C5B" w:rsidRDefault="009C1C5B" w:rsidP="00C03BCB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:rsidR="009C1C5B" w:rsidRDefault="009C1C5B" w:rsidP="00C03BCB">
            <w:pPr>
              <w:spacing w:line="480" w:lineRule="auto"/>
              <w:jc w:val="center"/>
            </w:pPr>
            <w:r>
              <w:t>Positive</w:t>
            </w:r>
          </w:p>
        </w:tc>
        <w:tc>
          <w:tcPr>
            <w:tcW w:w="1559" w:type="dxa"/>
          </w:tcPr>
          <w:p w:rsidR="009C1C5B" w:rsidRDefault="009C1C5B" w:rsidP="00C03BCB">
            <w:pPr>
              <w:spacing w:line="480" w:lineRule="auto"/>
              <w:jc w:val="center"/>
            </w:pPr>
            <w:r>
              <w:t>Negative</w:t>
            </w:r>
          </w:p>
        </w:tc>
      </w:tr>
      <w:tr w:rsidR="009C1C5B" w:rsidTr="00C03BCB">
        <w:tc>
          <w:tcPr>
            <w:tcW w:w="1809" w:type="dxa"/>
          </w:tcPr>
          <w:p w:rsidR="009C1C5B" w:rsidRDefault="009C1C5B" w:rsidP="00C03BCB">
            <w:pPr>
              <w:spacing w:line="480" w:lineRule="auto"/>
              <w:jc w:val="center"/>
            </w:pPr>
            <w:proofErr w:type="spellStart"/>
            <w:r w:rsidRPr="00EF6C62">
              <w:rPr>
                <w:rFonts w:eastAsiaTheme="minorHAnsi"/>
              </w:rPr>
              <w:t>SLAC</w:t>
            </w:r>
            <w:r>
              <w:rPr>
                <w:rFonts w:eastAsiaTheme="minorHAnsi"/>
                <w:vertAlign w:val="superscript"/>
              </w:rPr>
              <w:t>a</w:t>
            </w:r>
            <w:proofErr w:type="spellEnd"/>
          </w:p>
        </w:tc>
        <w:tc>
          <w:tcPr>
            <w:tcW w:w="1560" w:type="dxa"/>
          </w:tcPr>
          <w:p w:rsidR="009C1C5B" w:rsidRPr="005507A7" w:rsidRDefault="009C1C5B" w:rsidP="00C03BCB">
            <w:pPr>
              <w:spacing w:after="200" w:line="480" w:lineRule="auto"/>
              <w:jc w:val="center"/>
              <w:rPr>
                <w:rFonts w:eastAsiaTheme="minorHAnsi"/>
              </w:rPr>
            </w:pPr>
            <w:r w:rsidRPr="005507A7">
              <w:rPr>
                <w:rFonts w:eastAsiaTheme="minorHAnsi"/>
              </w:rPr>
              <w:t>0</w:t>
            </w:r>
          </w:p>
        </w:tc>
        <w:tc>
          <w:tcPr>
            <w:tcW w:w="1559" w:type="dxa"/>
          </w:tcPr>
          <w:p w:rsidR="009C1C5B" w:rsidRPr="005507A7" w:rsidRDefault="009C1C5B" w:rsidP="00C03BCB">
            <w:pPr>
              <w:spacing w:after="200" w:line="480" w:lineRule="auto"/>
              <w:jc w:val="center"/>
              <w:rPr>
                <w:rFonts w:eastAsiaTheme="minorHAnsi"/>
              </w:rPr>
            </w:pPr>
            <w:r w:rsidRPr="005507A7">
              <w:rPr>
                <w:rFonts w:eastAsiaTheme="minorHAnsi"/>
              </w:rPr>
              <w:t>82</w:t>
            </w:r>
          </w:p>
        </w:tc>
      </w:tr>
      <w:tr w:rsidR="009C1C5B" w:rsidTr="00C03BCB">
        <w:tc>
          <w:tcPr>
            <w:tcW w:w="1809" w:type="dxa"/>
          </w:tcPr>
          <w:p w:rsidR="009C1C5B" w:rsidRDefault="009C1C5B" w:rsidP="00C03BCB">
            <w:pPr>
              <w:spacing w:line="480" w:lineRule="auto"/>
              <w:jc w:val="center"/>
            </w:pPr>
            <w:proofErr w:type="spellStart"/>
            <w:r w:rsidRPr="00EF6C62">
              <w:rPr>
                <w:rFonts w:eastAsiaTheme="minorHAnsi"/>
              </w:rPr>
              <w:t>FEL</w:t>
            </w:r>
            <w:r>
              <w:rPr>
                <w:rFonts w:eastAsiaTheme="minorHAnsi"/>
                <w:vertAlign w:val="superscript"/>
              </w:rPr>
              <w:t>a</w:t>
            </w:r>
            <w:proofErr w:type="spellEnd"/>
          </w:p>
        </w:tc>
        <w:tc>
          <w:tcPr>
            <w:tcW w:w="1560" w:type="dxa"/>
          </w:tcPr>
          <w:p w:rsidR="009C1C5B" w:rsidRPr="005507A7" w:rsidRDefault="009C1C5B" w:rsidP="00C03BCB">
            <w:pPr>
              <w:spacing w:after="200" w:line="480" w:lineRule="auto"/>
              <w:jc w:val="center"/>
              <w:rPr>
                <w:rFonts w:eastAsiaTheme="minorHAnsi"/>
              </w:rPr>
            </w:pPr>
            <w:r w:rsidRPr="005507A7">
              <w:rPr>
                <w:rFonts w:eastAsiaTheme="minorHAnsi"/>
              </w:rPr>
              <w:t>1</w:t>
            </w:r>
          </w:p>
        </w:tc>
        <w:tc>
          <w:tcPr>
            <w:tcW w:w="1559" w:type="dxa"/>
          </w:tcPr>
          <w:p w:rsidR="009C1C5B" w:rsidRPr="005507A7" w:rsidRDefault="009C1C5B" w:rsidP="00C03BCB">
            <w:pPr>
              <w:spacing w:after="200" w:line="480" w:lineRule="auto"/>
              <w:jc w:val="center"/>
              <w:rPr>
                <w:rFonts w:eastAsiaTheme="minorHAnsi"/>
              </w:rPr>
            </w:pPr>
            <w:r w:rsidRPr="005507A7">
              <w:rPr>
                <w:rFonts w:eastAsiaTheme="minorHAnsi"/>
              </w:rPr>
              <w:t>159</w:t>
            </w:r>
          </w:p>
        </w:tc>
      </w:tr>
      <w:tr w:rsidR="009C1C5B" w:rsidTr="00C03BCB">
        <w:tc>
          <w:tcPr>
            <w:tcW w:w="1809" w:type="dxa"/>
          </w:tcPr>
          <w:p w:rsidR="009C1C5B" w:rsidRDefault="009C1C5B" w:rsidP="00C03BCB">
            <w:pPr>
              <w:spacing w:line="480" w:lineRule="auto"/>
              <w:jc w:val="center"/>
            </w:pPr>
            <w:proofErr w:type="spellStart"/>
            <w:r w:rsidRPr="00EF6C62">
              <w:rPr>
                <w:rFonts w:eastAsiaTheme="minorHAnsi"/>
              </w:rPr>
              <w:t>IFEL</w:t>
            </w:r>
            <w:r>
              <w:rPr>
                <w:rFonts w:eastAsiaTheme="minorHAnsi"/>
                <w:vertAlign w:val="superscript"/>
              </w:rPr>
              <w:t>a</w:t>
            </w:r>
            <w:proofErr w:type="spellEnd"/>
          </w:p>
        </w:tc>
        <w:tc>
          <w:tcPr>
            <w:tcW w:w="1560" w:type="dxa"/>
          </w:tcPr>
          <w:p w:rsidR="009C1C5B" w:rsidRPr="005507A7" w:rsidRDefault="009C1C5B" w:rsidP="00C03BCB">
            <w:pPr>
              <w:spacing w:after="200" w:line="480" w:lineRule="auto"/>
              <w:jc w:val="center"/>
              <w:rPr>
                <w:rFonts w:eastAsiaTheme="minorHAnsi"/>
              </w:rPr>
            </w:pPr>
            <w:r w:rsidRPr="005507A7">
              <w:rPr>
                <w:rFonts w:eastAsiaTheme="minorHAnsi"/>
              </w:rPr>
              <w:t>1</w:t>
            </w:r>
          </w:p>
        </w:tc>
        <w:tc>
          <w:tcPr>
            <w:tcW w:w="1559" w:type="dxa"/>
          </w:tcPr>
          <w:p w:rsidR="009C1C5B" w:rsidRPr="005507A7" w:rsidRDefault="009C1C5B" w:rsidP="00C03BCB">
            <w:pPr>
              <w:spacing w:after="200" w:line="480" w:lineRule="auto"/>
              <w:jc w:val="center"/>
              <w:rPr>
                <w:rFonts w:eastAsiaTheme="minorHAnsi"/>
              </w:rPr>
            </w:pPr>
            <w:r w:rsidRPr="005507A7">
              <w:rPr>
                <w:rFonts w:eastAsiaTheme="minorHAnsi"/>
              </w:rPr>
              <w:t>115</w:t>
            </w:r>
          </w:p>
        </w:tc>
      </w:tr>
      <w:tr w:rsidR="009C1C5B" w:rsidTr="00C03BCB">
        <w:tc>
          <w:tcPr>
            <w:tcW w:w="1809" w:type="dxa"/>
          </w:tcPr>
          <w:p w:rsidR="009C1C5B" w:rsidRDefault="009C1C5B" w:rsidP="00C03BCB">
            <w:pPr>
              <w:spacing w:line="480" w:lineRule="auto"/>
              <w:jc w:val="center"/>
            </w:pPr>
            <w:proofErr w:type="spellStart"/>
            <w:r w:rsidRPr="00EF6C62">
              <w:rPr>
                <w:rFonts w:eastAsiaTheme="minorHAnsi"/>
              </w:rPr>
              <w:t>REL</w:t>
            </w:r>
            <w:r>
              <w:rPr>
                <w:rFonts w:eastAsiaTheme="minorHAnsi"/>
                <w:vertAlign w:val="superscript"/>
              </w:rPr>
              <w:t>b</w:t>
            </w:r>
            <w:proofErr w:type="spellEnd"/>
          </w:p>
        </w:tc>
        <w:tc>
          <w:tcPr>
            <w:tcW w:w="1560" w:type="dxa"/>
          </w:tcPr>
          <w:p w:rsidR="009C1C5B" w:rsidRPr="005507A7" w:rsidRDefault="009C1C5B" w:rsidP="00C03BCB">
            <w:pPr>
              <w:spacing w:after="200" w:line="480" w:lineRule="auto"/>
              <w:jc w:val="center"/>
              <w:rPr>
                <w:rFonts w:eastAsiaTheme="minorHAnsi"/>
              </w:rPr>
            </w:pPr>
            <w:r w:rsidRPr="005507A7">
              <w:rPr>
                <w:rFonts w:eastAsiaTheme="minorHAnsi"/>
              </w:rPr>
              <w:t>1</w:t>
            </w:r>
          </w:p>
        </w:tc>
        <w:tc>
          <w:tcPr>
            <w:tcW w:w="1559" w:type="dxa"/>
          </w:tcPr>
          <w:p w:rsidR="009C1C5B" w:rsidRPr="005507A7" w:rsidRDefault="009C1C5B" w:rsidP="00C03BCB">
            <w:pPr>
              <w:spacing w:after="200" w:line="480" w:lineRule="auto"/>
              <w:jc w:val="center"/>
              <w:rPr>
                <w:rFonts w:eastAsiaTheme="minorHAnsi"/>
              </w:rPr>
            </w:pPr>
            <w:r w:rsidRPr="005507A7">
              <w:rPr>
                <w:rFonts w:eastAsiaTheme="minorHAnsi"/>
              </w:rPr>
              <w:t>9</w:t>
            </w:r>
          </w:p>
        </w:tc>
      </w:tr>
      <w:tr w:rsidR="009C1C5B" w:rsidTr="00C03BCB">
        <w:tc>
          <w:tcPr>
            <w:tcW w:w="1809" w:type="dxa"/>
          </w:tcPr>
          <w:p w:rsidR="009C1C5B" w:rsidRDefault="009C1C5B" w:rsidP="00C03BCB">
            <w:pPr>
              <w:spacing w:line="480" w:lineRule="auto"/>
              <w:jc w:val="center"/>
            </w:pPr>
            <w:proofErr w:type="spellStart"/>
            <w:r w:rsidRPr="00EF6C62">
              <w:rPr>
                <w:rFonts w:eastAsiaTheme="minorHAnsi"/>
              </w:rPr>
              <w:t>FUBAR</w:t>
            </w:r>
            <w:r>
              <w:rPr>
                <w:rFonts w:eastAsiaTheme="minorHAnsi"/>
                <w:vertAlign w:val="superscript"/>
              </w:rPr>
              <w:t>c</w:t>
            </w:r>
            <w:proofErr w:type="spellEnd"/>
          </w:p>
        </w:tc>
        <w:tc>
          <w:tcPr>
            <w:tcW w:w="1560" w:type="dxa"/>
          </w:tcPr>
          <w:p w:rsidR="009C1C5B" w:rsidRPr="005507A7" w:rsidRDefault="009C1C5B" w:rsidP="00C03BCB">
            <w:pPr>
              <w:spacing w:after="200" w:line="480" w:lineRule="auto"/>
              <w:jc w:val="center"/>
              <w:rPr>
                <w:rFonts w:eastAsiaTheme="minorHAnsi"/>
              </w:rPr>
            </w:pPr>
            <w:r w:rsidRPr="005507A7">
              <w:rPr>
                <w:rFonts w:eastAsiaTheme="minorHAnsi"/>
              </w:rPr>
              <w:t>1</w:t>
            </w:r>
          </w:p>
        </w:tc>
        <w:tc>
          <w:tcPr>
            <w:tcW w:w="1559" w:type="dxa"/>
          </w:tcPr>
          <w:p w:rsidR="009C1C5B" w:rsidRPr="005507A7" w:rsidRDefault="009C1C5B" w:rsidP="00C03BCB">
            <w:pPr>
              <w:spacing w:after="200" w:line="480" w:lineRule="auto"/>
              <w:jc w:val="center"/>
              <w:rPr>
                <w:rFonts w:eastAsiaTheme="minorHAnsi"/>
              </w:rPr>
            </w:pPr>
            <w:r w:rsidRPr="005507A7">
              <w:rPr>
                <w:rFonts w:eastAsiaTheme="minorHAnsi"/>
              </w:rPr>
              <w:t>499</w:t>
            </w:r>
          </w:p>
        </w:tc>
      </w:tr>
      <w:tr w:rsidR="009C1C5B" w:rsidTr="00C03BCB">
        <w:tc>
          <w:tcPr>
            <w:tcW w:w="1809" w:type="dxa"/>
          </w:tcPr>
          <w:p w:rsidR="009C1C5B" w:rsidRDefault="009C1C5B" w:rsidP="00C03BCB">
            <w:pPr>
              <w:spacing w:line="480" w:lineRule="auto"/>
              <w:jc w:val="center"/>
            </w:pPr>
            <w:proofErr w:type="spellStart"/>
            <w:r w:rsidRPr="00EF6C62">
              <w:rPr>
                <w:rFonts w:eastAsiaTheme="minorHAnsi"/>
              </w:rPr>
              <w:t>MEME</w:t>
            </w:r>
            <w:r>
              <w:rPr>
                <w:rFonts w:eastAsiaTheme="minorHAnsi"/>
                <w:vertAlign w:val="superscript"/>
              </w:rPr>
              <w:t>d</w:t>
            </w:r>
            <w:proofErr w:type="spellEnd"/>
          </w:p>
        </w:tc>
        <w:tc>
          <w:tcPr>
            <w:tcW w:w="1560" w:type="dxa"/>
          </w:tcPr>
          <w:p w:rsidR="009C1C5B" w:rsidRDefault="009C1C5B" w:rsidP="00C03BCB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C1C5B" w:rsidRDefault="009C1C5B" w:rsidP="00C03BCB">
            <w:pPr>
              <w:spacing w:line="480" w:lineRule="auto"/>
              <w:jc w:val="center"/>
            </w:pPr>
            <w:r>
              <w:t>NA</w:t>
            </w:r>
          </w:p>
        </w:tc>
      </w:tr>
    </w:tbl>
    <w:p w:rsidR="009C1C5B" w:rsidRPr="005507A7" w:rsidRDefault="009C1C5B" w:rsidP="009C1C5B">
      <w:pPr>
        <w:spacing w:line="480" w:lineRule="auto"/>
        <w:rPr>
          <w:rFonts w:eastAsiaTheme="minorHAnsi"/>
        </w:rPr>
      </w:pPr>
      <w:proofErr w:type="spellStart"/>
      <w:proofErr w:type="gramStart"/>
      <w:r>
        <w:rPr>
          <w:rFonts w:eastAsiaTheme="minorHAnsi"/>
          <w:vertAlign w:val="superscript"/>
        </w:rPr>
        <w:t>a</w:t>
      </w:r>
      <w:r w:rsidRPr="005507A7">
        <w:rPr>
          <w:rFonts w:eastAsiaTheme="minorHAnsi"/>
        </w:rPr>
        <w:t>Number</w:t>
      </w:r>
      <w:proofErr w:type="spellEnd"/>
      <w:proofErr w:type="gramEnd"/>
      <w:r w:rsidRPr="005507A7">
        <w:rPr>
          <w:rFonts w:eastAsiaTheme="minorHAnsi"/>
        </w:rPr>
        <w:t xml:space="preserve"> of sites where </w:t>
      </w:r>
      <w:r w:rsidRPr="005507A7">
        <w:rPr>
          <w:rFonts w:eastAsiaTheme="minorHAnsi"/>
          <w:i/>
        </w:rPr>
        <w:t>P</w:t>
      </w:r>
      <w:r w:rsidRPr="005507A7">
        <w:rPr>
          <w:rFonts w:eastAsiaTheme="minorHAnsi"/>
        </w:rPr>
        <w:t>&lt; 0.05.</w:t>
      </w:r>
    </w:p>
    <w:p w:rsidR="009C1C5B" w:rsidRPr="009770B2" w:rsidRDefault="009C1C5B" w:rsidP="009C1C5B">
      <w:pPr>
        <w:spacing w:line="480" w:lineRule="auto"/>
        <w:rPr>
          <w:rFonts w:eastAsiaTheme="minorHAnsi"/>
        </w:rPr>
      </w:pPr>
      <w:proofErr w:type="spellStart"/>
      <w:proofErr w:type="gramStart"/>
      <w:r>
        <w:rPr>
          <w:rFonts w:eastAsiaTheme="minorHAnsi"/>
          <w:vertAlign w:val="superscript"/>
        </w:rPr>
        <w:t>b</w:t>
      </w:r>
      <w:r w:rsidRPr="009770B2">
        <w:rPr>
          <w:rFonts w:eastAsiaTheme="minorHAnsi"/>
        </w:rPr>
        <w:t>Number</w:t>
      </w:r>
      <w:proofErr w:type="spellEnd"/>
      <w:proofErr w:type="gramEnd"/>
      <w:r w:rsidRPr="009770B2">
        <w:rPr>
          <w:rFonts w:eastAsiaTheme="minorHAnsi"/>
        </w:rPr>
        <w:t xml:space="preserve"> of sites where Bayes factor &gt;100.</w:t>
      </w:r>
    </w:p>
    <w:p w:rsidR="009C1C5B" w:rsidRPr="009770B2" w:rsidRDefault="009C1C5B" w:rsidP="009C1C5B">
      <w:pPr>
        <w:spacing w:line="480" w:lineRule="auto"/>
        <w:rPr>
          <w:rFonts w:eastAsiaTheme="minorHAnsi"/>
        </w:rPr>
      </w:pPr>
      <w:proofErr w:type="spellStart"/>
      <w:proofErr w:type="gramStart"/>
      <w:r>
        <w:rPr>
          <w:rFonts w:eastAsiaTheme="minorHAnsi"/>
          <w:vertAlign w:val="superscript"/>
        </w:rPr>
        <w:t>c</w:t>
      </w:r>
      <w:r w:rsidRPr="009770B2">
        <w:rPr>
          <w:rFonts w:eastAsiaTheme="minorHAnsi"/>
        </w:rPr>
        <w:t>Number</w:t>
      </w:r>
      <w:proofErr w:type="spellEnd"/>
      <w:proofErr w:type="gramEnd"/>
      <w:r w:rsidRPr="009770B2">
        <w:rPr>
          <w:rFonts w:eastAsiaTheme="minorHAnsi"/>
        </w:rPr>
        <w:t xml:space="preserve"> of sites where posterior probability (β&gt;α) &gt;0.9.</w:t>
      </w:r>
    </w:p>
    <w:p w:rsidR="009C1C5B" w:rsidRDefault="009C1C5B" w:rsidP="009C1C5B">
      <w:pPr>
        <w:spacing w:line="480" w:lineRule="auto"/>
        <w:rPr>
          <w:rFonts w:eastAsiaTheme="minorHAnsi"/>
        </w:rPr>
      </w:pPr>
      <w:proofErr w:type="spellStart"/>
      <w:proofErr w:type="gramStart"/>
      <w:r>
        <w:rPr>
          <w:rFonts w:eastAsiaTheme="minorHAnsi"/>
          <w:vertAlign w:val="superscript"/>
        </w:rPr>
        <w:t>d</w:t>
      </w:r>
      <w:r w:rsidRPr="009770B2">
        <w:rPr>
          <w:rFonts w:eastAsiaTheme="minorHAnsi"/>
        </w:rPr>
        <w:t>Number</w:t>
      </w:r>
      <w:proofErr w:type="spellEnd"/>
      <w:proofErr w:type="gramEnd"/>
      <w:r w:rsidRPr="009770B2">
        <w:rPr>
          <w:rFonts w:eastAsiaTheme="minorHAnsi"/>
        </w:rPr>
        <w:t xml:space="preserve"> of sites where </w:t>
      </w:r>
      <w:r w:rsidRPr="009770B2">
        <w:rPr>
          <w:rFonts w:eastAsiaTheme="minorHAnsi"/>
          <w:i/>
        </w:rPr>
        <w:t>P</w:t>
      </w:r>
      <w:r w:rsidRPr="009770B2">
        <w:rPr>
          <w:rFonts w:eastAsiaTheme="minorHAnsi"/>
        </w:rPr>
        <w:t>&lt;0.01.</w:t>
      </w:r>
    </w:p>
    <w:p w:rsidR="00624756" w:rsidRDefault="00B877BA"/>
    <w:sectPr w:rsidR="00624756" w:rsidSect="009C1C5B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5B"/>
    <w:rsid w:val="000D0DFF"/>
    <w:rsid w:val="00103660"/>
    <w:rsid w:val="001B2C09"/>
    <w:rsid w:val="00267584"/>
    <w:rsid w:val="0030120A"/>
    <w:rsid w:val="003A5425"/>
    <w:rsid w:val="003B71CB"/>
    <w:rsid w:val="00415CA3"/>
    <w:rsid w:val="004D08D0"/>
    <w:rsid w:val="004F7CBD"/>
    <w:rsid w:val="00515A14"/>
    <w:rsid w:val="005600BC"/>
    <w:rsid w:val="00644085"/>
    <w:rsid w:val="00645D8C"/>
    <w:rsid w:val="00737DBB"/>
    <w:rsid w:val="007470C8"/>
    <w:rsid w:val="008207A8"/>
    <w:rsid w:val="00850DB0"/>
    <w:rsid w:val="00954F9D"/>
    <w:rsid w:val="0096702C"/>
    <w:rsid w:val="009C1C5B"/>
    <w:rsid w:val="00A627D5"/>
    <w:rsid w:val="00AD18B4"/>
    <w:rsid w:val="00B710A6"/>
    <w:rsid w:val="00B877BA"/>
    <w:rsid w:val="00C142D5"/>
    <w:rsid w:val="00C3745E"/>
    <w:rsid w:val="00CF18A3"/>
    <w:rsid w:val="00D457FF"/>
    <w:rsid w:val="00D816E8"/>
    <w:rsid w:val="00DB619B"/>
    <w:rsid w:val="00DC7E3E"/>
    <w:rsid w:val="00E0332C"/>
    <w:rsid w:val="00E75E1A"/>
    <w:rsid w:val="00F306A8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19E0A5-CEA1-40D8-AA21-714D777B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60" w:lineRule="auto"/>
        <w:ind w:left="6481" w:hanging="648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C5B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C5B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442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David (AAHL, Geelong AAHL)</dc:creator>
  <cp:lastModifiedBy>Williams, David (AAHL, Geelong AAHL)</cp:lastModifiedBy>
  <cp:revision>2</cp:revision>
  <dcterms:created xsi:type="dcterms:W3CDTF">2015-11-02T10:43:00Z</dcterms:created>
  <dcterms:modified xsi:type="dcterms:W3CDTF">2015-11-02T10:43:00Z</dcterms:modified>
</cp:coreProperties>
</file>