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29" w:rsidRPr="00A20B82" w:rsidRDefault="0076768E" w:rsidP="00A20B82">
      <w:pPr>
        <w:jc w:val="center"/>
        <w:rPr>
          <w:rFonts w:ascii="Arial" w:hAnsi="Arial" w:cs="Arial"/>
          <w:sz w:val="36"/>
          <w:szCs w:val="36"/>
        </w:rPr>
      </w:pPr>
      <w:r w:rsidRPr="0076768E">
        <w:rPr>
          <w:rFonts w:ascii="Arial" w:hAnsi="Arial" w:cs="Arial"/>
          <w:sz w:val="36"/>
          <w:szCs w:val="36"/>
        </w:rPr>
        <w:t>S</w:t>
      </w:r>
      <w:r w:rsidR="005E77C7">
        <w:rPr>
          <w:rFonts w:ascii="Arial" w:hAnsi="Arial" w:cs="Arial"/>
          <w:sz w:val="36"/>
          <w:szCs w:val="36"/>
        </w:rPr>
        <w:t>1</w:t>
      </w:r>
      <w:bookmarkStart w:id="0" w:name="_GoBack"/>
      <w:bookmarkEnd w:id="0"/>
      <w:r w:rsidRPr="0076768E">
        <w:rPr>
          <w:rFonts w:ascii="Arial" w:hAnsi="Arial" w:cs="Arial"/>
          <w:sz w:val="36"/>
          <w:szCs w:val="36"/>
        </w:rPr>
        <w:t xml:space="preserve"> File</w:t>
      </w:r>
      <w:r>
        <w:rPr>
          <w:rFonts w:ascii="Arial" w:hAnsi="Arial" w:cs="Arial"/>
          <w:sz w:val="36"/>
          <w:szCs w:val="36"/>
        </w:rPr>
        <w:t xml:space="preserve">. </w:t>
      </w:r>
      <w:r w:rsidRPr="0076768E">
        <w:rPr>
          <w:rFonts w:ascii="Arial" w:hAnsi="Arial" w:cs="Arial"/>
          <w:sz w:val="36"/>
          <w:szCs w:val="36"/>
        </w:rPr>
        <w:t>Calibration process and sensitivity analysis</w:t>
      </w:r>
      <w:r>
        <w:rPr>
          <w:rFonts w:ascii="Arial" w:hAnsi="Arial" w:cs="Arial"/>
          <w:sz w:val="36"/>
          <w:szCs w:val="36"/>
        </w:rPr>
        <w:t>.</w:t>
      </w:r>
    </w:p>
    <w:p w:rsidR="00D964D9" w:rsidRDefault="00D964D9" w:rsidP="0076768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Calibration process</w:t>
      </w:r>
    </w:p>
    <w:p w:rsidR="00D964D9" w:rsidRDefault="00D964D9" w:rsidP="00D964D9">
      <w:pPr>
        <w:rPr>
          <w:rFonts w:ascii="Arial" w:hAnsi="Arial" w:cs="Arial"/>
        </w:rPr>
      </w:pPr>
      <w:r w:rsidRPr="00D964D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model was </w:t>
      </w:r>
      <w:r w:rsidRPr="00D82047">
        <w:rPr>
          <w:rFonts w:ascii="Arial" w:hAnsi="Arial" w:cs="Arial"/>
        </w:rPr>
        <w:t xml:space="preserve">independently calibrated to empirical age-stratified community-level disease prevalence data from three </w:t>
      </w:r>
      <w:r>
        <w:rPr>
          <w:rFonts w:ascii="Arial" w:hAnsi="Arial" w:cs="Arial"/>
        </w:rPr>
        <w:t xml:space="preserve">de-identified </w:t>
      </w:r>
      <w:r w:rsidRPr="00D82047">
        <w:rPr>
          <w:rFonts w:ascii="Arial" w:hAnsi="Arial" w:cs="Arial"/>
        </w:rPr>
        <w:t>Australian regions</w:t>
      </w:r>
      <w:r w:rsidR="00CA66F6">
        <w:rPr>
          <w:rFonts w:ascii="Arial" w:hAnsi="Arial" w:cs="Arial"/>
        </w:rPr>
        <w:t xml:space="preserve"> through a Monte Carlo filtering process</w:t>
      </w:r>
      <w:r>
        <w:rPr>
          <w:rFonts w:ascii="Arial" w:hAnsi="Arial" w:cs="Arial"/>
        </w:rPr>
        <w:t xml:space="preserve">. The timing and intensity </w:t>
      </w:r>
      <w:r w:rsidR="00833338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of screening and treatment activities as described by the data available in the national trachoma database, which is made available in summarised </w:t>
      </w:r>
      <w:r w:rsidR="00446502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though a</w:t>
      </w:r>
      <w:r w:rsidR="00446502">
        <w:rPr>
          <w:rFonts w:ascii="Arial" w:hAnsi="Arial" w:cs="Arial"/>
        </w:rPr>
        <w:t>nnual</w:t>
      </w:r>
      <w:r>
        <w:rPr>
          <w:rFonts w:ascii="Arial" w:hAnsi="Arial" w:cs="Arial"/>
        </w:rPr>
        <w:t xml:space="preserve"> national trachoma surveillance report</w:t>
      </w:r>
      <w:r w:rsidR="00446502">
        <w:rPr>
          <w:rFonts w:ascii="Arial" w:hAnsi="Arial" w:cs="Arial"/>
        </w:rPr>
        <w:t xml:space="preserve">s </w:t>
      </w:r>
      <w:r w:rsidR="00446502">
        <w:rPr>
          <w:rFonts w:ascii="Arial" w:hAnsi="Arial" w:cs="Arial"/>
        </w:rPr>
        <w:fldChar w:fldCharType="begin">
          <w:fldData xml:space="preserve">PEVuZE5vdGU+PENpdGU+PEF1dGhvcj5UZWxsaXM8L0F1dGhvcj48WWVhcj4yMDA4PC9ZZWFyPjxS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</w:fldData>
        </w:fldChar>
      </w:r>
      <w:r w:rsidR="0076768E">
        <w:rPr>
          <w:rFonts w:ascii="Arial" w:hAnsi="Arial" w:cs="Arial"/>
        </w:rPr>
        <w:instrText xml:space="preserve"> ADDIN EN.CITE </w:instrText>
      </w:r>
      <w:r w:rsidR="0076768E">
        <w:rPr>
          <w:rFonts w:ascii="Arial" w:hAnsi="Arial" w:cs="Arial"/>
        </w:rPr>
        <w:fldChar w:fldCharType="begin">
          <w:fldData xml:space="preserve">PEVuZE5vdGU+PENpdGU+PEF1dGhvcj5UZWxsaXM8L0F1dGhvcj48WWVhcj4yMDA4PC9ZZWFyPjxS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</w:fldData>
        </w:fldChar>
      </w:r>
      <w:r w:rsidR="0076768E">
        <w:rPr>
          <w:rFonts w:ascii="Arial" w:hAnsi="Arial" w:cs="Arial"/>
        </w:rPr>
        <w:instrText xml:space="preserve"> ADDIN EN.CITE.DATA </w:instrText>
      </w:r>
      <w:r w:rsidR="0076768E">
        <w:rPr>
          <w:rFonts w:ascii="Arial" w:hAnsi="Arial" w:cs="Arial"/>
        </w:rPr>
      </w:r>
      <w:r w:rsidR="0076768E">
        <w:rPr>
          <w:rFonts w:ascii="Arial" w:hAnsi="Arial" w:cs="Arial"/>
        </w:rPr>
        <w:fldChar w:fldCharType="end"/>
      </w:r>
      <w:r w:rsidR="00446502">
        <w:rPr>
          <w:rFonts w:ascii="Arial" w:hAnsi="Arial" w:cs="Arial"/>
        </w:rPr>
      </w:r>
      <w:r w:rsidR="00446502">
        <w:rPr>
          <w:rFonts w:ascii="Arial" w:hAnsi="Arial" w:cs="Arial"/>
        </w:rPr>
        <w:fldChar w:fldCharType="separate"/>
      </w:r>
      <w:r w:rsidR="0076768E">
        <w:rPr>
          <w:rFonts w:ascii="Arial" w:hAnsi="Arial" w:cs="Arial"/>
          <w:noProof/>
        </w:rPr>
        <w:t>[</w:t>
      </w:r>
      <w:hyperlink w:anchor="_ENREF_1" w:tooltip="Tellis, 2008 #39" w:history="1">
        <w:r w:rsidR="00A20B82">
          <w:rPr>
            <w:rFonts w:ascii="Arial" w:hAnsi="Arial" w:cs="Arial"/>
            <w:noProof/>
          </w:rPr>
          <w:t>1-4</w:t>
        </w:r>
      </w:hyperlink>
      <w:r w:rsidR="0076768E">
        <w:rPr>
          <w:rFonts w:ascii="Arial" w:hAnsi="Arial" w:cs="Arial"/>
          <w:noProof/>
        </w:rPr>
        <w:t>]</w:t>
      </w:r>
      <w:r w:rsidR="00446502">
        <w:rPr>
          <w:rFonts w:ascii="Arial" w:hAnsi="Arial" w:cs="Arial"/>
        </w:rPr>
        <w:fldChar w:fldCharType="end"/>
      </w:r>
      <w:r w:rsidR="00833338">
        <w:rPr>
          <w:rFonts w:ascii="Arial" w:hAnsi="Arial" w:cs="Arial"/>
        </w:rPr>
        <w:t>, were entered directly into the model</w:t>
      </w:r>
      <w:r>
        <w:rPr>
          <w:rFonts w:ascii="Arial" w:hAnsi="Arial" w:cs="Arial"/>
        </w:rPr>
        <w:t>.</w:t>
      </w:r>
      <w:r w:rsidR="00446502">
        <w:rPr>
          <w:rFonts w:ascii="Arial" w:hAnsi="Arial" w:cs="Arial"/>
        </w:rPr>
        <w:t xml:space="preserve"> The community-level age-stratified prevalence </w:t>
      </w:r>
      <w:r w:rsidR="00CA6BC8">
        <w:rPr>
          <w:rFonts w:ascii="Arial" w:hAnsi="Arial" w:cs="Arial"/>
        </w:rPr>
        <w:t xml:space="preserve">of facial cleanliness amongst children was also </w:t>
      </w:r>
      <w:r w:rsidR="00833338">
        <w:rPr>
          <w:rFonts w:ascii="Arial" w:hAnsi="Arial" w:cs="Arial"/>
        </w:rPr>
        <w:t>directly entered into the model</w:t>
      </w:r>
      <w:r w:rsidR="00CA6BC8">
        <w:rPr>
          <w:rFonts w:ascii="Arial" w:hAnsi="Arial" w:cs="Arial"/>
        </w:rPr>
        <w:t xml:space="preserve"> as described by the national data set.</w:t>
      </w:r>
    </w:p>
    <w:p w:rsidR="009F1361" w:rsidRPr="00D964D9" w:rsidRDefault="009F1361" w:rsidP="00D96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B5C96" w:rsidRPr="00EB5C96">
        <w:rPr>
          <w:rFonts w:ascii="Arial" w:hAnsi="Arial" w:cs="Arial"/>
          <w:i/>
        </w:rPr>
        <w:t>interaction</w:t>
      </w:r>
      <w:r w:rsidR="00EB5C96">
        <w:rPr>
          <w:rFonts w:ascii="Arial" w:hAnsi="Arial" w:cs="Arial"/>
        </w:rPr>
        <w:t xml:space="preserve"> and </w:t>
      </w:r>
      <w:r w:rsidR="00EB5C96" w:rsidRPr="00EB5C96">
        <w:rPr>
          <w:rFonts w:ascii="Arial" w:hAnsi="Arial" w:cs="Arial"/>
          <w:i/>
        </w:rPr>
        <w:t>transmission</w:t>
      </w:r>
      <w:r w:rsidR="00EB5C96">
        <w:rPr>
          <w:rFonts w:ascii="Arial" w:hAnsi="Arial" w:cs="Arial"/>
          <w:i/>
        </w:rPr>
        <w:t xml:space="preserve"> </w:t>
      </w:r>
      <w:r w:rsidR="00EB5C96">
        <w:rPr>
          <w:rFonts w:ascii="Arial" w:hAnsi="Arial" w:cs="Arial"/>
        </w:rPr>
        <w:t>parameters</w:t>
      </w:r>
      <w:r w:rsidR="00833338">
        <w:rPr>
          <w:rFonts w:ascii="Arial" w:hAnsi="Arial" w:cs="Arial"/>
        </w:rPr>
        <w:t xml:space="preserve"> (as described in the parameter table above)</w:t>
      </w:r>
      <w:r w:rsidR="00EB5C96">
        <w:rPr>
          <w:rFonts w:ascii="Arial" w:hAnsi="Arial" w:cs="Arial"/>
        </w:rPr>
        <w:t xml:space="preserve"> </w:t>
      </w:r>
      <w:r w:rsidR="009B2EA0">
        <w:rPr>
          <w:rFonts w:ascii="Arial" w:hAnsi="Arial" w:cs="Arial"/>
        </w:rPr>
        <w:t xml:space="preserve">that are components of the force of infection calculation </w:t>
      </w:r>
      <w:r w:rsidR="00EB5C96">
        <w:rPr>
          <w:rFonts w:ascii="Arial" w:hAnsi="Arial" w:cs="Arial"/>
        </w:rPr>
        <w:t xml:space="preserve">were sampled through </w:t>
      </w:r>
      <w:r w:rsidR="00CA66F6">
        <w:rPr>
          <w:rFonts w:ascii="Arial" w:hAnsi="Arial" w:cs="Arial"/>
        </w:rPr>
        <w:t>uniform-distribution Latin-hypercube sampling</w:t>
      </w:r>
      <w:r w:rsidR="009B2EA0">
        <w:rPr>
          <w:rFonts w:ascii="Arial" w:hAnsi="Arial" w:cs="Arial"/>
        </w:rPr>
        <w:t xml:space="preserve"> to form</w:t>
      </w:r>
      <w:r w:rsidR="00CA66F6">
        <w:rPr>
          <w:rFonts w:ascii="Arial" w:hAnsi="Arial" w:cs="Arial"/>
        </w:rPr>
        <w:t xml:space="preserve"> 1,000 unique parameter sets</w:t>
      </w:r>
      <w:r w:rsidR="00BA5600">
        <w:rPr>
          <w:rFonts w:ascii="Arial" w:hAnsi="Arial" w:cs="Arial"/>
        </w:rPr>
        <w:t xml:space="preserve"> that satisfy the condition that community</w:t>
      </w:r>
      <w:r w:rsidR="00BA5600" w:rsidRPr="00BA5600">
        <w:rPr>
          <w:rFonts w:ascii="Arial" w:hAnsi="Arial" w:cs="Arial"/>
        </w:rPr>
        <w:t xml:space="preserve">-level prevalence at the time of community screening is no greater than 150% or no less than 50% of </w:t>
      </w:r>
      <w:r w:rsidR="00BA5600">
        <w:rPr>
          <w:rFonts w:ascii="Arial" w:hAnsi="Arial" w:cs="Arial"/>
        </w:rPr>
        <w:t xml:space="preserve">the annual prevalence estimate for the respective community. </w:t>
      </w:r>
      <w:r w:rsidR="00CA66F6">
        <w:rPr>
          <w:rFonts w:ascii="Arial" w:hAnsi="Arial" w:cs="Arial"/>
        </w:rPr>
        <w:t xml:space="preserve">The community-specific force of infection parameters were varied for each community such that </w:t>
      </w:r>
      <w:r w:rsidR="00BA5600">
        <w:rPr>
          <w:rFonts w:ascii="Arial" w:hAnsi="Arial" w:cs="Arial"/>
        </w:rPr>
        <w:t>this condition was satisfied</w:t>
      </w:r>
      <w:r w:rsidR="00833338">
        <w:rPr>
          <w:rFonts w:ascii="Arial" w:hAnsi="Arial" w:cs="Arial"/>
        </w:rPr>
        <w:t>;</w:t>
      </w:r>
      <w:r w:rsidR="00BA5600">
        <w:rPr>
          <w:rFonts w:ascii="Arial" w:hAnsi="Arial" w:cs="Arial"/>
        </w:rPr>
        <w:t xml:space="preserve"> the </w:t>
      </w:r>
      <w:r w:rsidR="00833338">
        <w:rPr>
          <w:rFonts w:ascii="Arial" w:hAnsi="Arial" w:cs="Arial"/>
        </w:rPr>
        <w:t>other</w:t>
      </w:r>
      <w:r w:rsidR="00BA5600">
        <w:rPr>
          <w:rFonts w:ascii="Arial" w:hAnsi="Arial" w:cs="Arial"/>
        </w:rPr>
        <w:t xml:space="preserve"> parameters were constant across each community within a region. </w:t>
      </w:r>
      <w:r>
        <w:rPr>
          <w:rFonts w:ascii="Arial" w:hAnsi="Arial" w:cs="Arial"/>
        </w:rPr>
        <w:t xml:space="preserve">The </w:t>
      </w:r>
      <w:r w:rsidRPr="00EB5C96">
        <w:rPr>
          <w:rFonts w:ascii="Arial" w:hAnsi="Arial" w:cs="Arial"/>
          <w:i/>
        </w:rPr>
        <w:t>biological</w:t>
      </w:r>
      <w:r>
        <w:rPr>
          <w:rFonts w:ascii="Arial" w:hAnsi="Arial" w:cs="Arial"/>
        </w:rPr>
        <w:t xml:space="preserve"> parameters of the model (as described in the previous section) </w:t>
      </w:r>
      <w:r w:rsidR="00CA66F6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not calibrated, but are sampled from the specified </w:t>
      </w:r>
      <w:r w:rsidR="00F930EC">
        <w:rPr>
          <w:rFonts w:ascii="Arial" w:hAnsi="Arial" w:cs="Arial"/>
        </w:rPr>
        <w:t>distributions</w:t>
      </w:r>
      <w:r>
        <w:rPr>
          <w:rFonts w:ascii="Arial" w:hAnsi="Arial" w:cs="Arial"/>
        </w:rPr>
        <w:t xml:space="preserve"> when </w:t>
      </w:r>
      <w:r w:rsidR="00E73694">
        <w:rPr>
          <w:rFonts w:ascii="Arial" w:hAnsi="Arial" w:cs="Arial"/>
        </w:rPr>
        <w:t>an individual initiate</w:t>
      </w:r>
      <w:r w:rsidR="00F930EC">
        <w:rPr>
          <w:rFonts w:ascii="Arial" w:hAnsi="Arial" w:cs="Arial"/>
        </w:rPr>
        <w:t>s</w:t>
      </w:r>
      <w:r w:rsidR="00E73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EB5C96">
        <w:rPr>
          <w:rFonts w:ascii="Arial" w:hAnsi="Arial" w:cs="Arial"/>
        </w:rPr>
        <w:t>respective</w:t>
      </w:r>
      <w:r w:rsidR="00F930EC">
        <w:rPr>
          <w:rFonts w:ascii="Arial" w:hAnsi="Arial" w:cs="Arial"/>
        </w:rPr>
        <w:t xml:space="preserve"> disease stage.</w:t>
      </w:r>
    </w:p>
    <w:p w:rsidR="008B5C29" w:rsidRPr="008B5C29" w:rsidRDefault="008B5C29" w:rsidP="008B5C29">
      <w:pPr>
        <w:pageBreakBefore/>
        <w:rPr>
          <w:rFonts w:ascii="Arial" w:hAnsi="Arial" w:cs="Arial"/>
          <w:b/>
          <w:sz w:val="26"/>
          <w:szCs w:val="26"/>
        </w:rPr>
      </w:pPr>
      <w:r w:rsidRPr="008B5C29">
        <w:rPr>
          <w:rFonts w:ascii="Arial" w:hAnsi="Arial" w:cs="Arial"/>
          <w:b/>
          <w:sz w:val="26"/>
          <w:szCs w:val="26"/>
        </w:rPr>
        <w:lastRenderedPageBreak/>
        <w:t xml:space="preserve">Sensitivity </w:t>
      </w:r>
      <w:r w:rsidR="00B41C14">
        <w:rPr>
          <w:rFonts w:ascii="Arial" w:hAnsi="Arial" w:cs="Arial"/>
          <w:b/>
          <w:sz w:val="26"/>
          <w:szCs w:val="26"/>
        </w:rPr>
        <w:t>a</w:t>
      </w:r>
      <w:r w:rsidRPr="008B5C29">
        <w:rPr>
          <w:rFonts w:ascii="Arial" w:hAnsi="Arial" w:cs="Arial"/>
          <w:b/>
          <w:sz w:val="26"/>
          <w:szCs w:val="26"/>
        </w:rPr>
        <w:t>nalysis</w:t>
      </w:r>
    </w:p>
    <w:p w:rsidR="000A5A96" w:rsidRDefault="008B5C29" w:rsidP="00B16908">
      <w:pPr>
        <w:rPr>
          <w:rFonts w:ascii="Arial" w:hAnsi="Arial" w:cs="Arial"/>
        </w:rPr>
      </w:pPr>
      <w:r w:rsidRPr="008B5C29">
        <w:rPr>
          <w:rFonts w:ascii="Arial" w:hAnsi="Arial" w:cs="Arial"/>
        </w:rPr>
        <w:t>Both a linear regression analysis and a partial-rank-correlation-coefficient analysis were performed on the 1</w:t>
      </w:r>
      <w:r w:rsidR="00976644">
        <w:rPr>
          <w:rFonts w:ascii="Arial" w:hAnsi="Arial" w:cs="Arial"/>
        </w:rPr>
        <w:t>,</w:t>
      </w:r>
      <w:r w:rsidRPr="008B5C29">
        <w:rPr>
          <w:rFonts w:ascii="Arial" w:hAnsi="Arial" w:cs="Arial"/>
        </w:rPr>
        <w:t xml:space="preserve">000 </w:t>
      </w:r>
      <w:r w:rsidR="002E3723">
        <w:rPr>
          <w:rFonts w:ascii="Arial" w:hAnsi="Arial" w:cs="Arial"/>
        </w:rPr>
        <w:t>calibrated</w:t>
      </w:r>
      <w:r w:rsidRPr="008B5C29">
        <w:rPr>
          <w:rFonts w:ascii="Arial" w:hAnsi="Arial" w:cs="Arial"/>
        </w:rPr>
        <w:t xml:space="preserve"> parameter sets</w:t>
      </w:r>
      <w:r w:rsidR="00B41C14">
        <w:rPr>
          <w:rFonts w:ascii="Arial" w:hAnsi="Arial" w:cs="Arial"/>
        </w:rPr>
        <w:t xml:space="preserve"> and t</w:t>
      </w:r>
      <w:r w:rsidRPr="008B5C29">
        <w:rPr>
          <w:rFonts w:ascii="Arial" w:hAnsi="Arial" w:cs="Arial"/>
        </w:rPr>
        <w:t xml:space="preserve">he corresponding model output chosen was 5-9 year old disease prevalence in 2020. These analyses indicate that the model results are most heavily influenced by the household and community level transmission parameters </w:t>
      </w:r>
      <w:r w:rsidR="000A5A96">
        <w:rPr>
          <w:rFonts w:ascii="Arial" w:hAnsi="Arial" w:cs="Arial"/>
        </w:rPr>
        <w:t>(</w:t>
      </w:r>
      <w:r w:rsidR="000A5A96" w:rsidRPr="000A5A96">
        <w:rPr>
          <w:rFonts w:ascii="Arial" w:hAnsi="Arial" w:cs="Arial"/>
          <w:i/>
        </w:rPr>
        <w:t>beta household</w:t>
      </w:r>
      <w:r w:rsidR="000A5A96">
        <w:rPr>
          <w:rFonts w:ascii="Arial" w:hAnsi="Arial" w:cs="Arial"/>
        </w:rPr>
        <w:t xml:space="preserve"> and </w:t>
      </w:r>
      <w:r w:rsidR="000A5A96" w:rsidRPr="000A5A96">
        <w:rPr>
          <w:rFonts w:ascii="Arial" w:hAnsi="Arial" w:cs="Arial"/>
          <w:i/>
        </w:rPr>
        <w:t>beta community</w:t>
      </w:r>
      <w:r w:rsidR="000A5A96">
        <w:rPr>
          <w:rFonts w:ascii="Arial" w:hAnsi="Arial" w:cs="Arial"/>
        </w:rPr>
        <w:t xml:space="preserve">, respectively) </w:t>
      </w:r>
      <w:r w:rsidRPr="008B5C29">
        <w:rPr>
          <w:rFonts w:ascii="Arial" w:hAnsi="Arial" w:cs="Arial"/>
        </w:rPr>
        <w:t>and the assumed reduction in transmission due to facial cleanliness</w:t>
      </w:r>
      <w:r w:rsidR="000A5A96">
        <w:rPr>
          <w:rFonts w:ascii="Arial" w:hAnsi="Arial" w:cs="Arial"/>
        </w:rPr>
        <w:t xml:space="preserve"> (</w:t>
      </w:r>
      <w:r w:rsidR="000A5A96" w:rsidRPr="000A5A96">
        <w:rPr>
          <w:rFonts w:ascii="Arial" w:hAnsi="Arial" w:cs="Arial"/>
          <w:i/>
        </w:rPr>
        <w:t>gamma</w:t>
      </w:r>
      <w:r w:rsidR="000A5A96">
        <w:rPr>
          <w:rFonts w:ascii="Arial" w:hAnsi="Arial" w:cs="Arial"/>
        </w:rPr>
        <w:t>)</w:t>
      </w:r>
      <w:r w:rsidRPr="008B5C29">
        <w:rPr>
          <w:rFonts w:ascii="Arial" w:hAnsi="Arial" w:cs="Arial"/>
        </w:rPr>
        <w:t>.</w:t>
      </w:r>
      <w:r w:rsidR="00B41C14">
        <w:rPr>
          <w:rFonts w:ascii="Arial" w:hAnsi="Arial" w:cs="Arial"/>
        </w:rPr>
        <w:t xml:space="preserve"> However, no parameters were very highly influential in solely driving trends, as </w:t>
      </w:r>
      <w:r w:rsidR="00C13B69">
        <w:rPr>
          <w:rFonts w:ascii="Arial" w:hAnsi="Arial" w:cs="Arial"/>
        </w:rPr>
        <w:t>indicated</w:t>
      </w:r>
      <w:r w:rsidR="00B41C14">
        <w:rPr>
          <w:rFonts w:ascii="Arial" w:hAnsi="Arial" w:cs="Arial"/>
        </w:rPr>
        <w:t xml:space="preserve"> by correlation coefficients less than 0.5.</w:t>
      </w:r>
    </w:p>
    <w:p w:rsidR="000A5A96" w:rsidRDefault="000A5A96" w:rsidP="00A20B82">
      <w:pPr>
        <w:rPr>
          <w:rFonts w:ascii="Arial" w:hAnsi="Arial" w:cs="Arial"/>
        </w:rPr>
      </w:pPr>
      <w:r w:rsidRPr="00A20B82">
        <w:rPr>
          <w:rFonts w:ascii="Arial" w:hAnsi="Arial" w:cs="Arial"/>
          <w:b/>
        </w:rPr>
        <w:t>Figure 1)</w:t>
      </w:r>
      <w:r w:rsidR="00A2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Linear regression analysis</w:t>
      </w:r>
      <w:r w:rsidR="00A20B82">
        <w:rPr>
          <w:rFonts w:ascii="Arial" w:hAnsi="Arial" w:cs="Arial"/>
        </w:rPr>
        <w:t>.</w:t>
      </w:r>
    </w:p>
    <w:p w:rsidR="000A5A96" w:rsidRDefault="000A5A96" w:rsidP="000A5A96">
      <w:pPr>
        <w:jc w:val="center"/>
        <w:rPr>
          <w:rFonts w:ascii="Arial" w:hAnsi="Arial" w:cs="Arial"/>
          <w:u w:val="single"/>
        </w:rPr>
      </w:pPr>
      <w:r w:rsidRPr="000A5A96">
        <w:rPr>
          <w:rFonts w:ascii="Arial" w:hAnsi="Arial" w:cs="Arial"/>
          <w:noProof/>
          <w:lang w:val="en-US"/>
        </w:rPr>
        <w:drawing>
          <wp:inline distT="0" distB="0" distL="0" distR="0" wp14:anchorId="5D52F957" wp14:editId="53347298">
            <wp:extent cx="5263200" cy="30600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 Plot - Linear Regres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2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23" w:rsidRPr="002E3723" w:rsidRDefault="002E3723" w:rsidP="00A20B82">
      <w:pPr>
        <w:rPr>
          <w:rFonts w:ascii="Arial" w:hAnsi="Arial" w:cs="Arial"/>
        </w:rPr>
      </w:pPr>
      <w:r w:rsidRPr="00A20B82">
        <w:rPr>
          <w:rFonts w:ascii="Arial" w:hAnsi="Arial" w:cs="Arial"/>
          <w:b/>
        </w:rPr>
        <w:t>Figure 2)</w:t>
      </w:r>
      <w:r w:rsidR="00A2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B5C29">
        <w:rPr>
          <w:rFonts w:ascii="Arial" w:hAnsi="Arial" w:cs="Arial"/>
        </w:rPr>
        <w:t>artial-rank-c</w:t>
      </w:r>
      <w:r>
        <w:rPr>
          <w:rFonts w:ascii="Arial" w:hAnsi="Arial" w:cs="Arial"/>
        </w:rPr>
        <w:t>orrelation-coefficient analysis</w:t>
      </w:r>
      <w:r w:rsidR="00A20B82">
        <w:rPr>
          <w:rFonts w:ascii="Arial" w:hAnsi="Arial" w:cs="Arial"/>
        </w:rPr>
        <w:t>.</w:t>
      </w:r>
    </w:p>
    <w:p w:rsidR="007D1EFE" w:rsidRPr="00A20B82" w:rsidRDefault="000A5A96" w:rsidP="00A20B82">
      <w:pPr>
        <w:jc w:val="center"/>
        <w:rPr>
          <w:rFonts w:ascii="Arial" w:hAnsi="Arial" w:cs="Arial"/>
          <w:u w:val="single"/>
        </w:rPr>
      </w:pPr>
      <w:r w:rsidRPr="000A5A96">
        <w:rPr>
          <w:rFonts w:ascii="Arial" w:hAnsi="Arial" w:cs="Arial"/>
          <w:noProof/>
          <w:lang w:val="en-US"/>
        </w:rPr>
        <w:drawing>
          <wp:inline distT="0" distB="0" distL="0" distR="0" wp14:anchorId="32436DBF" wp14:editId="5FD5FF7E">
            <wp:extent cx="5259600" cy="306000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 Plot - Linear Regres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EFE" w:rsidRPr="00975075" w:rsidRDefault="00315099" w:rsidP="00315099">
      <w:pPr>
        <w:pageBreakBefore/>
        <w:rPr>
          <w:rFonts w:ascii="Arial" w:hAnsi="Arial" w:cs="Arial"/>
          <w:u w:val="single"/>
        </w:rPr>
      </w:pPr>
      <w:r w:rsidRPr="00975075">
        <w:rPr>
          <w:rFonts w:ascii="Arial" w:hAnsi="Arial" w:cs="Arial"/>
          <w:u w:val="single"/>
        </w:rPr>
        <w:lastRenderedPageBreak/>
        <w:t>Bibliography</w:t>
      </w:r>
    </w:p>
    <w:p w:rsidR="00A20B82" w:rsidRPr="00A20B82" w:rsidRDefault="007D1EFE" w:rsidP="00A20B82">
      <w:pPr>
        <w:spacing w:after="0" w:line="240" w:lineRule="auto"/>
        <w:ind w:left="720" w:hanging="720"/>
        <w:rPr>
          <w:rFonts w:ascii="Calibri" w:hAnsi="Calibri" w:cs="Arial"/>
          <w:noProof/>
        </w:rPr>
      </w:pPr>
      <w:r w:rsidRPr="00DD76AC">
        <w:rPr>
          <w:rFonts w:ascii="Arial" w:hAnsi="Arial" w:cs="Arial"/>
        </w:rPr>
        <w:fldChar w:fldCharType="begin"/>
      </w:r>
      <w:r w:rsidRPr="00DD76AC">
        <w:rPr>
          <w:rFonts w:ascii="Arial" w:hAnsi="Arial" w:cs="Arial"/>
        </w:rPr>
        <w:instrText xml:space="preserve"> ADDIN EN.REFLIST </w:instrText>
      </w:r>
      <w:r w:rsidRPr="00DD76AC">
        <w:rPr>
          <w:rFonts w:ascii="Arial" w:hAnsi="Arial" w:cs="Arial"/>
        </w:rPr>
        <w:fldChar w:fldCharType="separate"/>
      </w:r>
      <w:bookmarkStart w:id="1" w:name="_ENREF_1"/>
      <w:r w:rsidR="00A20B82" w:rsidRPr="00A20B82">
        <w:rPr>
          <w:rFonts w:ascii="Calibri" w:hAnsi="Calibri" w:cs="Arial"/>
          <w:noProof/>
        </w:rPr>
        <w:t>1. Tellis B (2008) Trachoma Surveillance Report 2007: National Trachoma Surveillance and Reporting Unit. Centre for Eye Research Australia.</w:t>
      </w:r>
      <w:bookmarkEnd w:id="1"/>
    </w:p>
    <w:p w:rsidR="00A20B82" w:rsidRPr="00A20B82" w:rsidRDefault="00A20B82" w:rsidP="00A20B82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2" w:name="_ENREF_2"/>
      <w:r w:rsidRPr="00A20B82">
        <w:rPr>
          <w:rFonts w:ascii="Calibri" w:hAnsi="Calibri" w:cs="Arial"/>
          <w:noProof/>
        </w:rPr>
        <w:t>2. Tellis B (2009) Trachoma Surveillance Report 2008: National Trachoma Surveillance and Reporting Unit. Centre for Eye Research Australia.</w:t>
      </w:r>
      <w:bookmarkEnd w:id="2"/>
    </w:p>
    <w:p w:rsidR="00A20B82" w:rsidRPr="00A20B82" w:rsidRDefault="00A20B82" w:rsidP="00A20B82">
      <w:pPr>
        <w:spacing w:after="0" w:line="240" w:lineRule="auto"/>
        <w:ind w:left="720" w:hanging="720"/>
        <w:rPr>
          <w:rFonts w:ascii="Calibri" w:hAnsi="Calibri" w:cs="Arial"/>
          <w:noProof/>
        </w:rPr>
      </w:pPr>
      <w:bookmarkStart w:id="3" w:name="_ENREF_3"/>
      <w:r w:rsidRPr="00A20B82">
        <w:rPr>
          <w:rFonts w:ascii="Calibri" w:hAnsi="Calibri" w:cs="Arial"/>
          <w:noProof/>
        </w:rPr>
        <w:t>3. Adams K (2010) Trachoma Surveillance Report 2009: National Trachoma Surveillance and Reporting Unit. Centre for Molecular, Environmental, Genetic and Analytic Epidemiology.</w:t>
      </w:r>
      <w:bookmarkEnd w:id="3"/>
    </w:p>
    <w:p w:rsidR="00A20B82" w:rsidRPr="00A20B82" w:rsidRDefault="00A20B82" w:rsidP="00A20B82">
      <w:pPr>
        <w:spacing w:line="240" w:lineRule="auto"/>
        <w:ind w:left="720" w:hanging="720"/>
        <w:rPr>
          <w:rFonts w:ascii="Calibri" w:hAnsi="Calibri" w:cs="Arial"/>
          <w:noProof/>
        </w:rPr>
      </w:pPr>
      <w:bookmarkStart w:id="4" w:name="_ENREF_4"/>
      <w:r w:rsidRPr="00A20B82">
        <w:rPr>
          <w:rFonts w:ascii="Calibri" w:hAnsi="Calibri" w:cs="Arial"/>
          <w:noProof/>
        </w:rPr>
        <w:t>4. Cowling C (2011) Trachoma Surveillance Report 2010: National Trachoma Surveillance and Reporting Unit. The Kirby Institute.</w:t>
      </w:r>
      <w:bookmarkEnd w:id="4"/>
    </w:p>
    <w:p w:rsidR="00A20B82" w:rsidRDefault="00A20B82" w:rsidP="00A20B82">
      <w:pPr>
        <w:spacing w:line="240" w:lineRule="auto"/>
        <w:rPr>
          <w:rFonts w:ascii="Calibri" w:hAnsi="Calibri" w:cs="Arial"/>
          <w:noProof/>
        </w:rPr>
      </w:pPr>
    </w:p>
    <w:p w:rsidR="007D1EFE" w:rsidRPr="00222A0C" w:rsidRDefault="007D1EFE">
      <w:pPr>
        <w:rPr>
          <w:rFonts w:ascii="Arial" w:hAnsi="Arial" w:cs="Arial"/>
        </w:rPr>
      </w:pPr>
      <w:r w:rsidRPr="00DD76AC">
        <w:rPr>
          <w:rFonts w:ascii="Arial" w:hAnsi="Arial" w:cs="Arial"/>
        </w:rPr>
        <w:fldChar w:fldCharType="end"/>
      </w:r>
    </w:p>
    <w:sectPr w:rsidR="007D1EFE" w:rsidRPr="00222A0C" w:rsidSect="00473ECB">
      <w:footerReference w:type="default" r:id="rId10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D5" w:rsidRDefault="007E66D5" w:rsidP="00F41E6A">
      <w:pPr>
        <w:spacing w:after="0" w:line="240" w:lineRule="auto"/>
      </w:pPr>
      <w:r>
        <w:separator/>
      </w:r>
    </w:p>
  </w:endnote>
  <w:endnote w:type="continuationSeparator" w:id="0">
    <w:p w:rsidR="007E66D5" w:rsidRDefault="007E66D5" w:rsidP="00F4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17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E7E" w:rsidRDefault="00862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E7E" w:rsidRDefault="00862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D5" w:rsidRDefault="007E66D5" w:rsidP="00F41E6A">
      <w:pPr>
        <w:spacing w:after="0" w:line="240" w:lineRule="auto"/>
      </w:pPr>
      <w:r>
        <w:separator/>
      </w:r>
    </w:p>
  </w:footnote>
  <w:footnote w:type="continuationSeparator" w:id="0">
    <w:p w:rsidR="007E66D5" w:rsidRDefault="007E66D5" w:rsidP="00F4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A6D"/>
    <w:multiLevelType w:val="hybridMultilevel"/>
    <w:tmpl w:val="58DA2AF2"/>
    <w:lvl w:ilvl="0" w:tplc="D2A20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2D2E"/>
    <w:multiLevelType w:val="hybridMultilevel"/>
    <w:tmpl w:val="6CD6D80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65E70"/>
    <w:multiLevelType w:val="hybridMultilevel"/>
    <w:tmpl w:val="30E29AA8"/>
    <w:lvl w:ilvl="0" w:tplc="F57C1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172AF"/>
    <w:multiLevelType w:val="hybridMultilevel"/>
    <w:tmpl w:val="002CFDAC"/>
    <w:lvl w:ilvl="0" w:tplc="63AE91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5131E"/>
    <w:multiLevelType w:val="hybridMultilevel"/>
    <w:tmpl w:val="2D22D2D6"/>
    <w:lvl w:ilvl="0" w:tplc="D2A20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vpeefwrxssr6edetnvaxsnxpszt5fzxfdp&quot;&gt;Report EndNote&lt;record-ids&gt;&lt;item&gt;39&lt;/item&gt;&lt;item&gt;40&lt;/item&gt;&lt;item&gt;41&lt;/item&gt;&lt;item&gt;42&lt;/item&gt;&lt;/record-ids&gt;&lt;/item&gt;&lt;/Libraries&gt;"/>
  </w:docVars>
  <w:rsids>
    <w:rsidRoot w:val="00085610"/>
    <w:rsid w:val="00000D26"/>
    <w:rsid w:val="0001590B"/>
    <w:rsid w:val="000204DD"/>
    <w:rsid w:val="00023B37"/>
    <w:rsid w:val="00071A07"/>
    <w:rsid w:val="00085610"/>
    <w:rsid w:val="00092636"/>
    <w:rsid w:val="000A5A96"/>
    <w:rsid w:val="000F0199"/>
    <w:rsid w:val="000F2A75"/>
    <w:rsid w:val="000F7073"/>
    <w:rsid w:val="00106795"/>
    <w:rsid w:val="00116F57"/>
    <w:rsid w:val="0012059D"/>
    <w:rsid w:val="00133F42"/>
    <w:rsid w:val="001577FE"/>
    <w:rsid w:val="001920E4"/>
    <w:rsid w:val="001B2C33"/>
    <w:rsid w:val="001B5961"/>
    <w:rsid w:val="001D6F9D"/>
    <w:rsid w:val="001E40F2"/>
    <w:rsid w:val="00222A0C"/>
    <w:rsid w:val="00266A8B"/>
    <w:rsid w:val="0026746A"/>
    <w:rsid w:val="0028209C"/>
    <w:rsid w:val="00292CB0"/>
    <w:rsid w:val="002A6692"/>
    <w:rsid w:val="002C1FDC"/>
    <w:rsid w:val="002E2318"/>
    <w:rsid w:val="002E3723"/>
    <w:rsid w:val="00315099"/>
    <w:rsid w:val="00316815"/>
    <w:rsid w:val="003347E5"/>
    <w:rsid w:val="00342B8F"/>
    <w:rsid w:val="003439FD"/>
    <w:rsid w:val="003547FD"/>
    <w:rsid w:val="00393CDA"/>
    <w:rsid w:val="003B4948"/>
    <w:rsid w:val="003F1056"/>
    <w:rsid w:val="003F6B2D"/>
    <w:rsid w:val="004061F2"/>
    <w:rsid w:val="00431F2C"/>
    <w:rsid w:val="0043399A"/>
    <w:rsid w:val="00440A4E"/>
    <w:rsid w:val="00446502"/>
    <w:rsid w:val="00473ECB"/>
    <w:rsid w:val="004851AF"/>
    <w:rsid w:val="004A3648"/>
    <w:rsid w:val="004D036A"/>
    <w:rsid w:val="004D3BD0"/>
    <w:rsid w:val="004E1BAA"/>
    <w:rsid w:val="00551B02"/>
    <w:rsid w:val="00574B8F"/>
    <w:rsid w:val="00580F37"/>
    <w:rsid w:val="005867FE"/>
    <w:rsid w:val="00593431"/>
    <w:rsid w:val="005A37A2"/>
    <w:rsid w:val="005B1BD7"/>
    <w:rsid w:val="005C6A4D"/>
    <w:rsid w:val="005E77C7"/>
    <w:rsid w:val="005F29EF"/>
    <w:rsid w:val="00615C70"/>
    <w:rsid w:val="00623738"/>
    <w:rsid w:val="00657679"/>
    <w:rsid w:val="006805BA"/>
    <w:rsid w:val="00691198"/>
    <w:rsid w:val="00693BCE"/>
    <w:rsid w:val="006D082F"/>
    <w:rsid w:val="006D4D9A"/>
    <w:rsid w:val="006E0F2F"/>
    <w:rsid w:val="007039CB"/>
    <w:rsid w:val="007046CE"/>
    <w:rsid w:val="00720FD0"/>
    <w:rsid w:val="007541F8"/>
    <w:rsid w:val="00757F0E"/>
    <w:rsid w:val="00760F3E"/>
    <w:rsid w:val="0076768E"/>
    <w:rsid w:val="007913F0"/>
    <w:rsid w:val="007A31B2"/>
    <w:rsid w:val="007C53A9"/>
    <w:rsid w:val="007C5B07"/>
    <w:rsid w:val="007D1EFE"/>
    <w:rsid w:val="007E25A5"/>
    <w:rsid w:val="007E66D5"/>
    <w:rsid w:val="007F114C"/>
    <w:rsid w:val="007F4836"/>
    <w:rsid w:val="00833338"/>
    <w:rsid w:val="00845FBB"/>
    <w:rsid w:val="00862E7E"/>
    <w:rsid w:val="008705BB"/>
    <w:rsid w:val="008748B7"/>
    <w:rsid w:val="008B5C29"/>
    <w:rsid w:val="00902291"/>
    <w:rsid w:val="00904EBC"/>
    <w:rsid w:val="00943D0C"/>
    <w:rsid w:val="009706F7"/>
    <w:rsid w:val="00975075"/>
    <w:rsid w:val="00976644"/>
    <w:rsid w:val="009A56F7"/>
    <w:rsid w:val="009A628B"/>
    <w:rsid w:val="009B008E"/>
    <w:rsid w:val="009B2EA0"/>
    <w:rsid w:val="009C42F1"/>
    <w:rsid w:val="009C6A1B"/>
    <w:rsid w:val="009E01CC"/>
    <w:rsid w:val="009E2018"/>
    <w:rsid w:val="009F1361"/>
    <w:rsid w:val="00A02A75"/>
    <w:rsid w:val="00A04B69"/>
    <w:rsid w:val="00A20B82"/>
    <w:rsid w:val="00A32E16"/>
    <w:rsid w:val="00A33DDA"/>
    <w:rsid w:val="00A51434"/>
    <w:rsid w:val="00A831CE"/>
    <w:rsid w:val="00A8431F"/>
    <w:rsid w:val="00A9516F"/>
    <w:rsid w:val="00B16908"/>
    <w:rsid w:val="00B41C14"/>
    <w:rsid w:val="00B42921"/>
    <w:rsid w:val="00B53B4A"/>
    <w:rsid w:val="00B63536"/>
    <w:rsid w:val="00B84638"/>
    <w:rsid w:val="00BA5600"/>
    <w:rsid w:val="00BC16E7"/>
    <w:rsid w:val="00BE6C89"/>
    <w:rsid w:val="00C01465"/>
    <w:rsid w:val="00C10567"/>
    <w:rsid w:val="00C13B69"/>
    <w:rsid w:val="00C17AED"/>
    <w:rsid w:val="00C34767"/>
    <w:rsid w:val="00C82965"/>
    <w:rsid w:val="00CA66F6"/>
    <w:rsid w:val="00CA6BC8"/>
    <w:rsid w:val="00CB15DE"/>
    <w:rsid w:val="00CC1761"/>
    <w:rsid w:val="00CC67AC"/>
    <w:rsid w:val="00CD4AE7"/>
    <w:rsid w:val="00CE6605"/>
    <w:rsid w:val="00D45113"/>
    <w:rsid w:val="00D54FF0"/>
    <w:rsid w:val="00D7152F"/>
    <w:rsid w:val="00D90C62"/>
    <w:rsid w:val="00D964D9"/>
    <w:rsid w:val="00DD76AC"/>
    <w:rsid w:val="00E01E85"/>
    <w:rsid w:val="00E27880"/>
    <w:rsid w:val="00E32C55"/>
    <w:rsid w:val="00E33BA4"/>
    <w:rsid w:val="00E61332"/>
    <w:rsid w:val="00E70B44"/>
    <w:rsid w:val="00E73694"/>
    <w:rsid w:val="00E749FE"/>
    <w:rsid w:val="00E77767"/>
    <w:rsid w:val="00E8537E"/>
    <w:rsid w:val="00EB4AC0"/>
    <w:rsid w:val="00EB5C96"/>
    <w:rsid w:val="00ED354C"/>
    <w:rsid w:val="00EE39FD"/>
    <w:rsid w:val="00F06FA8"/>
    <w:rsid w:val="00F12B3C"/>
    <w:rsid w:val="00F173F4"/>
    <w:rsid w:val="00F2208C"/>
    <w:rsid w:val="00F242B2"/>
    <w:rsid w:val="00F32DE7"/>
    <w:rsid w:val="00F41E6A"/>
    <w:rsid w:val="00F5143A"/>
    <w:rsid w:val="00F55AF6"/>
    <w:rsid w:val="00F70BAF"/>
    <w:rsid w:val="00F758BA"/>
    <w:rsid w:val="00F930EC"/>
    <w:rsid w:val="00FB19AF"/>
    <w:rsid w:val="00FD6EA5"/>
    <w:rsid w:val="00FD7011"/>
    <w:rsid w:val="00FE4465"/>
    <w:rsid w:val="00FE6377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16C73-8B14-41B3-AAE7-58755D8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1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8561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8561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E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6A"/>
  </w:style>
  <w:style w:type="paragraph" w:styleId="Footer">
    <w:name w:val="footer"/>
    <w:basedOn w:val="Normal"/>
    <w:link w:val="FooterChar"/>
    <w:uiPriority w:val="99"/>
    <w:unhideWhenUsed/>
    <w:rsid w:val="00F4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6A"/>
  </w:style>
  <w:style w:type="paragraph" w:customStyle="1" w:styleId="Default">
    <w:name w:val="Default"/>
    <w:rsid w:val="00CC17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9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9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9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39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39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1EF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4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B575-3322-41E9-9762-F13F2E4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Shattock</dc:creator>
  <cp:lastModifiedBy>Caitlin McComb</cp:lastModifiedBy>
  <cp:revision>2</cp:revision>
  <dcterms:created xsi:type="dcterms:W3CDTF">2015-03-23T18:55:00Z</dcterms:created>
  <dcterms:modified xsi:type="dcterms:W3CDTF">2015-03-23T18:55:00Z</dcterms:modified>
</cp:coreProperties>
</file>