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23" w:rsidRDefault="0011689E" w:rsidP="00116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stability for field studies</w:t>
      </w:r>
    </w:p>
    <w:p w:rsidR="00E658F7" w:rsidRDefault="00E658F7" w:rsidP="00E658F7">
      <w:pPr>
        <w:jc w:val="center"/>
        <w:rPr>
          <w:b/>
          <w:sz w:val="28"/>
          <w:szCs w:val="28"/>
        </w:rPr>
      </w:pPr>
    </w:p>
    <w:p w:rsidR="00E658F7" w:rsidRDefault="00E658F7">
      <w:pPr>
        <w:rPr>
          <w:b/>
          <w:sz w:val="28"/>
          <w:szCs w:val="28"/>
        </w:rPr>
      </w:pPr>
      <w:r w:rsidRPr="00E658F7">
        <w:rPr>
          <w:b/>
          <w:sz w:val="28"/>
          <w:szCs w:val="28"/>
        </w:rPr>
        <w:t>Method</w:t>
      </w:r>
      <w:r w:rsidR="00110D23">
        <w:rPr>
          <w:b/>
          <w:sz w:val="28"/>
          <w:szCs w:val="28"/>
        </w:rPr>
        <w:t>s</w:t>
      </w:r>
    </w:p>
    <w:p w:rsidR="00DE68DB" w:rsidRDefault="00DE68DB">
      <w:pPr>
        <w:rPr>
          <w:b/>
          <w:sz w:val="28"/>
          <w:szCs w:val="28"/>
        </w:rPr>
      </w:pPr>
    </w:p>
    <w:p w:rsidR="002F21A5" w:rsidRDefault="002F21A5" w:rsidP="00BC6E32">
      <w:pPr>
        <w:jc w:val="both"/>
      </w:pPr>
      <w:r>
        <w:t xml:space="preserve">Two recent blood samples from patients infected with </w:t>
      </w:r>
      <w:r w:rsidRPr="002F21A5">
        <w:rPr>
          <w:i/>
        </w:rPr>
        <w:t>P. falciparum</w:t>
      </w:r>
      <w:r>
        <w:t xml:space="preserve"> were selected for this study</w:t>
      </w:r>
      <w:r w:rsidR="00F96CAA">
        <w:t xml:space="preserve"> from blood stored at 4 degrees</w:t>
      </w:r>
      <w:r>
        <w:t xml:space="preserve">. The first sample was less than 24 hours old and contained approximately </w:t>
      </w:r>
      <w:r w:rsidR="00A37CE9">
        <w:t>150,000 parasites</w:t>
      </w:r>
      <w:r w:rsidR="00030F95">
        <w:t xml:space="preserve"> per </w:t>
      </w:r>
      <w:proofErr w:type="spellStart"/>
      <w:r w:rsidR="00030F95">
        <w:t>μ</w:t>
      </w:r>
      <w:r w:rsidR="00A37CE9">
        <w:t>l</w:t>
      </w:r>
      <w:proofErr w:type="spellEnd"/>
      <w:r w:rsidR="00A37CE9">
        <w:t xml:space="preserve"> as determined by expert microscopy. This sample was diluted down in uninfected EDTA blood which had been</w:t>
      </w:r>
      <w:r w:rsidR="00A37CE9" w:rsidRPr="00A37CE9">
        <w:t xml:space="preserve"> </w:t>
      </w:r>
      <w:r w:rsidR="00A37CE9">
        <w:t xml:space="preserve">washed in 0.9% </w:t>
      </w:r>
      <w:proofErr w:type="spellStart"/>
      <w:r w:rsidR="00A37CE9">
        <w:t>NaCl</w:t>
      </w:r>
      <w:proofErr w:type="spellEnd"/>
      <w:r w:rsidR="00A37CE9">
        <w:t xml:space="preserve"> to remove the anticoagulant. The sample was diluted d</w:t>
      </w:r>
      <w:r w:rsidR="00030F95">
        <w:t xml:space="preserve">own to 7 and 3.5 parasites per </w:t>
      </w:r>
      <w:proofErr w:type="spellStart"/>
      <w:r w:rsidR="00030F95">
        <w:t>μ</w:t>
      </w:r>
      <w:r w:rsidR="00A37CE9">
        <w:t>l</w:t>
      </w:r>
      <w:proofErr w:type="spellEnd"/>
      <w:r w:rsidR="00A37CE9">
        <w:t xml:space="preserve"> for use. The second sample was a three days old EDTA venipuncture containing</w:t>
      </w:r>
      <w:r w:rsidR="00030F95">
        <w:t xml:space="preserve"> approximately 5 parasites per </w:t>
      </w:r>
      <w:proofErr w:type="spellStart"/>
      <w:r w:rsidR="00030F95">
        <w:t>μ</w:t>
      </w:r>
      <w:r w:rsidR="00A37CE9">
        <w:t>l</w:t>
      </w:r>
      <w:proofErr w:type="spellEnd"/>
      <w:r w:rsidR="00A37CE9">
        <w:t xml:space="preserve"> as determined by expert microscopy. This sample was not processed in any way before use.</w:t>
      </w:r>
    </w:p>
    <w:p w:rsidR="00A37CE9" w:rsidRDefault="00A37CE9" w:rsidP="00BC6E32">
      <w:pPr>
        <w:jc w:val="both"/>
      </w:pPr>
    </w:p>
    <w:p w:rsidR="00F96CAA" w:rsidRDefault="00030F95" w:rsidP="00BC6E32">
      <w:pPr>
        <w:jc w:val="both"/>
      </w:pPr>
      <w:r>
        <w:t xml:space="preserve">60 </w:t>
      </w:r>
      <w:proofErr w:type="spellStart"/>
      <w:r>
        <w:t>μ</w:t>
      </w:r>
      <w:r w:rsidR="00A37CE9">
        <w:t>l</w:t>
      </w:r>
      <w:proofErr w:type="spellEnd"/>
      <w:r w:rsidR="00A37CE9">
        <w:t xml:space="preserve"> of each blood was </w:t>
      </w:r>
      <w:proofErr w:type="spellStart"/>
      <w:r w:rsidR="00A37CE9">
        <w:t>aliquoted</w:t>
      </w:r>
      <w:proofErr w:type="spellEnd"/>
      <w:r w:rsidR="00A37CE9">
        <w:t xml:space="preserve"> into a 0.5ml snap top tube. For samples A and C 60ul of rapid boil</w:t>
      </w:r>
      <w:r w:rsidR="0027228A">
        <w:t xml:space="preserve"> lysis</w:t>
      </w:r>
      <w:r w:rsidR="00A37CE9">
        <w:t xml:space="preserve"> buffer was also added to the tube and then the samples mixed by pulse </w:t>
      </w:r>
      <w:proofErr w:type="spellStart"/>
      <w:r w:rsidR="00A37CE9">
        <w:t>vortexing</w:t>
      </w:r>
      <w:proofErr w:type="spellEnd"/>
      <w:r w:rsidR="00A37CE9">
        <w:t>. Tubes were store</w:t>
      </w:r>
      <w:r w:rsidR="00F96CAA">
        <w:t xml:space="preserve">d at either 37 deg C or 4 </w:t>
      </w:r>
      <w:proofErr w:type="spellStart"/>
      <w:r w:rsidR="00F96CAA">
        <w:t>deg</w:t>
      </w:r>
      <w:proofErr w:type="spellEnd"/>
      <w:r w:rsidR="00F96CAA">
        <w:t xml:space="preserve"> C</w:t>
      </w:r>
      <w:r w:rsidR="00BC6E32">
        <w:t xml:space="preserve"> (Table 1)</w:t>
      </w:r>
      <w:r w:rsidR="00F96CAA">
        <w:t xml:space="preserve">. </w:t>
      </w:r>
      <w:r w:rsidR="00F96CAA">
        <w:t xml:space="preserve">Samples were then subjected to rapid boil and spin according to the SOP devised by FIND. </w:t>
      </w:r>
      <w:r>
        <w:t xml:space="preserve">2 </w:t>
      </w:r>
      <w:proofErr w:type="spellStart"/>
      <w:r>
        <w:t>μ</w:t>
      </w:r>
      <w:r w:rsidR="00F96CAA">
        <w:t>l</w:t>
      </w:r>
      <w:proofErr w:type="spellEnd"/>
      <w:r w:rsidR="00F96CAA">
        <w:t xml:space="preserve"> of the supernata</w:t>
      </w:r>
      <w:r>
        <w:t xml:space="preserve">nt was removed and put into 28 </w:t>
      </w:r>
      <w:proofErr w:type="spellStart"/>
      <w:r>
        <w:t>μ</w:t>
      </w:r>
      <w:r w:rsidR="00F96CAA">
        <w:t>l</w:t>
      </w:r>
      <w:proofErr w:type="spellEnd"/>
      <w:r w:rsidR="00F96CAA">
        <w:t xml:space="preserve"> of ddH2O in either a Pg or Pf tube and the tubes then reconstituted and run in an LA-320CE </w:t>
      </w:r>
      <w:proofErr w:type="spellStart"/>
      <w:r w:rsidR="00F96CAA">
        <w:t>turbidimeter</w:t>
      </w:r>
      <w:proofErr w:type="spellEnd"/>
      <w:r w:rsidR="00F96CAA">
        <w:t xml:space="preserve"> according the FIND’s SOP.</w:t>
      </w:r>
    </w:p>
    <w:tbl>
      <w:tblPr>
        <w:tblpPr w:leftFromText="180" w:rightFromText="180" w:vertAnchor="text" w:horzAnchor="margin" w:tblpY="761"/>
        <w:tblW w:w="595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823"/>
        <w:gridCol w:w="236"/>
        <w:gridCol w:w="2536"/>
      </w:tblGrid>
      <w:tr w:rsidR="00BC6E32" w:rsidTr="00BC6E32">
        <w:trPr>
          <w:trHeight w:val="255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Contents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for 24 hours</w:t>
            </w:r>
          </w:p>
        </w:tc>
      </w:tr>
      <w:tr w:rsidR="00BC6E32" w:rsidTr="00BC6E32">
        <w:trPr>
          <w:trHeight w:val="255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+ buffer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degrees</w:t>
            </w:r>
          </w:p>
        </w:tc>
      </w:tr>
      <w:tr w:rsidR="00BC6E32" w:rsidTr="00BC6E3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only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degrees</w:t>
            </w:r>
          </w:p>
        </w:tc>
      </w:tr>
      <w:tr w:rsidR="00BC6E32" w:rsidTr="00BC6E3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59" w:type="dxa"/>
            <w:gridSpan w:val="2"/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+ buffer</w:t>
            </w:r>
          </w:p>
        </w:tc>
        <w:tc>
          <w:tcPr>
            <w:tcW w:w="2536" w:type="dxa"/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degrees</w:t>
            </w:r>
          </w:p>
        </w:tc>
      </w:tr>
      <w:tr w:rsidR="00BC6E32" w:rsidTr="00BC6E3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only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noWrap/>
            <w:vAlign w:val="bottom"/>
          </w:tcPr>
          <w:p w:rsidR="00BC6E32" w:rsidRDefault="00BC6E32" w:rsidP="00BC6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degrees</w:t>
            </w:r>
          </w:p>
        </w:tc>
      </w:tr>
    </w:tbl>
    <w:p w:rsidR="00BC6E32" w:rsidRDefault="00BC6E32" w:rsidP="00BC6E32">
      <w:pPr>
        <w:pStyle w:val="Descripcin"/>
        <w:keepNext/>
      </w:pPr>
      <w:bookmarkStart w:id="0" w:name="_GoBack"/>
      <w:bookmarkEnd w:id="0"/>
    </w:p>
    <w:p w:rsidR="00BC6E32" w:rsidRDefault="00BC6E32" w:rsidP="00BC6E32">
      <w:pPr>
        <w:pStyle w:val="Descripci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005D60A1" w:rsidRDefault="005D60A1">
      <w:pPr>
        <w:rPr>
          <w:b/>
          <w:sz w:val="28"/>
          <w:szCs w:val="28"/>
        </w:rPr>
      </w:pPr>
    </w:p>
    <w:p w:rsidR="005D60A1" w:rsidRDefault="005D60A1">
      <w:pPr>
        <w:rPr>
          <w:b/>
          <w:sz w:val="28"/>
          <w:szCs w:val="28"/>
        </w:rPr>
      </w:pPr>
    </w:p>
    <w:p w:rsidR="005D60A1" w:rsidRDefault="005D60A1">
      <w:pPr>
        <w:rPr>
          <w:b/>
          <w:sz w:val="28"/>
          <w:szCs w:val="28"/>
        </w:rPr>
      </w:pPr>
    </w:p>
    <w:p w:rsidR="005D60A1" w:rsidRDefault="005D60A1">
      <w:pPr>
        <w:rPr>
          <w:b/>
          <w:sz w:val="28"/>
          <w:szCs w:val="28"/>
        </w:rPr>
      </w:pPr>
    </w:p>
    <w:p w:rsidR="005D60A1" w:rsidRDefault="005D60A1">
      <w:pPr>
        <w:rPr>
          <w:b/>
          <w:sz w:val="28"/>
          <w:szCs w:val="28"/>
        </w:rPr>
      </w:pPr>
    </w:p>
    <w:p w:rsidR="00110D23" w:rsidRDefault="00110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Results</w:t>
      </w:r>
    </w:p>
    <w:p w:rsidR="00F17645" w:rsidRDefault="00F17645"/>
    <w:p w:rsidR="00EA6358" w:rsidRDefault="005D60A1">
      <w:r>
        <w:t>A</w:t>
      </w:r>
      <w:r w:rsidR="00144906">
        <w:t>l</w:t>
      </w:r>
      <w:r>
        <w:t xml:space="preserve">l samples were positive using Pan </w:t>
      </w:r>
      <w:proofErr w:type="gramStart"/>
      <w:r>
        <w:t>tubes</w:t>
      </w:r>
      <w:proofErr w:type="gramEnd"/>
      <w:r>
        <w:t xml:space="preserve"> in</w:t>
      </w:r>
      <w:r w:rsidR="00144906">
        <w:t xml:space="preserve"> blood samples from all four different storage conditions. We have previously proven that </w:t>
      </w:r>
      <w:r w:rsidR="00160DC5">
        <w:t>very little</w:t>
      </w:r>
      <w:r w:rsidR="00144906">
        <w:t xml:space="preserve"> degradation of the DNA occurs when whole blood is stored at 4 degrees C. </w:t>
      </w:r>
      <w:r w:rsidR="00CA40BC">
        <w:t xml:space="preserve">Some apparent retardation of the time to positive </w:t>
      </w:r>
      <w:proofErr w:type="spellStart"/>
      <w:r w:rsidR="00CA40BC">
        <w:t>turbidimetry</w:t>
      </w:r>
      <w:proofErr w:type="spellEnd"/>
      <w:r w:rsidR="00CA40BC">
        <w:t xml:space="preserve"> is apparent in the samples stored at 37 degrees (both in buffer and out of buffer) compared to those stored at 4 degrees</w:t>
      </w:r>
      <w:r>
        <w:t>. H</w:t>
      </w:r>
      <w:r w:rsidR="00CA40BC">
        <w:t>owever all samples were still po</w:t>
      </w:r>
      <w:r w:rsidR="00030F95">
        <w:t xml:space="preserve">sitive even at 3 parasites per </w:t>
      </w:r>
      <w:proofErr w:type="spellStart"/>
      <w:r w:rsidR="00030F95">
        <w:t>μ</w:t>
      </w:r>
      <w:r w:rsidR="00CA40BC">
        <w:t>l</w:t>
      </w:r>
      <w:proofErr w:type="spellEnd"/>
      <w:r w:rsidR="00BC6E32">
        <w:t xml:space="preserve"> (Figure 1). </w:t>
      </w:r>
    </w:p>
    <w:p w:rsidR="00CA40BC" w:rsidRDefault="00CA40BC"/>
    <w:p w:rsidR="00BC6E32" w:rsidRDefault="00BC6E32"/>
    <w:p w:rsidR="00BC6E32" w:rsidRDefault="00BC6E32" w:rsidP="00BC6E32">
      <w:pPr>
        <w:keepNext/>
      </w:pPr>
      <w:r w:rsidRPr="00A81FB1">
        <w:rPr>
          <w:noProof/>
          <w:lang w:val="en-US" w:eastAsia="en-US"/>
        </w:rPr>
        <w:lastRenderedPageBreak/>
        <w:drawing>
          <wp:inline distT="0" distB="0" distL="0" distR="0" wp14:anchorId="01789970" wp14:editId="0AA3198F">
            <wp:extent cx="5274310" cy="4293707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32" w:rsidRDefault="00BC6E32" w:rsidP="00BC6E32">
      <w:pPr>
        <w:pStyle w:val="Descripci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LAMP amplification in samples </w:t>
      </w:r>
      <w:r>
        <w:t>stored at 37</w:t>
      </w:r>
      <w:r>
        <w:t xml:space="preserve"> and </w:t>
      </w:r>
      <w:proofErr w:type="gramStart"/>
      <w:r>
        <w:t xml:space="preserve">4 </w:t>
      </w:r>
      <w:r>
        <w:t xml:space="preserve"> degrees</w:t>
      </w:r>
      <w:proofErr w:type="gramEnd"/>
      <w:r>
        <w:t>.</w:t>
      </w:r>
    </w:p>
    <w:p w:rsidR="00BC6E32" w:rsidRDefault="00BC6E32"/>
    <w:p w:rsidR="00110D23" w:rsidRDefault="00BC6E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Conclusions </w:t>
      </w:r>
    </w:p>
    <w:p w:rsidR="006906DD" w:rsidRDefault="00160DC5" w:rsidP="006906DD">
      <w:r>
        <w:t>When used neat, storage at any temperature in lysis buffer does not seem to adversely affect the stability of amplifiable DNA in malaria infected bloods. This is true with samples c</w:t>
      </w:r>
      <w:r w:rsidR="00030F95">
        <w:t xml:space="preserve">ontaining only 3 parasites per </w:t>
      </w:r>
      <w:proofErr w:type="spellStart"/>
      <w:r w:rsidR="00030F95">
        <w:t>μ</w:t>
      </w:r>
      <w:r>
        <w:t>l</w:t>
      </w:r>
      <w:proofErr w:type="spellEnd"/>
      <w:r>
        <w:t>, exceptionally near the intended LOD of the kit.</w:t>
      </w:r>
    </w:p>
    <w:p w:rsidR="00160DC5" w:rsidRDefault="00160DC5" w:rsidP="006906DD"/>
    <w:sectPr w:rsidR="00160D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E01"/>
    <w:multiLevelType w:val="hybridMultilevel"/>
    <w:tmpl w:val="D85E2E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06"/>
    <w:rsid w:val="00006405"/>
    <w:rsid w:val="00030F95"/>
    <w:rsid w:val="000956E2"/>
    <w:rsid w:val="000E6D7F"/>
    <w:rsid w:val="00110D23"/>
    <w:rsid w:val="0011689E"/>
    <w:rsid w:val="00125333"/>
    <w:rsid w:val="00141BD2"/>
    <w:rsid w:val="00144906"/>
    <w:rsid w:val="00160DC5"/>
    <w:rsid w:val="00211498"/>
    <w:rsid w:val="00233D10"/>
    <w:rsid w:val="0027228A"/>
    <w:rsid w:val="00296F02"/>
    <w:rsid w:val="002F21A5"/>
    <w:rsid w:val="00352561"/>
    <w:rsid w:val="00380C43"/>
    <w:rsid w:val="004F4A8C"/>
    <w:rsid w:val="005424B0"/>
    <w:rsid w:val="005D5F36"/>
    <w:rsid w:val="005D60A1"/>
    <w:rsid w:val="006906DD"/>
    <w:rsid w:val="006B2475"/>
    <w:rsid w:val="006D0520"/>
    <w:rsid w:val="006D47A3"/>
    <w:rsid w:val="006F66B6"/>
    <w:rsid w:val="00721C6B"/>
    <w:rsid w:val="0072453A"/>
    <w:rsid w:val="00726B27"/>
    <w:rsid w:val="007D3514"/>
    <w:rsid w:val="007F3B34"/>
    <w:rsid w:val="008C59E4"/>
    <w:rsid w:val="008E472E"/>
    <w:rsid w:val="0091151C"/>
    <w:rsid w:val="00947480"/>
    <w:rsid w:val="009A37B9"/>
    <w:rsid w:val="009B697E"/>
    <w:rsid w:val="009C573D"/>
    <w:rsid w:val="009F6E9C"/>
    <w:rsid w:val="00A37CE9"/>
    <w:rsid w:val="00A52259"/>
    <w:rsid w:val="00A81FB1"/>
    <w:rsid w:val="00AB3290"/>
    <w:rsid w:val="00AE7650"/>
    <w:rsid w:val="00AF6D06"/>
    <w:rsid w:val="00B22F38"/>
    <w:rsid w:val="00B60E78"/>
    <w:rsid w:val="00BA3778"/>
    <w:rsid w:val="00BC6E32"/>
    <w:rsid w:val="00C1629F"/>
    <w:rsid w:val="00C34709"/>
    <w:rsid w:val="00C63935"/>
    <w:rsid w:val="00C8189B"/>
    <w:rsid w:val="00C83C5E"/>
    <w:rsid w:val="00C875B4"/>
    <w:rsid w:val="00CA17BF"/>
    <w:rsid w:val="00CA40BC"/>
    <w:rsid w:val="00CC6993"/>
    <w:rsid w:val="00CF7FE6"/>
    <w:rsid w:val="00D808DA"/>
    <w:rsid w:val="00DE68DB"/>
    <w:rsid w:val="00E658F7"/>
    <w:rsid w:val="00E96BEF"/>
    <w:rsid w:val="00EA6358"/>
    <w:rsid w:val="00F12240"/>
    <w:rsid w:val="00F17645"/>
    <w:rsid w:val="00F874DE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D1C333-4513-4E04-9642-A7888606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F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10D2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10D23"/>
    <w:rPr>
      <w:rFonts w:ascii="Tahoma" w:hAnsi="Tahoma" w:cs="Tahoma"/>
      <w:sz w:val="16"/>
      <w:szCs w:val="16"/>
      <w:lang w:val="en-GB" w:eastAsia="en-GB"/>
    </w:rPr>
  </w:style>
  <w:style w:type="character" w:styleId="Refdecomentario">
    <w:name w:val="annotation reference"/>
    <w:basedOn w:val="Fuentedeprrafopredeter"/>
    <w:rsid w:val="009C5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57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573D"/>
  </w:style>
  <w:style w:type="paragraph" w:styleId="Asuntodelcomentario">
    <w:name w:val="annotation subject"/>
    <w:basedOn w:val="Textocomentario"/>
    <w:next w:val="Textocomentario"/>
    <w:link w:val="AsuntodelcomentarioCar"/>
    <w:rsid w:val="009C5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C573D"/>
    <w:rPr>
      <w:b/>
      <w:bCs/>
    </w:rPr>
  </w:style>
  <w:style w:type="paragraph" w:styleId="Descripcin">
    <w:name w:val="caption"/>
    <w:basedOn w:val="Normal"/>
    <w:next w:val="Normal"/>
    <w:unhideWhenUsed/>
    <w:qFormat/>
    <w:rsid w:val="00BC6E3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Made up fresh blood and blood spots with negative blood and 0</vt:lpstr>
      <vt:lpstr>Made up fresh blood and blood spots with negative blood and 0</vt:lpstr>
    </vt:vector>
  </TitlesOfParts>
  <Company>UCL Hospitals NHS Foundation Trust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 up fresh blood and blood spots with negative blood and 0</dc:title>
  <dc:subject/>
  <dc:creator>spolley</dc:creator>
  <cp:keywords/>
  <dc:description/>
  <cp:lastModifiedBy>Andres Vallejo</cp:lastModifiedBy>
  <cp:revision>2</cp:revision>
  <cp:lastPrinted>2014-11-25T23:43:00Z</cp:lastPrinted>
  <dcterms:created xsi:type="dcterms:W3CDTF">2014-11-26T16:15:00Z</dcterms:created>
  <dcterms:modified xsi:type="dcterms:W3CDTF">2014-11-26T16:15:00Z</dcterms:modified>
</cp:coreProperties>
</file>