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4E" w:rsidRDefault="006F2B4E" w:rsidP="006F2B4E">
      <w:pPr>
        <w:spacing w:line="480" w:lineRule="auto"/>
        <w:jc w:val="center"/>
      </w:pPr>
      <w:r>
        <w:t xml:space="preserve">How </w:t>
      </w:r>
      <w:proofErr w:type="gramStart"/>
      <w:r>
        <w:t>Effective</w:t>
      </w:r>
      <w:proofErr w:type="gramEnd"/>
      <w:r>
        <w:t xml:space="preserve"> is Integrated Vector Management against Malaria and Lymphatic Filariasis where the Diseases are Transmitted by the Same Vector?</w:t>
      </w:r>
    </w:p>
    <w:p w:rsidR="006F2B4E" w:rsidRPr="006F2B4E" w:rsidRDefault="00F31287" w:rsidP="006F2B4E">
      <w:pPr>
        <w:spacing w:line="480" w:lineRule="auto"/>
        <w:jc w:val="center"/>
        <w:rPr>
          <w:b/>
        </w:rPr>
      </w:pPr>
      <w:r>
        <w:rPr>
          <w:b/>
        </w:rPr>
        <w:t>Supporting Information S1</w:t>
      </w:r>
      <w:bookmarkStart w:id="0" w:name="_GoBack"/>
      <w:bookmarkEnd w:id="0"/>
    </w:p>
    <w:p w:rsidR="006F2B4E" w:rsidRPr="007E4BC1" w:rsidRDefault="006F2B4E" w:rsidP="006F2B4E">
      <w:pPr>
        <w:pStyle w:val="Body1"/>
        <w:rPr>
          <w:rFonts w:ascii="Times New Roman" w:hAnsi="Times New Roman"/>
          <w:lang w:val="en-GB" w:eastAsia="en-GB"/>
        </w:rPr>
      </w:pPr>
    </w:p>
    <w:p w:rsidR="006F2B4E" w:rsidRPr="001667F8" w:rsidRDefault="006F2B4E" w:rsidP="006F2B4E">
      <w:pPr>
        <w:spacing w:line="480" w:lineRule="auto"/>
        <w:jc w:val="center"/>
        <w:rPr>
          <w:vertAlign w:val="superscript"/>
        </w:rPr>
      </w:pPr>
      <w:r w:rsidRPr="001667F8">
        <w:t>C</w:t>
      </w:r>
      <w:r>
        <w:t xml:space="preserve">hristopher </w:t>
      </w:r>
      <w:r w:rsidRPr="001667F8">
        <w:t>M.</w:t>
      </w:r>
      <w:r>
        <w:t xml:space="preserve"> </w:t>
      </w:r>
      <w:r w:rsidRPr="001667F8">
        <w:t>Stone</w:t>
      </w:r>
      <w:r w:rsidRPr="007E4BC1">
        <w:t>,</w:t>
      </w:r>
      <w:r>
        <w:t xml:space="preserve"> Steve W. Lindsay, Nakul Chitnis</w:t>
      </w:r>
    </w:p>
    <w:p w:rsidR="000543AA" w:rsidRDefault="000543AA"/>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Default="006F2B4E" w:rsidP="006F2B4E">
      <w:pPr>
        <w:autoSpaceDE w:val="0"/>
        <w:autoSpaceDN w:val="0"/>
        <w:adjustRightInd w:val="0"/>
        <w:spacing w:after="0" w:line="480" w:lineRule="auto"/>
        <w:rPr>
          <w:b/>
        </w:rPr>
      </w:pPr>
    </w:p>
    <w:p w:rsidR="006F2B4E" w:rsidRPr="002A7194" w:rsidRDefault="006F2B4E" w:rsidP="006F2B4E">
      <w:pPr>
        <w:autoSpaceDE w:val="0"/>
        <w:autoSpaceDN w:val="0"/>
        <w:adjustRightInd w:val="0"/>
        <w:spacing w:after="0" w:line="480" w:lineRule="auto"/>
        <w:rPr>
          <w:b/>
        </w:rPr>
      </w:pPr>
      <w:r>
        <w:rPr>
          <w:b/>
        </w:rPr>
        <w:t>Section I: M</w:t>
      </w:r>
      <w:r w:rsidRPr="002A7194">
        <w:rPr>
          <w:b/>
        </w:rPr>
        <w:t>odel equations</w:t>
      </w:r>
    </w:p>
    <w:p w:rsidR="006F2B4E" w:rsidRDefault="006F2B4E" w:rsidP="00F469A6">
      <w:pPr>
        <w:autoSpaceDE w:val="0"/>
        <w:autoSpaceDN w:val="0"/>
        <w:adjustRightInd w:val="0"/>
        <w:spacing w:after="0" w:line="240" w:lineRule="auto"/>
      </w:pPr>
      <w:r>
        <w:t>The</w:t>
      </w:r>
      <w:r w:rsidR="00B203D6">
        <w:t xml:space="preserve"> mean </w:t>
      </w:r>
      <w:r>
        <w:t xml:space="preserve">worm and microfilariae burden of </w:t>
      </w:r>
      <w:r w:rsidRPr="002A7194">
        <w:rPr>
          <w:i/>
        </w:rPr>
        <w:t>Wuchereria bancrofti</w:t>
      </w:r>
      <w:r>
        <w:t xml:space="preserve"> in humans in given by the following equations:</w:t>
      </w:r>
    </w:p>
    <w:p w:rsidR="006F2B4E" w:rsidRDefault="006F2B4E" w:rsidP="00F469A6">
      <w:pPr>
        <w:autoSpaceDE w:val="0"/>
        <w:autoSpaceDN w:val="0"/>
        <w:adjustRightInd w:val="0"/>
        <w:spacing w:after="0" w:line="240" w:lineRule="auto"/>
      </w:pPr>
    </w:p>
    <w:tbl>
      <w:tblPr>
        <w:tblStyle w:val="TableGrid"/>
        <w:tblW w:w="5000" w:type="pct"/>
        <w:tblLook w:val="04A0" w:firstRow="1" w:lastRow="0" w:firstColumn="1" w:lastColumn="0" w:noHBand="0" w:noVBand="1"/>
      </w:tblPr>
      <w:tblGrid>
        <w:gridCol w:w="1393"/>
        <w:gridCol w:w="6502"/>
        <w:gridCol w:w="1393"/>
      </w:tblGrid>
      <w:tr w:rsidR="00300E8B" w:rsidTr="00300E8B">
        <w:tc>
          <w:tcPr>
            <w:tcW w:w="750" w:type="pct"/>
            <w:tcBorders>
              <w:top w:val="nil"/>
              <w:left w:val="nil"/>
              <w:bottom w:val="nil"/>
              <w:right w:val="nil"/>
            </w:tcBorders>
            <w:vAlign w:val="center"/>
          </w:tcPr>
          <w:p w:rsidR="00300E8B" w:rsidRDefault="00300E8B" w:rsidP="00F469A6">
            <w:pPr>
              <w:autoSpaceDE w:val="0"/>
              <w:autoSpaceDN w:val="0"/>
              <w:adjustRightInd w:val="0"/>
            </w:pPr>
          </w:p>
        </w:tc>
        <w:tc>
          <w:tcPr>
            <w:tcW w:w="3500" w:type="pct"/>
            <w:tcBorders>
              <w:top w:val="nil"/>
              <w:left w:val="nil"/>
              <w:bottom w:val="nil"/>
              <w:right w:val="nil"/>
            </w:tcBorders>
            <w:vAlign w:val="center"/>
          </w:tcPr>
          <w:p w:rsidR="00300E8B" w:rsidRDefault="00300E8B" w:rsidP="00F469A6">
            <w:pPr>
              <w:autoSpaceDE w:val="0"/>
              <w:autoSpaceDN w:val="0"/>
              <w:adjustRightInd w:val="0"/>
              <w:jc w:val="center"/>
            </w:pPr>
            <w:r w:rsidRPr="00496578">
              <w:rPr>
                <w:rFonts w:eastAsia="Times New Roman"/>
                <w:position w:val="-30"/>
              </w:rPr>
              <w:object w:dxaOrig="3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33.8pt" o:ole="">
                  <v:imagedata r:id="rId8" o:title=""/>
                </v:shape>
                <o:OLEObject Type="Embed" ProgID="Equation.DSMT4" ShapeID="_x0000_i1025" DrawAspect="Content" ObjectID="_1467634600" r:id="rId9"/>
              </w:object>
            </w:r>
          </w:p>
        </w:tc>
        <w:tc>
          <w:tcPr>
            <w:tcW w:w="750" w:type="pct"/>
            <w:tcBorders>
              <w:top w:val="nil"/>
              <w:left w:val="nil"/>
              <w:bottom w:val="nil"/>
              <w:right w:val="nil"/>
            </w:tcBorders>
            <w:vAlign w:val="center"/>
          </w:tcPr>
          <w:p w:rsidR="00300E8B" w:rsidRDefault="00300E8B" w:rsidP="00F469A6">
            <w:pPr>
              <w:autoSpaceDE w:val="0"/>
              <w:autoSpaceDN w:val="0"/>
              <w:adjustRightInd w:val="0"/>
              <w:jc w:val="center"/>
            </w:pPr>
            <w:r>
              <w:t>(S1</w:t>
            </w:r>
            <w:r w:rsidR="00F469A6">
              <w:t>.1</w:t>
            </w:r>
            <w:r>
              <w:t>)</w:t>
            </w:r>
          </w:p>
        </w:tc>
      </w:tr>
      <w:tr w:rsidR="00F469A6" w:rsidTr="00BC2406">
        <w:tc>
          <w:tcPr>
            <w:tcW w:w="750" w:type="pct"/>
            <w:tcBorders>
              <w:top w:val="nil"/>
              <w:left w:val="nil"/>
              <w:bottom w:val="nil"/>
              <w:right w:val="nil"/>
            </w:tcBorders>
            <w:vAlign w:val="center"/>
          </w:tcPr>
          <w:p w:rsidR="00F469A6" w:rsidRDefault="00F469A6" w:rsidP="00BC2406">
            <w:pPr>
              <w:autoSpaceDE w:val="0"/>
              <w:autoSpaceDN w:val="0"/>
              <w:adjustRightInd w:val="0"/>
            </w:pPr>
          </w:p>
        </w:tc>
        <w:tc>
          <w:tcPr>
            <w:tcW w:w="3500" w:type="pct"/>
            <w:tcBorders>
              <w:top w:val="nil"/>
              <w:left w:val="nil"/>
              <w:bottom w:val="nil"/>
              <w:right w:val="nil"/>
            </w:tcBorders>
            <w:vAlign w:val="center"/>
          </w:tcPr>
          <w:p w:rsidR="00F469A6" w:rsidRDefault="00F469A6" w:rsidP="00BC2406">
            <w:pPr>
              <w:autoSpaceDE w:val="0"/>
              <w:autoSpaceDN w:val="0"/>
              <w:adjustRightInd w:val="0"/>
              <w:jc w:val="center"/>
            </w:pPr>
            <w:r w:rsidRPr="00496578">
              <w:rPr>
                <w:rFonts w:eastAsia="Times New Roman"/>
                <w:position w:val="-24"/>
              </w:rPr>
              <w:object w:dxaOrig="1520" w:dyaOrig="620">
                <v:shape id="_x0000_i1026" type="#_x0000_t75" style="width:75.75pt;height:30.7pt" o:ole="">
                  <v:imagedata r:id="rId10" o:title=""/>
                </v:shape>
                <o:OLEObject Type="Embed" ProgID="Equation.DSMT4" ShapeID="_x0000_i1026" DrawAspect="Content" ObjectID="_1467634601" r:id="rId11"/>
              </w:object>
            </w:r>
          </w:p>
        </w:tc>
        <w:tc>
          <w:tcPr>
            <w:tcW w:w="750" w:type="pct"/>
            <w:tcBorders>
              <w:top w:val="nil"/>
              <w:left w:val="nil"/>
              <w:bottom w:val="nil"/>
              <w:right w:val="nil"/>
            </w:tcBorders>
            <w:vAlign w:val="center"/>
          </w:tcPr>
          <w:p w:rsidR="00F469A6" w:rsidRDefault="00F469A6" w:rsidP="00F469A6">
            <w:pPr>
              <w:autoSpaceDE w:val="0"/>
              <w:autoSpaceDN w:val="0"/>
              <w:adjustRightInd w:val="0"/>
              <w:jc w:val="center"/>
            </w:pPr>
            <w:r>
              <w:t>(S1.2)</w:t>
            </w:r>
          </w:p>
        </w:tc>
      </w:tr>
    </w:tbl>
    <w:p w:rsidR="00300E8B" w:rsidRDefault="00300E8B" w:rsidP="00F469A6">
      <w:pPr>
        <w:autoSpaceDE w:val="0"/>
        <w:autoSpaceDN w:val="0"/>
        <w:adjustRightInd w:val="0"/>
        <w:spacing w:after="0" w:line="240" w:lineRule="auto"/>
      </w:pPr>
    </w:p>
    <w:p w:rsidR="00300E8B" w:rsidRDefault="00300E8B" w:rsidP="006F2B4E">
      <w:pPr>
        <w:autoSpaceDE w:val="0"/>
        <w:autoSpaceDN w:val="0"/>
        <w:adjustRightInd w:val="0"/>
        <w:spacing w:after="0" w:line="240" w:lineRule="auto"/>
      </w:pPr>
    </w:p>
    <w:p w:rsidR="006F2B4E" w:rsidRDefault="006F2B4E" w:rsidP="006F2B4E">
      <w:pPr>
        <w:rPr>
          <w:rFonts w:eastAsia="Times New Roman"/>
        </w:rPr>
      </w:pPr>
      <w:r>
        <w:t>Here W refers to the mean adult worm burden in the human population and F the mean number of microfilariae in 20 μl of human blood; ψ</w:t>
      </w:r>
      <w:r w:rsidRPr="00E07DD0">
        <w:rPr>
          <w:vertAlign w:val="subscript"/>
        </w:rPr>
        <w:t>1</w:t>
      </w:r>
      <w:r>
        <w:rPr>
          <w:vertAlign w:val="subscript"/>
        </w:rPr>
        <w:t xml:space="preserve"> </w:t>
      </w:r>
      <w:r>
        <w:t>is a proportion of infective bites that leads to the establishment of a worm; (M</w:t>
      </w:r>
      <w:r>
        <w:rPr>
          <w:vertAlign w:val="subscript"/>
        </w:rPr>
        <w:t>si</w:t>
      </w:r>
      <w:r>
        <w:t xml:space="preserve"> + M</w:t>
      </w:r>
      <w:r>
        <w:rPr>
          <w:vertAlign w:val="subscript"/>
        </w:rPr>
        <w:t>ei</w:t>
      </w:r>
      <w:r>
        <w:t xml:space="preserve"> +M</w:t>
      </w:r>
      <w:r w:rsidRPr="00AD2BFE">
        <w:rPr>
          <w:vertAlign w:val="subscript"/>
        </w:rPr>
        <w:t>i</w:t>
      </w:r>
      <w:r>
        <w:rPr>
          <w:vertAlign w:val="subscript"/>
        </w:rPr>
        <w:t>i</w:t>
      </w:r>
      <w:r>
        <w:t>)/N</w:t>
      </w:r>
      <w:r w:rsidRPr="00AD2BFE">
        <w:rPr>
          <w:vertAlign w:val="subscript"/>
        </w:rPr>
        <w:t>h</w:t>
      </w:r>
      <w:r>
        <w:t xml:space="preserve"> is the ratio of LF infective mosquitoes (those with third-stage larvae) to humans and </w:t>
      </w:r>
      <w:r w:rsidRPr="00AD2BFE">
        <w:rPr>
          <w:i/>
        </w:rPr>
        <w:t>a</w:t>
      </w:r>
      <w:r>
        <w:t xml:space="preserve"> their biting rate on humans (i.e., a combination of host preference and feeding frequency). The value of L</w:t>
      </w:r>
      <w:r w:rsidRPr="00AF5EC1">
        <w:rPr>
          <w:vertAlign w:val="subscript"/>
        </w:rPr>
        <w:t>3</w:t>
      </w:r>
      <w:r>
        <w:t xml:space="preserve"> is the mean number of infective larvae carried by infective mosquitoes. </w:t>
      </w:r>
      <w:r w:rsidRPr="005932D7">
        <w:rPr>
          <w:rFonts w:eastAsia="Times New Roman"/>
        </w:rPr>
        <w:t>The fecundity of female worms is represented by α, and μ</w:t>
      </w:r>
      <w:r w:rsidRPr="005932D7">
        <w:rPr>
          <w:rFonts w:eastAsia="Times New Roman"/>
          <w:vertAlign w:val="subscript"/>
        </w:rPr>
        <w:t>f</w:t>
      </w:r>
      <w:r w:rsidRPr="005932D7">
        <w:rPr>
          <w:rFonts w:eastAsia="Times New Roman"/>
        </w:rPr>
        <w:t xml:space="preserve"> represents the mortality rate of microfilariae. Certain models include a mating function, φ, for dioecious, polygamous worms that are negative binomially distributed, introducing  a breakpoint in the mean worm burden below which the infection will die out, although the relevance when infection is highly overdispersed has been questioned </w:t>
      </w:r>
      <w:r w:rsidRPr="005932D7">
        <w:rPr>
          <w:rFonts w:eastAsia="Times New Roman"/>
        </w:rPr>
        <w:fldChar w:fldCharType="begin"/>
      </w:r>
      <w:r>
        <w:rPr>
          <w:rFonts w:eastAsia="Times New Roman"/>
        </w:rPr>
        <w:instrText xml:space="preserve"> ADDIN EN.CITE &lt;EndNote&gt;&lt;Cite&gt;&lt;Author&gt;Anderson&lt;/Author&gt;&lt;Year&gt;1985&lt;/Year&gt;&lt;RecNum&gt;495&lt;/RecNum&gt;&lt;DisplayText&gt;[1]&lt;/DisplayText&gt;&lt;record&gt;&lt;rec-number&gt;495&lt;/rec-number&gt;&lt;foreign-keys&gt;&lt;key app="EN" db-id="9a5dapd0f5r20sedrdopr29szrp2evd2rf9s"&gt;495&lt;/key&gt;&lt;/foreign-keys&gt;&lt;ref-type name="Journal Article"&gt;17&lt;/ref-type&gt;&lt;contributors&gt;&lt;authors&gt;&lt;author&gt;Anderson, RM&lt;/author&gt;&lt;author&gt;May, RM&lt;/author&gt;&lt;/authors&gt;&lt;/contributors&gt;&lt;titles&gt;&lt;title&gt;Helminth infections of humans: mathematical models, population dynamics, and control.&lt;/title&gt;&lt;secondary-title&gt;Advances in Parasitology&lt;/secondary-title&gt;&lt;/titles&gt;&lt;periodical&gt;&lt;full-title&gt;Advances in parasitology&lt;/full-title&gt;&lt;/periodical&gt;&lt;pages&gt;1-101&lt;/pages&gt;&lt;volume&gt;24&lt;/volume&gt;&lt;dates&gt;&lt;year&gt;1985&lt;/year&gt;&lt;/dates&gt;&lt;urls&gt;&lt;/urls&gt;&lt;/record&gt;&lt;/Cite&gt;&lt;/EndNote&gt;</w:instrText>
      </w:r>
      <w:r w:rsidRPr="005932D7">
        <w:rPr>
          <w:rFonts w:eastAsia="Times New Roman"/>
        </w:rPr>
        <w:fldChar w:fldCharType="separate"/>
      </w:r>
      <w:r>
        <w:rPr>
          <w:rFonts w:eastAsia="Times New Roman"/>
          <w:noProof/>
        </w:rPr>
        <w:t>[</w:t>
      </w:r>
      <w:hyperlink w:anchor="_ENREF_1" w:tooltip="Anderson, 1985 #495" w:history="1">
        <w:r w:rsidR="008F7D66">
          <w:rPr>
            <w:rFonts w:eastAsia="Times New Roman"/>
            <w:noProof/>
          </w:rPr>
          <w:t>1</w:t>
        </w:r>
      </w:hyperlink>
      <w:r>
        <w:rPr>
          <w:rFonts w:eastAsia="Times New Roman"/>
          <w:noProof/>
        </w:rPr>
        <w:t>]</w:t>
      </w:r>
      <w:r w:rsidRPr="005932D7">
        <w:rPr>
          <w:rFonts w:eastAsia="Times New Roman"/>
        </w:rPr>
        <w:fldChar w:fldCharType="end"/>
      </w:r>
      <w:r w:rsidRPr="005932D7">
        <w:rPr>
          <w:rFonts w:eastAsia="Times New Roman"/>
        </w:rPr>
        <w:t>. For the sake of simplicity we ignore the mating function here.</w:t>
      </w:r>
    </w:p>
    <w:p w:rsidR="006F2B4E" w:rsidRDefault="006F2B4E" w:rsidP="006F2B4E">
      <w:pPr>
        <w:spacing w:line="240" w:lineRule="auto"/>
      </w:pPr>
      <w:r>
        <w:t>We use a</w:t>
      </w:r>
      <w:r w:rsidR="003277A0">
        <w:t xml:space="preserve"> susceptible, exposed, infect</w:t>
      </w:r>
      <w:r w:rsidR="00B23B6E">
        <w:t>ive</w:t>
      </w:r>
      <w:r w:rsidR="003277A0">
        <w:t>, resistant and susceptible (</w:t>
      </w:r>
      <w:r>
        <w:t>SEIRS</w:t>
      </w:r>
      <w:r w:rsidR="003277A0">
        <w:t>)</w:t>
      </w:r>
      <w:r>
        <w:t xml:space="preserve"> compartmental model for </w:t>
      </w:r>
      <w:r w:rsidRPr="00B0637B">
        <w:rPr>
          <w:i/>
        </w:rPr>
        <w:t>Plasmodium falciparum</w:t>
      </w:r>
      <w:r>
        <w:t xml:space="preserve">, following Chitnis et al </w:t>
      </w:r>
      <w:r>
        <w:fldChar w:fldCharType="begin"/>
      </w:r>
      <w:r>
        <w:instrText xml:space="preserve"> ADDIN EN.CITE &lt;EndNote&gt;&lt;Cite&gt;&lt;Author&gt;Chitnis&lt;/Author&gt;&lt;Year&gt;2006&lt;/Year&gt;&lt;RecNum&gt;496&lt;/RecNum&gt;&lt;DisplayText&gt;[2]&lt;/DisplayText&gt;&lt;record&gt;&lt;rec-number&gt;496&lt;/rec-number&gt;&lt;foreign-keys&gt;&lt;key app="EN" db-id="9a5dapd0f5r20sedrdopr29szrp2evd2rf9s"&gt;496&lt;/key&gt;&lt;/foreign-keys&gt;&lt;ref-type name="Journal Article"&gt;17&lt;/ref-type&gt;&lt;contributors&gt;&lt;authors&gt;&lt;author&gt;Chitnis, N&lt;/author&gt;&lt;author&gt;Cushing, JM&lt;/author&gt;&lt;author&gt;Hyman, JM&lt;/author&gt;&lt;/authors&gt;&lt;/contributors&gt;&lt;titles&gt;&lt;title&gt;Bifurcation analysis of a mathematical model for malaria transmission.&lt;/title&gt;&lt;secondary-title&gt;SIAM Journal on Applied Mathematics&lt;/secondary-title&gt;&lt;/titles&gt;&lt;periodical&gt;&lt;full-title&gt;SIAM Journal on Applied Mathematics&lt;/full-title&gt;&lt;/periodical&gt;&lt;pages&gt;24-45&lt;/pages&gt;&lt;volume&gt;67&lt;/volume&gt;&lt;dates&gt;&lt;year&gt;2006&lt;/year&gt;&lt;/dates&gt;&lt;urls&gt;&lt;/urls&gt;&lt;/record&gt;&lt;/Cite&gt;&lt;/EndNote&gt;</w:instrText>
      </w:r>
      <w:r>
        <w:fldChar w:fldCharType="separate"/>
      </w:r>
      <w:r>
        <w:rPr>
          <w:noProof/>
        </w:rPr>
        <w:t>[</w:t>
      </w:r>
      <w:hyperlink w:anchor="_ENREF_2" w:tooltip="Chitnis, 2006 #496" w:history="1">
        <w:r w:rsidR="008F7D66">
          <w:rPr>
            <w:noProof/>
          </w:rPr>
          <w:t>2</w:t>
        </w:r>
      </w:hyperlink>
      <w:r>
        <w:rPr>
          <w:noProof/>
        </w:rPr>
        <w:t>]</w:t>
      </w:r>
      <w:r>
        <w:fldChar w:fldCharType="end"/>
      </w:r>
      <w:r>
        <w:t>, ignoring human migration and assuming a constant per capita density independent death rate:</w:t>
      </w:r>
    </w:p>
    <w:tbl>
      <w:tblPr>
        <w:tblStyle w:val="TableGrid"/>
        <w:tblW w:w="5000" w:type="pct"/>
        <w:tblLook w:val="04A0" w:firstRow="1" w:lastRow="0" w:firstColumn="1" w:lastColumn="0" w:noHBand="0" w:noVBand="1"/>
      </w:tblPr>
      <w:tblGrid>
        <w:gridCol w:w="1393"/>
        <w:gridCol w:w="6502"/>
        <w:gridCol w:w="1393"/>
      </w:tblGrid>
      <w:tr w:rsidR="00164217" w:rsidTr="00BC2406">
        <w:tc>
          <w:tcPr>
            <w:tcW w:w="750" w:type="pct"/>
            <w:tcBorders>
              <w:top w:val="nil"/>
              <w:left w:val="nil"/>
              <w:bottom w:val="nil"/>
              <w:right w:val="nil"/>
            </w:tcBorders>
            <w:vAlign w:val="center"/>
          </w:tcPr>
          <w:p w:rsidR="00164217" w:rsidRDefault="00164217" w:rsidP="00BC2406">
            <w:pPr>
              <w:autoSpaceDE w:val="0"/>
              <w:autoSpaceDN w:val="0"/>
              <w:adjustRightInd w:val="0"/>
            </w:pPr>
          </w:p>
        </w:tc>
        <w:tc>
          <w:tcPr>
            <w:tcW w:w="3500" w:type="pct"/>
            <w:tcBorders>
              <w:top w:val="nil"/>
              <w:left w:val="nil"/>
              <w:bottom w:val="nil"/>
              <w:right w:val="nil"/>
            </w:tcBorders>
            <w:vAlign w:val="center"/>
          </w:tcPr>
          <w:p w:rsidR="00164217" w:rsidRDefault="00164217" w:rsidP="00BC2406">
            <w:pPr>
              <w:autoSpaceDE w:val="0"/>
              <w:autoSpaceDN w:val="0"/>
              <w:adjustRightInd w:val="0"/>
              <w:jc w:val="center"/>
            </w:pPr>
            <w:r w:rsidRPr="00AD0BCA">
              <w:rPr>
                <w:rFonts w:eastAsia="Times New Roman"/>
                <w:position w:val="-122"/>
              </w:rPr>
              <w:object w:dxaOrig="3080" w:dyaOrig="2560">
                <v:shape id="_x0000_i1027" type="#_x0000_t75" style="width:153.4pt;height:127.7pt" o:ole="">
                  <v:imagedata r:id="rId12" o:title=""/>
                </v:shape>
                <o:OLEObject Type="Embed" ProgID="Equation.DSMT4" ShapeID="_x0000_i1027" DrawAspect="Content" ObjectID="_1467634602" r:id="rId13"/>
              </w:object>
            </w:r>
          </w:p>
        </w:tc>
        <w:tc>
          <w:tcPr>
            <w:tcW w:w="750" w:type="pct"/>
            <w:tcBorders>
              <w:top w:val="nil"/>
              <w:left w:val="nil"/>
              <w:bottom w:val="nil"/>
              <w:right w:val="nil"/>
            </w:tcBorders>
            <w:vAlign w:val="center"/>
          </w:tcPr>
          <w:p w:rsidR="00164217" w:rsidRDefault="00164217" w:rsidP="00164217">
            <w:pPr>
              <w:autoSpaceDE w:val="0"/>
              <w:autoSpaceDN w:val="0"/>
              <w:adjustRightInd w:val="0"/>
              <w:jc w:val="center"/>
            </w:pPr>
            <w:r>
              <w:t>(S1.3)</w:t>
            </w:r>
          </w:p>
        </w:tc>
      </w:tr>
    </w:tbl>
    <w:p w:rsidR="00164217" w:rsidRDefault="00164217" w:rsidP="006F2B4E">
      <w:pPr>
        <w:spacing w:line="240" w:lineRule="auto"/>
        <w:rPr>
          <w:rFonts w:eastAsia="Times New Roman"/>
        </w:rPr>
      </w:pPr>
    </w:p>
    <w:p w:rsidR="006F2B4E" w:rsidRDefault="006F2B4E" w:rsidP="00EE27E7">
      <w:pPr>
        <w:spacing w:after="0" w:line="240" w:lineRule="auto"/>
      </w:pPr>
      <w:r w:rsidRPr="005932D7">
        <w:rPr>
          <w:rFonts w:eastAsia="Times New Roman"/>
        </w:rPr>
        <w:t xml:space="preserve">Here </w:t>
      </w:r>
      <w:r w:rsidRPr="005932D7">
        <w:rPr>
          <w:rFonts w:eastAsia="Times New Roman"/>
          <w:i/>
        </w:rPr>
        <w:t>N</w:t>
      </w:r>
      <w:r w:rsidRPr="005932D7">
        <w:rPr>
          <w:rFonts w:eastAsia="Times New Roman"/>
          <w:i/>
          <w:vertAlign w:val="subscript"/>
        </w:rPr>
        <w:t>h</w:t>
      </w:r>
      <w:r w:rsidRPr="005932D7">
        <w:rPr>
          <w:rFonts w:eastAsia="Times New Roman"/>
          <w:i/>
        </w:rPr>
        <w:t>= S</w:t>
      </w:r>
      <w:r w:rsidRPr="005932D7">
        <w:rPr>
          <w:rFonts w:eastAsia="Times New Roman"/>
          <w:i/>
          <w:vertAlign w:val="subscript"/>
        </w:rPr>
        <w:t>h</w:t>
      </w:r>
      <w:r w:rsidRPr="005932D7">
        <w:rPr>
          <w:rFonts w:eastAsia="Times New Roman"/>
          <w:i/>
        </w:rPr>
        <w:t xml:space="preserve"> + E</w:t>
      </w:r>
      <w:r w:rsidRPr="005932D7">
        <w:rPr>
          <w:rFonts w:eastAsia="Times New Roman"/>
          <w:i/>
          <w:vertAlign w:val="subscript"/>
        </w:rPr>
        <w:t>h</w:t>
      </w:r>
      <w:r w:rsidRPr="005932D7">
        <w:rPr>
          <w:rFonts w:eastAsia="Times New Roman"/>
          <w:i/>
        </w:rPr>
        <w:t xml:space="preserve"> + I</w:t>
      </w:r>
      <w:r w:rsidRPr="005932D7">
        <w:rPr>
          <w:rFonts w:eastAsia="Times New Roman"/>
          <w:i/>
          <w:vertAlign w:val="subscript"/>
        </w:rPr>
        <w:t>h</w:t>
      </w:r>
      <w:r w:rsidRPr="005932D7">
        <w:rPr>
          <w:rFonts w:eastAsia="Times New Roman"/>
          <w:i/>
        </w:rPr>
        <w:t xml:space="preserve"> + R</w:t>
      </w:r>
      <w:r w:rsidRPr="005932D7">
        <w:rPr>
          <w:rFonts w:eastAsia="Times New Roman"/>
          <w:i/>
          <w:vertAlign w:val="subscript"/>
        </w:rPr>
        <w:t>h</w:t>
      </w:r>
      <w:r w:rsidRPr="005932D7">
        <w:rPr>
          <w:rFonts w:eastAsia="Times New Roman"/>
        </w:rPr>
        <w:t xml:space="preserve"> is the total human population; </w:t>
      </w:r>
      <w:r w:rsidRPr="005932D7">
        <w:rPr>
          <w:rFonts w:eastAsia="Times New Roman"/>
          <w:i/>
        </w:rPr>
        <w:t>ψ</w:t>
      </w:r>
      <w:r w:rsidRPr="005932D7">
        <w:rPr>
          <w:rFonts w:eastAsia="Times New Roman"/>
          <w:i/>
          <w:vertAlign w:val="subscript"/>
        </w:rPr>
        <w:t>h</w:t>
      </w:r>
      <w:r w:rsidRPr="005932D7">
        <w:rPr>
          <w:rFonts w:eastAsia="Times New Roman"/>
          <w:vertAlign w:val="subscript"/>
        </w:rPr>
        <w:t xml:space="preserve"> </w:t>
      </w:r>
      <w:r w:rsidRPr="005932D7">
        <w:rPr>
          <w:rFonts w:eastAsia="Times New Roman"/>
        </w:rPr>
        <w:t xml:space="preserve">equals births of humans; </w:t>
      </w:r>
      <w:r w:rsidRPr="005932D7">
        <w:rPr>
          <w:rFonts w:eastAsia="Times New Roman"/>
          <w:i/>
        </w:rPr>
        <w:t>ρ</w:t>
      </w:r>
      <w:r w:rsidRPr="005932D7">
        <w:rPr>
          <w:rFonts w:eastAsia="Times New Roman"/>
          <w:i/>
          <w:vertAlign w:val="subscript"/>
        </w:rPr>
        <w:t>h</w:t>
      </w:r>
      <w:r w:rsidRPr="005932D7">
        <w:rPr>
          <w:rFonts w:eastAsia="Times New Roman"/>
        </w:rPr>
        <w:t xml:space="preserve"> the waning of immunity; and </w:t>
      </w:r>
      <w:r w:rsidRPr="005932D7">
        <w:rPr>
          <w:rFonts w:eastAsia="Times New Roman"/>
          <w:i/>
        </w:rPr>
        <w:t>μ</w:t>
      </w:r>
      <w:r w:rsidRPr="005932D7">
        <w:rPr>
          <w:rFonts w:eastAsia="Times New Roman"/>
          <w:i/>
          <w:vertAlign w:val="subscript"/>
        </w:rPr>
        <w:t>h</w:t>
      </w:r>
      <w:r w:rsidRPr="005932D7">
        <w:rPr>
          <w:rFonts w:eastAsia="Times New Roman"/>
        </w:rPr>
        <w:t xml:space="preserve"> the base mortality of humans. </w:t>
      </w:r>
      <w:r>
        <w:t xml:space="preserve">The reciprocal of the duration of the incubation period, </w:t>
      </w:r>
      <w:r w:rsidRPr="00E11A60">
        <w:rPr>
          <w:i/>
          <w:iCs/>
        </w:rPr>
        <w:t>v</w:t>
      </w:r>
      <w:r w:rsidRPr="00E11A60">
        <w:rPr>
          <w:i/>
          <w:iCs/>
          <w:vertAlign w:val="subscript"/>
        </w:rPr>
        <w:t>h</w:t>
      </w:r>
      <w:r>
        <w:t xml:space="preserve">, in humans determines progression from the incubating to the infective stage. Humans leave the infective stage at rates </w:t>
      </w:r>
      <w:r w:rsidRPr="009F60C1">
        <w:rPr>
          <w:i/>
        </w:rPr>
        <w:t>γ</w:t>
      </w:r>
      <w:r w:rsidRPr="009F60C1">
        <w:rPr>
          <w:i/>
          <w:vertAlign w:val="subscript"/>
        </w:rPr>
        <w:t>h</w:t>
      </w:r>
      <w:r>
        <w:t xml:space="preserve">, the rate of recovery, and </w:t>
      </w:r>
      <w:r w:rsidRPr="009F60C1">
        <w:rPr>
          <w:i/>
        </w:rPr>
        <w:t>δ</w:t>
      </w:r>
      <w:r w:rsidRPr="009F60C1">
        <w:rPr>
          <w:i/>
          <w:vertAlign w:val="subscript"/>
        </w:rPr>
        <w:t>h</w:t>
      </w:r>
      <w:r>
        <w:t xml:space="preserve">, malaria-induced mortality. </w:t>
      </w:r>
      <w:r w:rsidRPr="005932D7">
        <w:rPr>
          <w:rFonts w:eastAsia="Times New Roman"/>
        </w:rPr>
        <w:t>The force of infection of mosquitoes to humans</w:t>
      </w:r>
      <w:r>
        <w:t>,</w:t>
      </w:r>
      <w:r w:rsidRPr="009F60C1">
        <w:rPr>
          <w:i/>
        </w:rPr>
        <w:t xml:space="preserve"> λ</w:t>
      </w:r>
      <w:r w:rsidRPr="009F60C1">
        <w:rPr>
          <w:i/>
          <w:vertAlign w:val="subscript"/>
        </w:rPr>
        <w:t>h</w:t>
      </w:r>
      <w:r w:rsidRPr="005932D7">
        <w:rPr>
          <w:rFonts w:eastAsia="Times New Roman"/>
          <w:i/>
        </w:rPr>
        <w:t>(t)</w:t>
      </w:r>
      <w:r w:rsidRPr="005932D7">
        <w:rPr>
          <w:rFonts w:eastAsia="Times New Roman"/>
        </w:rPr>
        <w:t>,</w:t>
      </w:r>
      <w:r>
        <w:t xml:space="preserve"> is defined as follows:</w:t>
      </w:r>
    </w:p>
    <w:p w:rsidR="00EE27E7" w:rsidRDefault="00EE27E7" w:rsidP="00EE27E7">
      <w:pPr>
        <w:spacing w:after="0" w:line="240" w:lineRule="auto"/>
      </w:pPr>
    </w:p>
    <w:tbl>
      <w:tblPr>
        <w:tblStyle w:val="TableGrid"/>
        <w:tblW w:w="5000" w:type="pct"/>
        <w:tblLook w:val="04A0" w:firstRow="1" w:lastRow="0" w:firstColumn="1" w:lastColumn="0" w:noHBand="0" w:noVBand="1"/>
      </w:tblPr>
      <w:tblGrid>
        <w:gridCol w:w="1393"/>
        <w:gridCol w:w="6502"/>
        <w:gridCol w:w="1393"/>
      </w:tblGrid>
      <w:tr w:rsidR="00EE27E7" w:rsidTr="00BC2406">
        <w:tc>
          <w:tcPr>
            <w:tcW w:w="750" w:type="pct"/>
            <w:tcBorders>
              <w:top w:val="nil"/>
              <w:left w:val="nil"/>
              <w:bottom w:val="nil"/>
              <w:right w:val="nil"/>
            </w:tcBorders>
            <w:vAlign w:val="center"/>
          </w:tcPr>
          <w:p w:rsidR="00EE27E7" w:rsidRDefault="00EE27E7" w:rsidP="00EE27E7">
            <w:pPr>
              <w:autoSpaceDE w:val="0"/>
              <w:autoSpaceDN w:val="0"/>
              <w:adjustRightInd w:val="0"/>
            </w:pPr>
          </w:p>
        </w:tc>
        <w:tc>
          <w:tcPr>
            <w:tcW w:w="3500" w:type="pct"/>
            <w:tcBorders>
              <w:top w:val="nil"/>
              <w:left w:val="nil"/>
              <w:bottom w:val="nil"/>
              <w:right w:val="nil"/>
            </w:tcBorders>
            <w:vAlign w:val="center"/>
          </w:tcPr>
          <w:p w:rsidR="00EE27E7" w:rsidRDefault="00EE27E7" w:rsidP="00EE27E7">
            <w:pPr>
              <w:autoSpaceDE w:val="0"/>
              <w:autoSpaceDN w:val="0"/>
              <w:adjustRightInd w:val="0"/>
              <w:jc w:val="center"/>
            </w:pPr>
            <w:r w:rsidRPr="00984E74">
              <w:rPr>
                <w:rFonts w:eastAsia="Times New Roman"/>
                <w:position w:val="-30"/>
              </w:rPr>
              <w:object w:dxaOrig="2400" w:dyaOrig="680">
                <v:shape id="_x0000_i1028" type="#_x0000_t75" style="width:119.6pt;height:33.8pt" o:ole="">
                  <v:imagedata r:id="rId14" o:title=""/>
                </v:shape>
                <o:OLEObject Type="Embed" ProgID="Equation.DSMT4" ShapeID="_x0000_i1028" DrawAspect="Content" ObjectID="_1467634603" r:id="rId15"/>
              </w:object>
            </w:r>
          </w:p>
        </w:tc>
        <w:tc>
          <w:tcPr>
            <w:tcW w:w="750" w:type="pct"/>
            <w:tcBorders>
              <w:top w:val="nil"/>
              <w:left w:val="nil"/>
              <w:bottom w:val="nil"/>
              <w:right w:val="nil"/>
            </w:tcBorders>
            <w:vAlign w:val="center"/>
          </w:tcPr>
          <w:p w:rsidR="00EE27E7" w:rsidRDefault="00EE27E7" w:rsidP="00EE27E7">
            <w:pPr>
              <w:autoSpaceDE w:val="0"/>
              <w:autoSpaceDN w:val="0"/>
              <w:adjustRightInd w:val="0"/>
              <w:jc w:val="center"/>
            </w:pPr>
            <w:r>
              <w:t>(S1.4)</w:t>
            </w:r>
          </w:p>
        </w:tc>
      </w:tr>
    </w:tbl>
    <w:p w:rsidR="00EE27E7" w:rsidRDefault="006F2B4E" w:rsidP="00EE27E7">
      <w:pPr>
        <w:spacing w:after="0" w:line="240" w:lineRule="auto"/>
        <w:jc w:val="center"/>
        <w:rPr>
          <w:rFonts w:eastAsia="Times New Roman"/>
        </w:rPr>
      </w:pPr>
      <w:r w:rsidRPr="00984E74">
        <w:rPr>
          <w:rFonts w:eastAsia="Times New Roman"/>
        </w:rPr>
        <w:fldChar w:fldCharType="begin"/>
      </w:r>
      <w:r w:rsidRPr="00984E74">
        <w:rPr>
          <w:rFonts w:eastAsia="Times New Roman"/>
        </w:rPr>
        <w:instrText xml:space="preserve"> QUOTE </w:instrText>
      </w:r>
      <m:oMath>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h</m:t>
            </m:r>
          </m:sub>
        </m:sSub>
        <m:r>
          <m:rPr>
            <m:sty m:val="p"/>
          </m:rPr>
          <w:rPr>
            <w:rFonts w:ascii="Cambria Math" w:hAnsi="Cambria Math"/>
          </w:rPr>
          <m:t>(t)= ac</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is</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ie</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M</m:t>
                </m:r>
              </m:e>
              <m:sub>
                <m:r>
                  <m:rPr>
                    <m:sty m:val="p"/>
                  </m:rPr>
                  <w:rPr>
                    <w:rFonts w:ascii="Cambria Math" w:hAnsi="Cambria Math"/>
                  </w:rPr>
                  <m:t>ii</m:t>
                </m:r>
              </m:sub>
            </m:sSub>
          </m:num>
          <m:den>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h</m:t>
                </m:r>
              </m:sub>
            </m:sSub>
          </m:den>
        </m:f>
      </m:oMath>
      <w:r w:rsidRPr="00984E74">
        <w:rPr>
          <w:rFonts w:eastAsia="Times New Roman"/>
        </w:rPr>
        <w:instrText xml:space="preserve"> </w:instrText>
      </w:r>
      <w:r w:rsidRPr="00984E74">
        <w:rPr>
          <w:rFonts w:eastAsia="Times New Roman"/>
        </w:rPr>
        <w:fldChar w:fldCharType="end"/>
      </w:r>
    </w:p>
    <w:p w:rsidR="006F2B4E" w:rsidRDefault="006F2B4E" w:rsidP="00EE27E7">
      <w:pPr>
        <w:spacing w:line="240" w:lineRule="auto"/>
        <w:rPr>
          <w:rFonts w:eastAsia="Times New Roman"/>
        </w:rPr>
      </w:pPr>
      <w:r w:rsidRPr="005932D7">
        <w:rPr>
          <w:rFonts w:eastAsia="Times New Roman"/>
        </w:rPr>
        <w:t xml:space="preserve">Where </w:t>
      </w:r>
      <w:r w:rsidRPr="005932D7">
        <w:rPr>
          <w:rFonts w:eastAsia="Times New Roman"/>
          <w:i/>
        </w:rPr>
        <w:t>c</w:t>
      </w:r>
      <w:r w:rsidRPr="005932D7">
        <w:rPr>
          <w:rFonts w:eastAsia="Times New Roman"/>
        </w:rPr>
        <w:t xml:space="preserve"> is the likelihood of an infection arising from an infective bite, and the final term represents the number of mosquitoes infective with malaria per human.</w:t>
      </w:r>
    </w:p>
    <w:p w:rsidR="006F2B4E" w:rsidRDefault="006F2B4E" w:rsidP="006F2B4E">
      <w:pPr>
        <w:spacing w:line="240" w:lineRule="auto"/>
        <w:rPr>
          <w:rFonts w:eastAsia="Times New Roman"/>
        </w:rPr>
      </w:pPr>
      <w:r w:rsidRPr="005932D7">
        <w:rPr>
          <w:rFonts w:eastAsia="Times New Roman"/>
        </w:rPr>
        <w:lastRenderedPageBreak/>
        <w:t>Infection with</w:t>
      </w:r>
      <w:r w:rsidRPr="005932D7">
        <w:rPr>
          <w:rFonts w:eastAsia="Times New Roman"/>
          <w:i/>
        </w:rPr>
        <w:t xml:space="preserve"> Wuchereria </w:t>
      </w:r>
      <w:r w:rsidRPr="005932D7">
        <w:rPr>
          <w:rFonts w:eastAsia="Times New Roman"/>
        </w:rPr>
        <w:t>and</w:t>
      </w:r>
      <w:r w:rsidRPr="005932D7">
        <w:rPr>
          <w:rFonts w:eastAsia="Times New Roman"/>
          <w:i/>
        </w:rPr>
        <w:t xml:space="preserve"> Plasmodium </w:t>
      </w:r>
      <w:r w:rsidRPr="005932D7">
        <w:rPr>
          <w:rFonts w:eastAsia="Times New Roman"/>
        </w:rPr>
        <w:t>in mosquitoes is modelled using susceptible, incubating and infective (SEI) compartments for each parasite:</w:t>
      </w:r>
    </w:p>
    <w:tbl>
      <w:tblPr>
        <w:tblStyle w:val="TableGrid"/>
        <w:tblW w:w="5000" w:type="pct"/>
        <w:tblLook w:val="04A0" w:firstRow="1" w:lastRow="0" w:firstColumn="1" w:lastColumn="0" w:noHBand="0" w:noVBand="1"/>
      </w:tblPr>
      <w:tblGrid>
        <w:gridCol w:w="1393"/>
        <w:gridCol w:w="6502"/>
        <w:gridCol w:w="1393"/>
      </w:tblGrid>
      <w:tr w:rsidR="006344B6" w:rsidTr="00BC2406">
        <w:tc>
          <w:tcPr>
            <w:tcW w:w="750" w:type="pct"/>
            <w:tcBorders>
              <w:top w:val="nil"/>
              <w:left w:val="nil"/>
              <w:bottom w:val="nil"/>
              <w:right w:val="nil"/>
            </w:tcBorders>
            <w:vAlign w:val="center"/>
          </w:tcPr>
          <w:p w:rsidR="006344B6" w:rsidRDefault="006344B6" w:rsidP="00BC2406">
            <w:pPr>
              <w:autoSpaceDE w:val="0"/>
              <w:autoSpaceDN w:val="0"/>
              <w:adjustRightInd w:val="0"/>
            </w:pPr>
          </w:p>
        </w:tc>
        <w:tc>
          <w:tcPr>
            <w:tcW w:w="3500" w:type="pct"/>
            <w:tcBorders>
              <w:top w:val="nil"/>
              <w:left w:val="nil"/>
              <w:bottom w:val="nil"/>
              <w:right w:val="nil"/>
            </w:tcBorders>
            <w:vAlign w:val="center"/>
          </w:tcPr>
          <w:p w:rsidR="006344B6" w:rsidRDefault="006344B6" w:rsidP="00BC2406">
            <w:pPr>
              <w:autoSpaceDE w:val="0"/>
              <w:autoSpaceDN w:val="0"/>
              <w:adjustRightInd w:val="0"/>
              <w:jc w:val="center"/>
            </w:pPr>
            <w:r w:rsidRPr="00411B7C">
              <w:rPr>
                <w:rFonts w:eastAsia="Times New Roman"/>
                <w:position w:val="-28"/>
              </w:rPr>
              <w:object w:dxaOrig="5480" w:dyaOrig="5820">
                <v:shape id="_x0000_i1029" type="#_x0000_t75" style="width:274.25pt;height:291.15pt" o:ole="">
                  <v:imagedata r:id="rId16" o:title=""/>
                </v:shape>
                <o:OLEObject Type="Embed" ProgID="Equation.DSMT4" ShapeID="_x0000_i1029" DrawAspect="Content" ObjectID="_1467634604" r:id="rId17"/>
              </w:object>
            </w:r>
          </w:p>
        </w:tc>
        <w:tc>
          <w:tcPr>
            <w:tcW w:w="750" w:type="pct"/>
            <w:tcBorders>
              <w:top w:val="nil"/>
              <w:left w:val="nil"/>
              <w:bottom w:val="nil"/>
              <w:right w:val="nil"/>
            </w:tcBorders>
            <w:vAlign w:val="center"/>
          </w:tcPr>
          <w:p w:rsidR="006344B6" w:rsidRDefault="006344B6" w:rsidP="006344B6">
            <w:pPr>
              <w:autoSpaceDE w:val="0"/>
              <w:autoSpaceDN w:val="0"/>
              <w:adjustRightInd w:val="0"/>
              <w:jc w:val="center"/>
            </w:pPr>
            <w:r>
              <w:t>(S1.5)</w:t>
            </w:r>
          </w:p>
        </w:tc>
      </w:tr>
    </w:tbl>
    <w:p w:rsidR="006F2B4E" w:rsidRDefault="006F2B4E" w:rsidP="006F2B4E">
      <w:pPr>
        <w:autoSpaceDE w:val="0"/>
        <w:autoSpaceDN w:val="0"/>
        <w:adjustRightInd w:val="0"/>
        <w:spacing w:after="0" w:line="240" w:lineRule="auto"/>
        <w:jc w:val="center"/>
        <w:rPr>
          <w:rFonts w:eastAsia="Times New Roman"/>
        </w:rPr>
      </w:pPr>
    </w:p>
    <w:p w:rsidR="006F2B4E" w:rsidRPr="00716651" w:rsidRDefault="006F2B4E" w:rsidP="006F2B4E">
      <w:pPr>
        <w:autoSpaceDE w:val="0"/>
        <w:autoSpaceDN w:val="0"/>
        <w:adjustRightInd w:val="0"/>
        <w:spacing w:after="0" w:line="240" w:lineRule="auto"/>
      </w:pPr>
      <w:r w:rsidRPr="005932D7">
        <w:rPr>
          <w:rFonts w:eastAsia="Times New Roman"/>
        </w:rPr>
        <w:t xml:space="preserve">Here </w:t>
      </w:r>
      <w:r w:rsidRPr="005932D7">
        <w:rPr>
          <w:rFonts w:ascii="Cambria Math" w:eastAsia="Times New Roman" w:hAnsi="Cambria Math"/>
        </w:rPr>
        <w:t xml:space="preserve">Λ </w:t>
      </w:r>
      <w:r w:rsidRPr="005932D7">
        <w:rPr>
          <w:rFonts w:eastAsia="Times New Roman"/>
        </w:rPr>
        <w:t xml:space="preserve">represents a constant rate of newly emerged female mosquitoes with the assumption that emergence is limited by the availability of breeding sites with density dependent larval survival; </w:t>
      </w:r>
      <w:r w:rsidRPr="009F60C1">
        <w:rPr>
          <w:i/>
        </w:rPr>
        <w:t>λ</w:t>
      </w:r>
      <w:r w:rsidRPr="009F60C1">
        <w:rPr>
          <w:i/>
          <w:vertAlign w:val="subscript"/>
        </w:rPr>
        <w:t>m</w:t>
      </w:r>
      <w:r w:rsidRPr="009F60C1">
        <w:rPr>
          <w:i/>
        </w:rPr>
        <w:t>(t)</w:t>
      </w:r>
      <w:r>
        <w:t xml:space="preserve"> </w:t>
      </w:r>
      <w:r w:rsidRPr="005932D7">
        <w:rPr>
          <w:rFonts w:eastAsia="Times New Roman"/>
        </w:rPr>
        <w:t xml:space="preserve">is the force of infection from humans to mosquitoes for malaria and </w:t>
      </w:r>
      <w:r w:rsidRPr="009F60C1">
        <w:rPr>
          <w:i/>
        </w:rPr>
        <w:t>λ</w:t>
      </w:r>
      <w:r w:rsidRPr="009F60C1">
        <w:rPr>
          <w:i/>
          <w:vertAlign w:val="subscript"/>
        </w:rPr>
        <w:t>f</w:t>
      </w:r>
      <w:r w:rsidRPr="005932D7">
        <w:rPr>
          <w:rFonts w:eastAsia="Times New Roman"/>
          <w:i/>
        </w:rPr>
        <w:t>(t)</w:t>
      </w:r>
      <w:r w:rsidRPr="005932D7">
        <w:rPr>
          <w:rFonts w:eastAsia="Times New Roman"/>
        </w:rPr>
        <w:t xml:space="preserve"> is that for LF (see </w:t>
      </w:r>
      <w:r w:rsidR="00B203D6">
        <w:rPr>
          <w:rFonts w:eastAsia="Times New Roman"/>
        </w:rPr>
        <w:t>main article</w:t>
      </w:r>
      <w:r w:rsidRPr="005932D7">
        <w:rPr>
          <w:rFonts w:eastAsia="Times New Roman"/>
        </w:rPr>
        <w:t xml:space="preserve">); </w:t>
      </w:r>
      <w:r w:rsidRPr="005932D7">
        <w:rPr>
          <w:rFonts w:eastAsia="Times New Roman"/>
          <w:i/>
        </w:rPr>
        <w:t>μ</w:t>
      </w:r>
      <w:r w:rsidRPr="005932D7">
        <w:rPr>
          <w:rFonts w:eastAsia="Times New Roman"/>
          <w:i/>
          <w:vertAlign w:val="subscript"/>
        </w:rPr>
        <w:t>m</w:t>
      </w:r>
      <w:r w:rsidRPr="005932D7">
        <w:rPr>
          <w:rFonts w:eastAsia="Times New Roman"/>
        </w:rPr>
        <w:t xml:space="preserve"> represents the base mosquito mortality, </w:t>
      </w:r>
      <w:r w:rsidRPr="005932D7">
        <w:rPr>
          <w:rFonts w:eastAsia="Times New Roman"/>
          <w:i/>
        </w:rPr>
        <w:t>μ</w:t>
      </w:r>
      <w:r w:rsidRPr="005932D7">
        <w:rPr>
          <w:rFonts w:eastAsia="Times New Roman"/>
          <w:i/>
          <w:vertAlign w:val="subscript"/>
        </w:rPr>
        <w:t>e</w:t>
      </w:r>
      <w:r w:rsidRPr="005932D7">
        <w:rPr>
          <w:rFonts w:eastAsia="Times New Roman"/>
          <w:vertAlign w:val="subscript"/>
        </w:rPr>
        <w:t xml:space="preserve"> </w:t>
      </w:r>
      <w:r w:rsidRPr="005932D7">
        <w:rPr>
          <w:rFonts w:eastAsia="Times New Roman"/>
        </w:rPr>
        <w:t xml:space="preserve">is the additional mortality due to infection with </w:t>
      </w:r>
      <w:r w:rsidRPr="005932D7">
        <w:rPr>
          <w:rFonts w:eastAsia="Times New Roman"/>
          <w:i/>
        </w:rPr>
        <w:t>Wuchereria</w:t>
      </w:r>
      <w:r w:rsidRPr="005932D7">
        <w:rPr>
          <w:rFonts w:eastAsia="Times New Roman"/>
        </w:rPr>
        <w:t xml:space="preserve"> (for exposed mosquitoes) and </w:t>
      </w:r>
      <w:r w:rsidRPr="005932D7">
        <w:rPr>
          <w:rFonts w:eastAsia="Times New Roman"/>
          <w:i/>
        </w:rPr>
        <w:t>μ</w:t>
      </w:r>
      <w:r w:rsidRPr="005932D7">
        <w:rPr>
          <w:rFonts w:eastAsia="Times New Roman"/>
          <w:i/>
          <w:vertAlign w:val="subscript"/>
        </w:rPr>
        <w:t>i</w:t>
      </w:r>
      <w:r w:rsidRPr="005932D7">
        <w:rPr>
          <w:rFonts w:eastAsia="Times New Roman"/>
        </w:rPr>
        <w:t xml:space="preserve"> for </w:t>
      </w:r>
      <w:r w:rsidRPr="005932D7">
        <w:rPr>
          <w:rFonts w:eastAsia="Times New Roman"/>
          <w:i/>
        </w:rPr>
        <w:t xml:space="preserve">Plasmodium </w:t>
      </w:r>
      <w:r w:rsidRPr="005932D7">
        <w:rPr>
          <w:rFonts w:eastAsia="Times New Roman"/>
          <w:iCs/>
        </w:rPr>
        <w:t>(for infectious mosquitoes), as described in more detail below</w:t>
      </w:r>
      <w:r w:rsidRPr="005932D7">
        <w:rPr>
          <w:rFonts w:eastAsia="Times New Roman"/>
        </w:rPr>
        <w:t xml:space="preserve">. The reciprocal of the development time from ingestion of microfilariae to the appearance of third-stage larvae is given by </w:t>
      </w:r>
      <w:r w:rsidRPr="005932D7">
        <w:rPr>
          <w:rFonts w:eastAsia="Times New Roman"/>
          <w:i/>
        </w:rPr>
        <w:t xml:space="preserve">r, </w:t>
      </w:r>
      <w:r w:rsidRPr="005932D7">
        <w:rPr>
          <w:rFonts w:eastAsia="Times New Roman"/>
        </w:rPr>
        <w:t xml:space="preserve">while the reciprocal of the extrinsic incubation period for </w:t>
      </w:r>
      <w:r w:rsidRPr="005932D7">
        <w:rPr>
          <w:rFonts w:eastAsia="Times New Roman"/>
          <w:i/>
        </w:rPr>
        <w:t>Plasmodium</w:t>
      </w:r>
      <w:r w:rsidRPr="005932D7">
        <w:rPr>
          <w:rFonts w:eastAsia="Times New Roman"/>
        </w:rPr>
        <w:t xml:space="preserve"> is represented by </w:t>
      </w:r>
      <w:r w:rsidRPr="005932D7">
        <w:rPr>
          <w:rFonts w:eastAsia="Times New Roman"/>
          <w:i/>
        </w:rPr>
        <w:t>v</w:t>
      </w:r>
      <w:r w:rsidRPr="005932D7">
        <w:rPr>
          <w:rFonts w:eastAsia="Times New Roman"/>
          <w:i/>
          <w:vertAlign w:val="subscript"/>
        </w:rPr>
        <w:t>e</w:t>
      </w:r>
      <w:r w:rsidRPr="005932D7">
        <w:rPr>
          <w:rFonts w:eastAsia="Times New Roman"/>
        </w:rPr>
        <w:t xml:space="preserve">. We assume that mosquitoes with developing filarial larvae can return to the susceptible stage due to an immune response with rate </w:t>
      </w:r>
      <w:r w:rsidRPr="005932D7">
        <w:rPr>
          <w:rFonts w:eastAsia="Times New Roman"/>
          <w:i/>
        </w:rPr>
        <w:t>i</w:t>
      </w:r>
      <w:r w:rsidRPr="005932D7">
        <w:rPr>
          <w:rFonts w:eastAsia="Times New Roman"/>
        </w:rPr>
        <w:t>.</w:t>
      </w:r>
    </w:p>
    <w:p w:rsidR="006F2B4E" w:rsidRDefault="006F2B4E" w:rsidP="006F2B4E">
      <w:pPr>
        <w:spacing w:line="240" w:lineRule="auto"/>
        <w:rPr>
          <w:rFonts w:eastAsia="Times New Roman"/>
        </w:rPr>
      </w:pPr>
      <w:r w:rsidRPr="005932D7">
        <w:rPr>
          <w:rFonts w:eastAsia="Times New Roman"/>
        </w:rPr>
        <w:t xml:space="preserve">  </w:t>
      </w: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Default="006F2B4E" w:rsidP="006F2B4E">
      <w:pPr>
        <w:spacing w:line="240" w:lineRule="auto"/>
        <w:rPr>
          <w:rFonts w:eastAsia="Times New Roman"/>
        </w:rPr>
      </w:pPr>
    </w:p>
    <w:p w:rsidR="006F2B4E" w:rsidRPr="001D014C" w:rsidRDefault="006F2B4E" w:rsidP="006F2B4E">
      <w:pPr>
        <w:autoSpaceDE w:val="0"/>
        <w:autoSpaceDN w:val="0"/>
        <w:adjustRightInd w:val="0"/>
        <w:spacing w:after="0" w:line="240" w:lineRule="auto"/>
        <w:rPr>
          <w:rFonts w:eastAsiaTheme="minorEastAsia"/>
          <w:b/>
        </w:rPr>
      </w:pPr>
      <w:r w:rsidRPr="001D014C">
        <w:rPr>
          <w:rFonts w:eastAsiaTheme="minorEastAsia"/>
          <w:b/>
        </w:rPr>
        <w:lastRenderedPageBreak/>
        <w:t>S</w:t>
      </w:r>
      <w:r>
        <w:rPr>
          <w:rFonts w:eastAsiaTheme="minorEastAsia"/>
          <w:b/>
        </w:rPr>
        <w:t>ection II</w:t>
      </w:r>
      <w:r w:rsidRPr="001D014C">
        <w:rPr>
          <w:rFonts w:eastAsiaTheme="minorEastAsia"/>
          <w:b/>
        </w:rPr>
        <w:t>:</w:t>
      </w:r>
      <w:r>
        <w:rPr>
          <w:rFonts w:eastAsiaTheme="minorEastAsia"/>
          <w:b/>
        </w:rPr>
        <w:t xml:space="preserve"> </w:t>
      </w:r>
      <w:r w:rsidRPr="00D60A05">
        <w:rPr>
          <w:rFonts w:eastAsiaTheme="minorEastAsia"/>
          <w:b/>
          <w:i/>
        </w:rPr>
        <w:t>Wuchereria</w:t>
      </w:r>
      <w:r>
        <w:rPr>
          <w:rFonts w:eastAsiaTheme="minorEastAsia"/>
          <w:b/>
        </w:rPr>
        <w:t>-</w:t>
      </w:r>
      <w:r w:rsidRPr="00D60A05">
        <w:rPr>
          <w:rFonts w:eastAsiaTheme="minorEastAsia"/>
          <w:b/>
          <w:i/>
        </w:rPr>
        <w:t>Anopheles</w:t>
      </w:r>
      <w:r>
        <w:rPr>
          <w:rFonts w:eastAsiaTheme="minorEastAsia"/>
          <w:b/>
        </w:rPr>
        <w:t xml:space="preserve"> interactions</w:t>
      </w:r>
    </w:p>
    <w:p w:rsidR="006F2B4E" w:rsidRDefault="006F2B4E" w:rsidP="006F2B4E">
      <w:pPr>
        <w:autoSpaceDE w:val="0"/>
        <w:autoSpaceDN w:val="0"/>
        <w:adjustRightInd w:val="0"/>
        <w:spacing w:after="0" w:line="240" w:lineRule="auto"/>
        <w:rPr>
          <w:rFonts w:eastAsiaTheme="minorEastAsia"/>
        </w:rPr>
      </w:pPr>
    </w:p>
    <w:p w:rsidR="006F2B4E" w:rsidRDefault="006F2B4E" w:rsidP="006F2B4E">
      <w:pPr>
        <w:spacing w:after="0" w:line="240" w:lineRule="auto"/>
      </w:pPr>
      <w:r>
        <w:rPr>
          <w:rFonts w:eastAsiaTheme="minorEastAsia"/>
        </w:rPr>
        <w:t>Mortality due to infection with filariae could, in a prev</w:t>
      </w:r>
      <w:r w:rsidR="003277A0">
        <w:rPr>
          <w:rFonts w:eastAsiaTheme="minorEastAsia"/>
        </w:rPr>
        <w:t>a</w:t>
      </w:r>
      <w:r>
        <w:rPr>
          <w:rFonts w:eastAsiaTheme="minorEastAsia"/>
        </w:rPr>
        <w:t xml:space="preserve">lence-based model, act on the incubating stage, if mortality is mostly associated with passage through the midgut or as a consequence of an immune response (i.e., a trade-off associated with melanization or upregulation of anti-microbial peptides), or during the infective stage if mortality is mostly associated with migration from the flight muscles and </w:t>
      </w:r>
      <w:r w:rsidRPr="001D014C">
        <w:rPr>
          <w:rFonts w:eastAsiaTheme="minorEastAsia"/>
        </w:rPr>
        <w:t xml:space="preserve">the breakage of the labium and exiting of </w:t>
      </w:r>
      <w:r>
        <w:rPr>
          <w:rFonts w:eastAsiaTheme="minorEastAsia"/>
        </w:rPr>
        <w:t xml:space="preserve">third-stage larvae </w:t>
      </w:r>
      <w:r>
        <w:fldChar w:fldCharType="begin"/>
      </w:r>
      <w:r>
        <w:instrText xml:space="preserve"> ADDIN EN.CITE &lt;EndNote&gt;&lt;Cite&gt;&lt;Author&gt;Lindsay&lt;/Author&gt;&lt;Year&gt;1986&lt;/Year&gt;&lt;RecNum&gt;485&lt;/RecNum&gt;&lt;DisplayText&gt;[3]&lt;/DisplayText&gt;&lt;record&gt;&lt;rec-number&gt;485&lt;/rec-number&gt;&lt;foreign-keys&gt;&lt;key app="EN" db-id="9a5dapd0f5r20sedrdopr29szrp2evd2rf9s"&gt;485&lt;/key&gt;&lt;/foreign-keys&gt;&lt;ref-type name="Journal Article"&gt;17&lt;/ref-type&gt;&lt;contributors&gt;&lt;authors&gt;&lt;author&gt;Lindsay, SW&lt;/author&gt;&lt;author&gt;Denham, DA&lt;/author&gt;&lt;/authors&gt;&lt;/contributors&gt;&lt;titles&gt;&lt;title&gt;&lt;style face="normal" font="default" size="100%"&gt;The ability of &lt;/style&gt;&lt;style face="italic" font="default" size="100%"&gt;Aedes aegypti&lt;/style&gt;&lt;style face="normal" font="default" size="100%"&gt; mosquitoes to survive and transmit infective larvae of&lt;/style&gt;&lt;style face="italic" font="default" size="100%"&gt; Brugia pahangi&lt;/style&gt;&lt;style face="normal" font="default" size="100%"&gt; over successive blood meals.&lt;/style&gt;&lt;/title&gt;&lt;secondary-title&gt;Journal of Helminthology&lt;/secondary-title&gt;&lt;/titles&gt;&lt;periodical&gt;&lt;full-title&gt;Journal of Helminthology&lt;/full-title&gt;&lt;/periodical&gt;&lt;pages&gt;159-168&lt;/pages&gt;&lt;volume&gt;60&lt;/volume&gt;&lt;dates&gt;&lt;year&gt;1986&lt;/year&gt;&lt;/dates&gt;&lt;urls&gt;&lt;/urls&gt;&lt;/record&gt;&lt;/Cite&gt;&lt;/EndNote&gt;</w:instrText>
      </w:r>
      <w:r>
        <w:fldChar w:fldCharType="separate"/>
      </w:r>
      <w:r>
        <w:rPr>
          <w:noProof/>
        </w:rPr>
        <w:t>[</w:t>
      </w:r>
      <w:hyperlink w:anchor="_ENREF_3" w:tooltip="Lindsay, 1986 #485" w:history="1">
        <w:r w:rsidR="008F7D66">
          <w:rPr>
            <w:noProof/>
          </w:rPr>
          <w:t>3</w:t>
        </w:r>
      </w:hyperlink>
      <w:r>
        <w:rPr>
          <w:noProof/>
        </w:rPr>
        <w:t>]</w:t>
      </w:r>
      <w:r>
        <w:fldChar w:fldCharType="end"/>
      </w:r>
      <w:r w:rsidRPr="001D014C">
        <w:rPr>
          <w:rFonts w:eastAsiaTheme="minorEastAsia"/>
        </w:rPr>
        <w:t xml:space="preserve">. </w:t>
      </w:r>
      <w:r>
        <w:rPr>
          <w:rFonts w:eastAsiaTheme="minorEastAsia"/>
        </w:rPr>
        <w:t>Other interactions that have to be considered in such a model are that due to the</w:t>
      </w:r>
      <w:r w:rsidRPr="001D014C">
        <w:rPr>
          <w:rFonts w:eastAsiaTheme="minorEastAsia"/>
        </w:rPr>
        <w:t xml:space="preserve"> immune response to infection </w:t>
      </w:r>
      <w:r>
        <w:rPr>
          <w:rFonts w:eastAsiaTheme="minorEastAsia"/>
        </w:rPr>
        <w:t>incubating mosquitoes</w:t>
      </w:r>
      <w:r w:rsidRPr="001D014C">
        <w:rPr>
          <w:rFonts w:eastAsiaTheme="minorEastAsia"/>
        </w:rPr>
        <w:t xml:space="preserve"> could potentially return to the susceptible stage. </w:t>
      </w:r>
      <w:r>
        <w:rPr>
          <w:rFonts w:eastAsiaTheme="minorEastAsia"/>
        </w:rPr>
        <w:t>Because larvae do not replicate within the vector, a proportion of mosquitoes harbo</w:t>
      </w:r>
      <w:r w:rsidR="003277A0">
        <w:rPr>
          <w:rFonts w:eastAsiaTheme="minorEastAsia"/>
        </w:rPr>
        <w:t>u</w:t>
      </w:r>
      <w:r>
        <w:rPr>
          <w:rFonts w:eastAsiaTheme="minorEastAsia"/>
        </w:rPr>
        <w:t xml:space="preserve">ring third-stage larvae could lose all </w:t>
      </w:r>
      <w:r w:rsidR="003277A0">
        <w:rPr>
          <w:rFonts w:eastAsiaTheme="minorEastAsia"/>
        </w:rPr>
        <w:t>larvae</w:t>
      </w:r>
      <w:r>
        <w:rPr>
          <w:rFonts w:eastAsiaTheme="minorEastAsia"/>
        </w:rPr>
        <w:t xml:space="preserve"> </w:t>
      </w:r>
      <w:r w:rsidRPr="001D014C">
        <w:rPr>
          <w:rFonts w:eastAsiaTheme="minorEastAsia"/>
        </w:rPr>
        <w:t>and return to the susceptible class</w:t>
      </w:r>
      <w:r>
        <w:rPr>
          <w:rFonts w:eastAsiaTheme="minorEastAsia"/>
        </w:rPr>
        <w:t xml:space="preserve"> </w:t>
      </w:r>
      <w:r>
        <w:t xml:space="preserve">(in an experimental system of </w:t>
      </w:r>
      <w:r w:rsidRPr="00BC248A">
        <w:rPr>
          <w:i/>
        </w:rPr>
        <w:t>Ae</w:t>
      </w:r>
      <w:r w:rsidR="003277A0">
        <w:rPr>
          <w:i/>
        </w:rPr>
        <w:t xml:space="preserve">des </w:t>
      </w:r>
      <w:r w:rsidRPr="00BC248A">
        <w:rPr>
          <w:i/>
        </w:rPr>
        <w:t>aegypti</w:t>
      </w:r>
      <w:r>
        <w:t xml:space="preserve"> and </w:t>
      </w:r>
      <w:r w:rsidRPr="00BC248A">
        <w:rPr>
          <w:i/>
        </w:rPr>
        <w:t>Brugia pahangi</w:t>
      </w:r>
      <w:r>
        <w:t xml:space="preserve"> 86.2% of third-stage larvae escaped bodies of mosquitoes taking a subsequent blood meal  </w:t>
      </w:r>
      <w:r>
        <w:fldChar w:fldCharType="begin"/>
      </w:r>
      <w:r>
        <w:instrText xml:space="preserve"> ADDIN EN.CITE &lt;EndNote&gt;&lt;Cite&gt;&lt;Author&gt;Lindsay&lt;/Author&gt;&lt;Year&gt;1986&lt;/Year&gt;&lt;RecNum&gt;485&lt;/RecNum&gt;&lt;DisplayText&gt;[3]&lt;/DisplayText&gt;&lt;record&gt;&lt;rec-number&gt;485&lt;/rec-number&gt;&lt;foreign-keys&gt;&lt;key app="EN" db-id="9a5dapd0f5r20sedrdopr29szrp2evd2rf9s"&gt;485&lt;/key&gt;&lt;/foreign-keys&gt;&lt;ref-type name="Journal Article"&gt;17&lt;/ref-type&gt;&lt;contributors&gt;&lt;authors&gt;&lt;author&gt;Lindsay, SW&lt;/author&gt;&lt;author&gt;Denham, DA&lt;/author&gt;&lt;/authors&gt;&lt;/contributors&gt;&lt;titles&gt;&lt;title&gt;&lt;style face="normal" font="default" size="100%"&gt;The ability of &lt;/style&gt;&lt;style face="italic" font="default" size="100%"&gt;Aedes aegypti&lt;/style&gt;&lt;style face="normal" font="default" size="100%"&gt; mosquitoes to survive and transmit infective larvae of&lt;/style&gt;&lt;style face="italic" font="default" size="100%"&gt; Brugia pahangi&lt;/style&gt;&lt;style face="normal" font="default" size="100%"&gt; over successive blood meals.&lt;/style&gt;&lt;/title&gt;&lt;secondary-title&gt;Journal of Helminthology&lt;/secondary-title&gt;&lt;/titles&gt;&lt;periodical&gt;&lt;full-title&gt;Journal of Helminthology&lt;/full-title&gt;&lt;/periodical&gt;&lt;pages&gt;159-168&lt;/pages&gt;&lt;volume&gt;60&lt;/volume&gt;&lt;dates&gt;&lt;year&gt;1986&lt;/year&gt;&lt;/dates&gt;&lt;urls&gt;&lt;/urls&gt;&lt;/record&gt;&lt;/Cite&gt;&lt;/EndNote&gt;</w:instrText>
      </w:r>
      <w:r>
        <w:fldChar w:fldCharType="separate"/>
      </w:r>
      <w:r>
        <w:rPr>
          <w:noProof/>
        </w:rPr>
        <w:t>[</w:t>
      </w:r>
      <w:hyperlink w:anchor="_ENREF_3" w:tooltip="Lindsay, 1986 #485" w:history="1">
        <w:r w:rsidR="008F7D66">
          <w:rPr>
            <w:noProof/>
          </w:rPr>
          <w:t>3</w:t>
        </w:r>
      </w:hyperlink>
      <w:r>
        <w:rPr>
          <w:noProof/>
        </w:rPr>
        <w:t>]</w:t>
      </w:r>
      <w:r>
        <w:fldChar w:fldCharType="end"/>
      </w:r>
      <w:r>
        <w:t xml:space="preserve">). </w:t>
      </w:r>
      <w:r>
        <w:rPr>
          <w:rFonts w:eastAsiaTheme="minorEastAsia"/>
        </w:rPr>
        <w:t>To the extent possible, the model should also consider mosquito defen</w:t>
      </w:r>
      <w:r w:rsidR="003277A0">
        <w:rPr>
          <w:rFonts w:eastAsiaTheme="minorEastAsia"/>
        </w:rPr>
        <w:t>c</w:t>
      </w:r>
      <w:r>
        <w:rPr>
          <w:rFonts w:eastAsiaTheme="minorEastAsia"/>
        </w:rPr>
        <w:t xml:space="preserve">es. For instance, a </w:t>
      </w:r>
      <w:r>
        <w:t xml:space="preserve">proportion of ingested microfilaria may be shredded by the cibarial or pharyngeal armature. One study found an average of 50.67% of ingested microfilariae to be damaged for </w:t>
      </w:r>
      <w:r w:rsidRPr="00A7213C">
        <w:rPr>
          <w:i/>
        </w:rPr>
        <w:t>An</w:t>
      </w:r>
      <w:r w:rsidR="003277A0">
        <w:rPr>
          <w:i/>
        </w:rPr>
        <w:t xml:space="preserve">opheles </w:t>
      </w:r>
      <w:r w:rsidRPr="00A7213C">
        <w:rPr>
          <w:i/>
        </w:rPr>
        <w:t xml:space="preserve"> gambiae</w:t>
      </w:r>
      <w:r>
        <w:t xml:space="preserve">, </w:t>
      </w:r>
      <w:r w:rsidRPr="00A7213C">
        <w:rPr>
          <w:i/>
        </w:rPr>
        <w:t>An. arabiensis</w:t>
      </w:r>
      <w:r>
        <w:t xml:space="preserve"> and </w:t>
      </w:r>
      <w:r w:rsidRPr="00A7213C">
        <w:rPr>
          <w:i/>
        </w:rPr>
        <w:t>An. melas</w:t>
      </w:r>
      <w:r>
        <w:t xml:space="preserve"> and suggested this effect was density independent </w:t>
      </w:r>
      <w:r>
        <w:fldChar w:fldCharType="begin"/>
      </w:r>
      <w:r>
        <w:instrText xml:space="preserve"> ADDIN EN.CITE &lt;EndNote&gt;&lt;Cite&gt;&lt;Author&gt;Bryan&lt;/Author&gt;&lt;Year&gt;1988&lt;/Year&gt;&lt;RecNum&gt;482&lt;/RecNum&gt;&lt;DisplayText&gt;[4]&lt;/DisplayText&gt;&lt;record&gt;&lt;rec-number&gt;482&lt;/rec-number&gt;&lt;foreign-keys&gt;&lt;key app="EN" db-id="9a5dapd0f5r20sedrdopr29szrp2evd2rf9s"&gt;482&lt;/key&gt;&lt;/foreign-keys&gt;&lt;ref-type name="Journal Article"&gt;17&lt;/ref-type&gt;&lt;contributors&gt;&lt;authors&gt;&lt;author&gt;Bryan, JH&lt;/author&gt;&lt;author&gt;Southgate, BA&lt;/author&gt;&lt;/authors&gt;&lt;/contributors&gt;&lt;titles&gt;&lt;title&gt;Factors affecting transmission of Wuchereria bancrofti by anopheline mosquitoes. 2. Damage to ingested microfilariae by mosquito foregut armatures and development of filarial larvae in mosquitoes.&lt;/title&gt;&lt;secondary-title&gt;Transactions of the Royal Society of Tropical Medicine and Hygiene&lt;/secondary-title&gt;&lt;/titles&gt;&lt;periodical&gt;&lt;full-title&gt;Transactions of the Royal Society of Tropical Medicine and Hygiene&lt;/full-title&gt;&lt;/periodical&gt;&lt;pages&gt;138-145&lt;/pages&gt;&lt;volume&gt;82&lt;/volume&gt;&lt;dates&gt;&lt;year&gt;1988&lt;/year&gt;&lt;/dates&gt;&lt;urls&gt;&lt;/urls&gt;&lt;/record&gt;&lt;/Cite&gt;&lt;/EndNote&gt;</w:instrText>
      </w:r>
      <w:r>
        <w:fldChar w:fldCharType="separate"/>
      </w:r>
      <w:r>
        <w:rPr>
          <w:noProof/>
        </w:rPr>
        <w:t>[</w:t>
      </w:r>
      <w:hyperlink w:anchor="_ENREF_4" w:tooltip="Bryan, 1988 #482" w:history="1">
        <w:r w:rsidR="008F7D66">
          <w:rPr>
            <w:noProof/>
          </w:rPr>
          <w:t>4</w:t>
        </w:r>
      </w:hyperlink>
      <w:r>
        <w:rPr>
          <w:noProof/>
        </w:rPr>
        <w:t>]</w:t>
      </w:r>
      <w:r>
        <w:fldChar w:fldCharType="end"/>
      </w:r>
      <w:r>
        <w:t>. An outline of a compartmental mosquito model incorporating</w:t>
      </w:r>
      <w:r w:rsidR="00B203D6">
        <w:t xml:space="preserve"> all</w:t>
      </w:r>
      <w:r>
        <w:t xml:space="preserve"> these parameters is given in Fig. S1.</w:t>
      </w:r>
    </w:p>
    <w:p w:rsidR="006F2B4E" w:rsidRPr="0090525B" w:rsidRDefault="006F2B4E" w:rsidP="006F2B4E">
      <w:pPr>
        <w:autoSpaceDE w:val="0"/>
        <w:autoSpaceDN w:val="0"/>
        <w:adjustRightInd w:val="0"/>
        <w:spacing w:after="0" w:line="240" w:lineRule="auto"/>
        <w:rPr>
          <w:color w:val="FF0000"/>
        </w:rPr>
      </w:pPr>
    </w:p>
    <w:p w:rsidR="006F2B4E" w:rsidRPr="00FA5CEE" w:rsidRDefault="006F2B4E" w:rsidP="006F2B4E">
      <w:pPr>
        <w:autoSpaceDE w:val="0"/>
        <w:autoSpaceDN w:val="0"/>
        <w:adjustRightInd w:val="0"/>
        <w:spacing w:after="0" w:line="240" w:lineRule="auto"/>
      </w:pPr>
      <w:r>
        <w:t xml:space="preserve">While the greatest insight into density-dependent infection of mosquitoes with filarial parasites and their subsequent development has come from laboratory cohort studies, it is not clear that the infection-related costs incurred under laboratory conditions are representative of those under natural circumstances. Field studies where measures of filarial infection in humans as well as the ratio of infected vs. infective mosquitoes are provided could potentially serve to parameterize these models. If the proportion of ingested microfilariae that develops to the infective stage increases with microfilarial densities, as is suggested for anophelines, it stands to reason that this would be reflected in the proportion of dissected mosquitoes found to be infected or infective. A number of studies have provided both entomological data that distinguishes between infected and infective anophelines, as well as a level of prevalence of infection in humans (though, to our knowledge, not the prevalence and distribution of microfilaraemia intensity among infected humans and detailed entomological data. We thus assume that the relation between mean microfilariae burden in humans and prevalence </w:t>
      </w:r>
      <w:r w:rsidR="003370BC">
        <w:t xml:space="preserve">(equation </w:t>
      </w:r>
      <w:r w:rsidR="00A40627">
        <w:t>(</w:t>
      </w:r>
      <w:r w:rsidR="003370BC">
        <w:t>3</w:t>
      </w:r>
      <w:r w:rsidR="00A40627">
        <w:t>)</w:t>
      </w:r>
      <w:r w:rsidR="003370BC">
        <w:t xml:space="preserve">) </w:t>
      </w:r>
      <w:r>
        <w:t xml:space="preserve">holds across these studies, which will introduce some error into these estimations, and are displayed in Fig. S2. This pattern appears to support the notion of facilitation, although we cannot rule out that the pattern is due to other factors such as seasonality or differences in the age-composition of the vector population. </w:t>
      </w:r>
    </w:p>
    <w:p w:rsidR="006F2B4E" w:rsidRDefault="006F2B4E" w:rsidP="006F2B4E">
      <w:pPr>
        <w:autoSpaceDE w:val="0"/>
        <w:autoSpaceDN w:val="0"/>
        <w:adjustRightInd w:val="0"/>
        <w:spacing w:after="0" w:line="240" w:lineRule="auto"/>
      </w:pPr>
    </w:p>
    <w:p w:rsidR="006F2B4E" w:rsidRDefault="006F2B4E" w:rsidP="006F2B4E">
      <w:pPr>
        <w:spacing w:line="240" w:lineRule="auto"/>
      </w:pPr>
      <w:r>
        <w:t xml:space="preserve">Based on these levels of microfilariae intensity, we estimate the values for the parameters depicted in Fig. S1 using a static model (i.e., assuming a constant microfilariae burden in humans) to minimize the difference between predicted and observed proportions of susceptible, exposed and infective mosquitoes using a non-linear programming tool (Fmincon) in Matlab. The estimated values are shown in Fig. S3. Although some of these parameter estimates are suggestive of density-dependence, at this stage we merely use them to globally inform a simplified model of parasite-vector interactions based on mean values, on which the results are based. Further, we make the simplification that loss of </w:t>
      </w:r>
      <w:r w:rsidR="003277A0">
        <w:t>third-stage larvae</w:t>
      </w:r>
      <w:r>
        <w:t xml:space="preserve"> can be ignored due to the low value estimate and similar function to mosquito mortality and that the induced mortality during the infective stage is negligible compared to that during the incubating stage.</w:t>
      </w:r>
    </w:p>
    <w:p w:rsidR="006F2B4E" w:rsidRDefault="006F2B4E" w:rsidP="006F2B4E">
      <w:pPr>
        <w:spacing w:line="240" w:lineRule="auto"/>
      </w:pPr>
    </w:p>
    <w:p w:rsidR="006F2B4E" w:rsidRDefault="006F2B4E" w:rsidP="006F2B4E">
      <w:pPr>
        <w:spacing w:line="240" w:lineRule="auto"/>
      </w:pPr>
    </w:p>
    <w:p w:rsidR="006F2B4E" w:rsidRDefault="006F2B4E" w:rsidP="006F2B4E">
      <w:pPr>
        <w:spacing w:line="240" w:lineRule="auto"/>
      </w:pPr>
    </w:p>
    <w:p w:rsidR="006F2B4E" w:rsidRDefault="006F2B4E" w:rsidP="006F2B4E">
      <w:pPr>
        <w:spacing w:line="240" w:lineRule="auto"/>
      </w:pPr>
    </w:p>
    <w:p w:rsidR="006F2B4E" w:rsidRPr="00856E6B" w:rsidRDefault="006F2B4E" w:rsidP="006F2B4E">
      <w:pPr>
        <w:autoSpaceDE w:val="0"/>
        <w:autoSpaceDN w:val="0"/>
        <w:adjustRightInd w:val="0"/>
        <w:spacing w:after="0" w:line="480" w:lineRule="auto"/>
        <w:jc w:val="center"/>
        <w:rPr>
          <w:b/>
        </w:rPr>
      </w:pPr>
      <w:r w:rsidRPr="00856E6B">
        <w:rPr>
          <w:b/>
        </w:rPr>
        <w:lastRenderedPageBreak/>
        <w:t>Figure</w:t>
      </w:r>
      <w:r>
        <w:rPr>
          <w:b/>
        </w:rPr>
        <w:t xml:space="preserve"> S1</w:t>
      </w: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r>
        <w:rPr>
          <w:b/>
          <w:noProof/>
          <w:lang w:eastAsia="en-GB"/>
        </w:rPr>
        <w:drawing>
          <wp:inline distT="0" distB="0" distL="0" distR="0" wp14:anchorId="2AFC7F84" wp14:editId="33B4ABB1">
            <wp:extent cx="2838450"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tif"/>
                    <pic:cNvPicPr/>
                  </pic:nvPicPr>
                  <pic:blipFill rotWithShape="1">
                    <a:blip r:embed="rId18">
                      <a:extLst>
                        <a:ext uri="{28A0092B-C50C-407E-A947-70E740481C1C}">
                          <a14:useLocalDpi xmlns:a14="http://schemas.microsoft.com/office/drawing/2010/main" val="0"/>
                        </a:ext>
                      </a:extLst>
                    </a:blip>
                    <a:srcRect l="38348" t="19099" r="12395" b="14294"/>
                    <a:stretch/>
                  </pic:blipFill>
                  <pic:spPr bwMode="auto">
                    <a:xfrm>
                      <a:off x="0" y="0"/>
                      <a:ext cx="2837512" cy="2656596"/>
                    </a:xfrm>
                    <a:prstGeom prst="rect">
                      <a:avLst/>
                    </a:prstGeom>
                    <a:ln>
                      <a:noFill/>
                    </a:ln>
                    <a:extLst>
                      <a:ext uri="{53640926-AAD7-44D8-BBD7-CCE9431645EC}">
                        <a14:shadowObscured xmlns:a14="http://schemas.microsoft.com/office/drawing/2010/main"/>
                      </a:ext>
                    </a:extLst>
                  </pic:spPr>
                </pic:pic>
              </a:graphicData>
            </a:graphic>
          </wp:inline>
        </w:drawing>
      </w:r>
    </w:p>
    <w:p w:rsidR="006F2B4E" w:rsidRDefault="006F2B4E" w:rsidP="006F2B4E">
      <w:pPr>
        <w:autoSpaceDE w:val="0"/>
        <w:autoSpaceDN w:val="0"/>
        <w:adjustRightInd w:val="0"/>
        <w:spacing w:after="0" w:line="480" w:lineRule="auto"/>
        <w:jc w:val="center"/>
        <w:rPr>
          <w:b/>
        </w:rPr>
      </w:pPr>
    </w:p>
    <w:p w:rsidR="006F2B4E" w:rsidRPr="0021468B" w:rsidRDefault="006F2B4E" w:rsidP="006F2B4E">
      <w:pPr>
        <w:autoSpaceDE w:val="0"/>
        <w:autoSpaceDN w:val="0"/>
        <w:adjustRightInd w:val="0"/>
        <w:spacing w:after="0" w:line="240" w:lineRule="auto"/>
        <w:rPr>
          <w:b/>
        </w:rPr>
      </w:pPr>
      <w:r w:rsidRPr="004D0207">
        <w:rPr>
          <w:b/>
        </w:rPr>
        <w:t xml:space="preserve">Fig. </w:t>
      </w:r>
      <w:r>
        <w:rPr>
          <w:b/>
        </w:rPr>
        <w:t>S1</w:t>
      </w:r>
      <w:r w:rsidRPr="004D0207">
        <w:t xml:space="preserve">: </w:t>
      </w:r>
      <w:r>
        <w:t xml:space="preserve">Diagram depicting compartments of mosquitoes related to </w:t>
      </w:r>
      <w:r w:rsidRPr="003A762F">
        <w:rPr>
          <w:i/>
        </w:rPr>
        <w:t>W. bancrofti</w:t>
      </w:r>
      <w:r>
        <w:t xml:space="preserve"> infection status and the plausible transitions between them. Uninfected mosquitoes die at a rate μ</w:t>
      </w:r>
      <w:r>
        <w:rPr>
          <w:vertAlign w:val="subscript"/>
        </w:rPr>
        <w:t>m</w:t>
      </w:r>
      <w:r>
        <w:t xml:space="preserve"> and become infected at a rate depending on the prevalence of infection in humans, the probability of ingesting microfilariae, the biting rate and putatively a midgut barrier, mgb (in the main model, m = 1 - mgb). Exposed mosquitoes may suffer an additional mortality, μ</w:t>
      </w:r>
      <w:r>
        <w:rPr>
          <w:vertAlign w:val="subscript"/>
        </w:rPr>
        <w:t>e</w:t>
      </w:r>
      <w:r>
        <w:t>, and could clear infection due to an immune response (i); otherwise ingested microfilariae develop into third stage larvae at rate r. Additional interactions, that are not included in the main model, are that infective mosquitoes may suffer an additional mortality, μ</w:t>
      </w:r>
      <w:r>
        <w:rPr>
          <w:vertAlign w:val="subscript"/>
        </w:rPr>
        <w:t>i</w:t>
      </w:r>
      <w:r>
        <w:t>, and could clear infection by loss of L</w:t>
      </w:r>
      <w:r w:rsidRPr="0054053D">
        <w:rPr>
          <w:vertAlign w:val="subscript"/>
        </w:rPr>
        <w:t>3</w:t>
      </w:r>
      <w:r>
        <w:t>’s during feeding at rate l.</w:t>
      </w: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6F2B4E" w:rsidRDefault="006F2B4E" w:rsidP="006F2B4E">
      <w:pPr>
        <w:autoSpaceDE w:val="0"/>
        <w:autoSpaceDN w:val="0"/>
        <w:adjustRightInd w:val="0"/>
        <w:spacing w:after="0" w:line="480" w:lineRule="auto"/>
        <w:jc w:val="center"/>
        <w:rPr>
          <w:b/>
        </w:rPr>
      </w:pPr>
    </w:p>
    <w:p w:rsidR="00937B7F" w:rsidRDefault="00937B7F" w:rsidP="006F2B4E">
      <w:pPr>
        <w:autoSpaceDE w:val="0"/>
        <w:autoSpaceDN w:val="0"/>
        <w:adjustRightInd w:val="0"/>
        <w:spacing w:after="0" w:line="480" w:lineRule="auto"/>
        <w:jc w:val="center"/>
        <w:rPr>
          <w:b/>
        </w:rPr>
      </w:pPr>
    </w:p>
    <w:p w:rsidR="00937B7F" w:rsidRDefault="00937B7F" w:rsidP="006F2B4E">
      <w:pPr>
        <w:autoSpaceDE w:val="0"/>
        <w:autoSpaceDN w:val="0"/>
        <w:adjustRightInd w:val="0"/>
        <w:spacing w:after="0" w:line="480" w:lineRule="auto"/>
        <w:jc w:val="center"/>
        <w:rPr>
          <w:b/>
        </w:rPr>
      </w:pPr>
    </w:p>
    <w:p w:rsidR="006F2B4E" w:rsidRPr="00856E6B" w:rsidRDefault="006F2B4E" w:rsidP="006F2B4E">
      <w:pPr>
        <w:autoSpaceDE w:val="0"/>
        <w:autoSpaceDN w:val="0"/>
        <w:adjustRightInd w:val="0"/>
        <w:spacing w:after="0" w:line="480" w:lineRule="auto"/>
        <w:jc w:val="center"/>
        <w:rPr>
          <w:b/>
        </w:rPr>
      </w:pPr>
      <w:r w:rsidRPr="00856E6B">
        <w:rPr>
          <w:b/>
        </w:rPr>
        <w:lastRenderedPageBreak/>
        <w:t>Figure</w:t>
      </w:r>
      <w:r>
        <w:rPr>
          <w:b/>
        </w:rPr>
        <w:t xml:space="preserve"> S2</w:t>
      </w:r>
    </w:p>
    <w:p w:rsidR="006F2B4E" w:rsidRDefault="006F2B4E" w:rsidP="006F2B4E">
      <w:pPr>
        <w:autoSpaceDE w:val="0"/>
        <w:autoSpaceDN w:val="0"/>
        <w:adjustRightInd w:val="0"/>
        <w:spacing w:after="0" w:line="480" w:lineRule="auto"/>
        <w:jc w:val="center"/>
      </w:pPr>
      <w:r>
        <w:rPr>
          <w:noProof/>
          <w:lang w:eastAsia="en-GB"/>
        </w:rPr>
        <w:drawing>
          <wp:inline distT="0" distB="0" distL="0" distR="0" wp14:anchorId="21BC20E6" wp14:editId="4946DBAA">
            <wp:extent cx="50673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2.tiff"/>
                    <pic:cNvPicPr/>
                  </pic:nvPicPr>
                  <pic:blipFill>
                    <a:blip r:embed="rId19">
                      <a:extLst>
                        <a:ext uri="{28A0092B-C50C-407E-A947-70E740481C1C}">
                          <a14:useLocalDpi xmlns:a14="http://schemas.microsoft.com/office/drawing/2010/main" val="0"/>
                        </a:ext>
                      </a:extLst>
                    </a:blip>
                    <a:stretch>
                      <a:fillRect/>
                    </a:stretch>
                  </pic:blipFill>
                  <pic:spPr>
                    <a:xfrm>
                      <a:off x="0" y="0"/>
                      <a:ext cx="5067300" cy="3371850"/>
                    </a:xfrm>
                    <a:prstGeom prst="rect">
                      <a:avLst/>
                    </a:prstGeom>
                  </pic:spPr>
                </pic:pic>
              </a:graphicData>
            </a:graphic>
          </wp:inline>
        </w:drawing>
      </w:r>
    </w:p>
    <w:p w:rsidR="006F2B4E" w:rsidRDefault="006F2B4E" w:rsidP="006F2B4E">
      <w:pPr>
        <w:autoSpaceDE w:val="0"/>
        <w:autoSpaceDN w:val="0"/>
        <w:adjustRightInd w:val="0"/>
        <w:spacing w:after="0" w:line="240" w:lineRule="auto"/>
        <w:rPr>
          <w:b/>
        </w:rPr>
      </w:pPr>
    </w:p>
    <w:p w:rsidR="006F2B4E" w:rsidRPr="004D0207" w:rsidRDefault="006F2B4E" w:rsidP="006F2B4E">
      <w:pPr>
        <w:autoSpaceDE w:val="0"/>
        <w:autoSpaceDN w:val="0"/>
        <w:adjustRightInd w:val="0"/>
        <w:spacing w:after="0" w:line="240" w:lineRule="auto"/>
      </w:pPr>
      <w:r w:rsidRPr="004D0207">
        <w:rPr>
          <w:b/>
        </w:rPr>
        <w:t xml:space="preserve">Fig. </w:t>
      </w:r>
      <w:r>
        <w:rPr>
          <w:b/>
        </w:rPr>
        <w:t>S2</w:t>
      </w:r>
      <w:r w:rsidRPr="004D0207">
        <w:t xml:space="preserve">: </w:t>
      </w:r>
      <w:r>
        <w:t>The ratio of field-collected mosquitoes harboring infective (L3) stage larvae to mosquitoes infected but not yet infective (carrying 1</w:t>
      </w:r>
      <w:r w:rsidRPr="00F53A91">
        <w:rPr>
          <w:vertAlign w:val="superscript"/>
        </w:rPr>
        <w:t>st</w:t>
      </w:r>
      <w:r>
        <w:t xml:space="preserve"> and 2</w:t>
      </w:r>
      <w:r w:rsidRPr="00F53A91">
        <w:rPr>
          <w:vertAlign w:val="superscript"/>
        </w:rPr>
        <w:t>nd</w:t>
      </w:r>
      <w:r>
        <w:t xml:space="preserve"> stage larvae) against mean microfilariae counts in 20 μl of blood derived from prevalence data </w:t>
      </w:r>
      <w:r>
        <w:fldChar w:fldCharType="begin">
          <w:fldData xml:space="preserve">PEVuZE5vdGU+PENpdGU+PEF1dGhvcj5TaW1vbnNlbjwvQXV0aG9yPjxZZWFyPjIwMTA8L1llYXI+
PFJlY051bT41MDY8L1JlY051bT48RGlzcGxheVRleHQ+WzUsNiw3LDhdPC9EaXNwbGF5VGV4dD48
cmVjb3JkPjxyZWMtbnVtYmVyPjUwNjwvcmVjLW51bWJlcj48Zm9yZWlnbi1rZXlzPjxrZXkgYXBw
PSJFTiIgZGItaWQ9IjlhNWRhcGQwZjVyMjBzZWRyZG9wcjI5c3pycDJldmQycmY5cyI+NTA2PC9r
ZXk+PC9mb3JlaWduLWtleXM+PHJlZi10eXBlIG5hbWU9IkpvdXJuYWwgQXJ0aWNsZSI+MTc8L3Jl
Zi10eXBlPjxjb250cmlidXRvcnM+PGF1dGhvcnM+PGF1dGhvcj5TaW1vbnNlbiwgUEU8L2F1dGhv
cj48YXV0aG9yPlBlZGVyc2VuLCBFTTwvYXV0aG9yPjxhdXRob3I+UndlZ29zaG9yYSwgUlQ8L2F1
dGhvcj48YXV0aG9yPk1hbGVjZWxhLCBNPC9hdXRob3I+PGF1dGhvcj5EZXJ1YSwgWTwvYXV0aG9y
PjxhdXRob3I+TWFnZXNhLCBTPC9hdXRob3I+PC9hdXRob3JzPjwvY29udHJpYnV0b3JzPjx0aXRs
ZXM+PHRpdGxlPkx5bXBoYXRpYyBmaWxhcmlhc2lzIGNvbnRyb2wgaW4gVGFuemFuaWE6IGVmZmVj
dCBvZiByZXBlYXRlZCBtYXNzIGRydWcgYWRtaW5pc3RyYXRpb24gd2l0aCBpdmVybWVjdGluIGFu
ZCBhbGJlbmRhem9sZSBvbiBpbmZlY3Rpb24gYW5kIHRyYW5zbWlzc2lvbi48L3RpdGxlPjxzZWNv
bmRhcnktdGl0bGU+UGxvUyBOZWdsZWN0ZWQgVHJvcGljYWwgRGlzZWFzZXM8L3NlY29uZGFyeS10
aXRsZT48L3RpdGxlcz48cGVyaW9kaWNhbD48ZnVsbC10aXRsZT5QbG9TIE5lZ2xlY3RlZCBUcm9w
aWNhbCBEaXNlYXNlczwvZnVsbC10aXRsZT48L3BlcmlvZGljYWw+PHBhZ2VzPmU2OTY8L3BhZ2Vz
Pjx2b2x1bWU+NDwvdm9sdW1lPjxkYXRlcz48eWVhcj4yMDEwPC95ZWFyPjwvZGF0ZXM+PHVybHM+
PC91cmxzPjwvcmVjb3JkPjwvQ2l0ZT48Q2l0ZT48QXV0aG9yPkJ1cmtvdDwvQXV0aG9yPjxZZWFy
PjE5OTA8L1llYXI+PFJlY051bT40OTE8L1JlY051bT48cmVjb3JkPjxyZWMtbnVtYmVyPjQ5MTwv
cmVjLW51bWJlcj48Zm9yZWlnbi1rZXlzPjxrZXkgYXBwPSJFTiIgZGItaWQ9IjlhNWRhcGQwZjVy
MjBzZWRyZG9wcjI5c3pycDJldmQycmY5cyI+NDkxPC9rZXk+PC9mb3JlaWduLWtleXM+PHJlZi10
eXBlIG5hbWU9IkpvdXJuYWwgQXJ0aWNsZSI+MTc8L3JlZi10eXBlPjxjb250cmlidXRvcnM+PGF1
dGhvcnM+PGF1dGhvcj5CdXJrb3QsIFQ8L2F1dGhvcj48YXV0aG9yPk1vbGluZWF1eCwgTDwvYXV0
aG9yPjxhdXRob3I+R3JhdmVzLCBQPC9hdXRob3I+PGF1dGhvcj5QYXJ1LCBSPC9hdXRob3I+PGF1
dGhvcj5CYXR0aXN0dXR0YSwgRDwvYXV0aG9yPjxhdXRob3I+RGFnb3JvLCBIPC9hdXRob3I+PGF1
dGhvcj5CYXJuZXMsIEE8L2F1dGhvcj48YXV0aG9yPldpcnR6LCBSPC9hdXRob3I+PGF1dGhvcj5H
YXJuZXIsIFA8L2F1dGhvcj48L2F1dGhvcnM+PC9jb250cmlidXRvcnM+PHRpdGxlcz48dGl0bGU+
PHN0eWxlIGZhY2U9Im5vcm1hbCIgZm9udD0iZGVmYXVsdCIgc2l6ZT0iMTAwJSI+VGhlIHByZXZh
bGVuY2Ugb2YgbmF0dXJhbGx5IGFjcXVpcmVkIG11bHRpcGxlIGluZmVjdGlvbnMgb2YgPC9zdHls
ZT48c3R5bGUgZmFjZT0iaXRhbGljIiBmb250PSJkZWZhdWx0IiBzaXplPSIxMDAlIj5XdWNoZXJl
cmlhIGJhbmNyb2Z0aTwvc3R5bGU+PHN0eWxlIGZhY2U9Im5vcm1hbCIgZm9udD0iZGVmYXVsdCIg
c2l6ZT0iMTAwJSI+IGFuZCBodW1hbiBtYWxhcmlhcyBpbiBhbm9waGVsaW5lcy48L3N0eWxlPjwv
dGl0bGU+PHNlY29uZGFyeS10aXRsZT5QYXJhc2l0b2xvZ3k8L3NlY29uZGFyeS10aXRsZT48L3Rp
dGxlcz48cGVyaW9kaWNhbD48ZnVsbC10aXRsZT5QYXJhc2l0b2xvZ3k8L2Z1bGwtdGl0bGU+PC9w
ZXJpb2RpY2FsPjxwYWdlcz4zNjktMzc1PC9wYWdlcz48dm9sdW1lPjEwMDwvdm9sdW1lPjxkYXRl
cz48eWVhcj4xOTkwPC95ZWFyPjwvZGF0ZXM+PHVybHM+PC91cmxzPjwvcmVjb3JkPjwvQ2l0ZT48
Q2l0ZT48QXV0aG9yPk9uYXBhPC9BdXRob3I+PFllYXI+MjAwMTwvWWVhcj48UmVjTnVtPjUwNzwv
UmVjTnVtPjxyZWNvcmQ+PHJlYy1udW1iZXI+NTA3PC9yZWMtbnVtYmVyPjxmb3JlaWduLWtleXM+
PGtleSBhcHA9IkVOIiBkYi1pZD0iOWE1ZGFwZDBmNXIyMHNlZHJkb3ByMjlzenJwMmV2ZDJyZjlz
Ij41MDc8L2tleT48L2ZvcmVpZ24ta2V5cz48cmVmLXR5cGUgbmFtZT0iSm91cm5hbCBBcnRpY2xl
Ij4xNzwvcmVmLXR5cGU+PGNvbnRyaWJ1dG9ycz48YXV0aG9ycz48YXV0aG9yPk9uYXBhLCBBVzwv
YXV0aG9yPjxhdXRob3I+U2ltb25zZW4sIFBFPC9hdXRob3I+PGF1dGhvcj5QZWRlcnNlbiwgRU08
L2F1dGhvcj48YXV0aG9yPk9rZWxsbywgRDwvYXV0aG9yPjwvYXV0aG9ycz48L2NvbnRyaWJ1dG9y
cz48dGl0bGVzPjx0aXRsZT5MeW1waGF0aWMgZmlsYXJpYXNpcyBpbiBVZ2FuZGE6IGJhc2VsaW5l
IGludmVzdGlnYXRpb25zIGluIExpcmEsIFNvcm90aSBhbmQgS2F0YWt3aSBkaXN0cmljdHMuPC90
aXRsZT48c2Vjb25kYXJ5LXRpdGxlPlRyYW5zYWN0aW9ucyBvZiB0aGUgUm95YWwgU29jaWV0eSBv
ZiBUcm9waWNhbCBNZWRpY2luZSBhbmQgSHlnaWVuZTwvc2Vjb25kYXJ5LXRpdGxlPjwvdGl0bGVz
PjxwZXJpb2RpY2FsPjxmdWxsLXRpdGxlPlRyYW5zYWN0aW9ucyBvZiB0aGUgUm95YWwgU29jaWV0
eSBvZiBUcm9waWNhbCBNZWRpY2luZSBhbmQgSHlnaWVuZTwvZnVsbC10aXRsZT48L3BlcmlvZGlj
YWw+PHBhZ2VzPjE2MS0xNjc8L3BhZ2VzPjx2b2x1bWU+OTU8L3ZvbHVtZT48ZGF0ZXM+PHllYXI+
MjAwMTwveWVhcj48L2RhdGVzPjx1cmxzPjwvdXJscz48L3JlY29yZD48L0NpdGU+PENpdGU+PEF1
dGhvcj5NdXR1cmk8L0F1dGhvcj48WWVhcj4yMDA2PC9ZZWFyPjxSZWNOdW0+NDkyPC9SZWNOdW0+
PHJlY29yZD48cmVjLW51bWJlcj40OTI8L3JlYy1udW1iZXI+PGZvcmVpZ24ta2V5cz48a2V5IGFw
cD0iRU4iIGRiLWlkPSI5YTVkYXBkMGY1cjIwc2VkcmRvcHIyOXN6cnAyZXZkMnJmOXMiPjQ5Mjwv
a2V5PjwvZm9yZWlnbi1rZXlzPjxyZWYtdHlwZSBuYW1lPSJKb3VybmFsIEFydGljbGUiPjE3PC9y
ZWYtdHlwZT48Y29udHJpYnV0b3JzPjxhdXRob3JzPjxhdXRob3I+TXV0dXJpLCBFPC9hdXRob3I+
PGF1dGhvcj5NYm9nbywgQ008L2F1dGhvcj48YXV0aG9yPk13YW5nYW5naSwgSjwvYXV0aG9yPjxh
dXRob3I+TmcmYXBvczthbmcmYXBvczthLCBaPC9hdXRob3I+PGF1dGhvcj5LYWJpcnUsIEU8L2F1
dGhvcj48YXV0aG9yPk13YW5kYXdpcm8sIEM8L2F1dGhvcj48YXV0aG9yPkJlaWVyLCBKQzwvYXV0
aG9yPjwvYXV0aG9ycz48L2NvbnRyaWJ1dG9ycz48dGl0bGVzPjx0aXRsZT48c3R5bGUgZmFjZT0i
bm9ybWFsIiBmb250PSJkZWZhdWx0IiBzaXplPSIxMDAlIj5Db25jb21pdGFudCBpbmZlY3Rpb25z
IG9mIDwvc3R5bGU+PHN0eWxlIGZhY2U9Iml0YWxpYyIgZm9udD0iZGVmYXVsdCIgc2l6ZT0iMTAw
JSI+UGxhc21vZGl1bSBmYWxjaXBhcnVtPC9zdHlsZT48c3R5bGUgZmFjZT0ibm9ybWFsIiBmb250
PSJkZWZhdWx0IiBzaXplPSIxMDAlIj4gYW5kIDwvc3R5bGU+PHN0eWxlIGZhY2U9Iml0YWxpYyIg
Zm9udD0iZGVmYXVsdCIgc2l6ZT0iMTAwJSI+V3VjaGVyZXJpYSBiYW5jcm9mdGk8L3N0eWxlPjxz
dHlsZSBmYWNlPSJub3JtYWwiIGZvbnQ9ImRlZmF1bHQiIHNpemU9IjEwMCUiPiBvbiB0aGUgS2Vu
eWFuIGNvYXN0Ljwvc3R5bGU+PC90aXRsZT48c2Vjb25kYXJ5LXRpdGxlPkZpbGFyaWEgSm91cm5h
bDwvc2Vjb25kYXJ5LXRpdGxlPjwvdGl0bGVzPjxwZXJpb2RpY2FsPjxmdWxsLXRpdGxlPkZpbGFy
aWEgSm91cm5hbDwvZnVsbC10aXRsZT48L3BlcmlvZGljYWw+PHBhZ2VzPjg8L3BhZ2VzPjx2b2x1
bWU+NTwvdm9sdW1lPjxkYXRlcz48eWVhcj4yMDA2PC95ZWFyPjwvZGF0ZXM+PHVybHM+PC91cmxz
PjwvcmVjb3JkPjwvQ2l0ZT48L0VuZE5vdGU+
</w:fldData>
        </w:fldChar>
      </w:r>
      <w:r>
        <w:instrText xml:space="preserve"> ADDIN EN.CITE </w:instrText>
      </w:r>
      <w:r>
        <w:fldChar w:fldCharType="begin">
          <w:fldData xml:space="preserve">PEVuZE5vdGU+PENpdGU+PEF1dGhvcj5TaW1vbnNlbjwvQXV0aG9yPjxZZWFyPjIwMTA8L1llYXI+
PFJlY051bT41MDY8L1JlY051bT48RGlzcGxheVRleHQ+WzUsNiw3LDhdPC9EaXNwbGF5VGV4dD48
cmVjb3JkPjxyZWMtbnVtYmVyPjUwNjwvcmVjLW51bWJlcj48Zm9yZWlnbi1rZXlzPjxrZXkgYXBw
PSJFTiIgZGItaWQ9IjlhNWRhcGQwZjVyMjBzZWRyZG9wcjI5c3pycDJldmQycmY5cyI+NTA2PC9r
ZXk+PC9mb3JlaWduLWtleXM+PHJlZi10eXBlIG5hbWU9IkpvdXJuYWwgQXJ0aWNsZSI+MTc8L3Jl
Zi10eXBlPjxjb250cmlidXRvcnM+PGF1dGhvcnM+PGF1dGhvcj5TaW1vbnNlbiwgUEU8L2F1dGhv
cj48YXV0aG9yPlBlZGVyc2VuLCBFTTwvYXV0aG9yPjxhdXRob3I+UndlZ29zaG9yYSwgUlQ8L2F1
dGhvcj48YXV0aG9yPk1hbGVjZWxhLCBNPC9hdXRob3I+PGF1dGhvcj5EZXJ1YSwgWTwvYXV0aG9y
PjxhdXRob3I+TWFnZXNhLCBTPC9hdXRob3I+PC9hdXRob3JzPjwvY29udHJpYnV0b3JzPjx0aXRs
ZXM+PHRpdGxlPkx5bXBoYXRpYyBmaWxhcmlhc2lzIGNvbnRyb2wgaW4gVGFuemFuaWE6IGVmZmVj
dCBvZiByZXBlYXRlZCBtYXNzIGRydWcgYWRtaW5pc3RyYXRpb24gd2l0aCBpdmVybWVjdGluIGFu
ZCBhbGJlbmRhem9sZSBvbiBpbmZlY3Rpb24gYW5kIHRyYW5zbWlzc2lvbi48L3RpdGxlPjxzZWNv
bmRhcnktdGl0bGU+UGxvUyBOZWdsZWN0ZWQgVHJvcGljYWwgRGlzZWFzZXM8L3NlY29uZGFyeS10
aXRsZT48L3RpdGxlcz48cGVyaW9kaWNhbD48ZnVsbC10aXRsZT5QbG9TIE5lZ2xlY3RlZCBUcm9w
aWNhbCBEaXNlYXNlczwvZnVsbC10aXRsZT48L3BlcmlvZGljYWw+PHBhZ2VzPmU2OTY8L3BhZ2Vz
Pjx2b2x1bWU+NDwvdm9sdW1lPjxkYXRlcz48eWVhcj4yMDEwPC95ZWFyPjwvZGF0ZXM+PHVybHM+
PC91cmxzPjwvcmVjb3JkPjwvQ2l0ZT48Q2l0ZT48QXV0aG9yPkJ1cmtvdDwvQXV0aG9yPjxZZWFy
PjE5OTA8L1llYXI+PFJlY051bT40OTE8L1JlY051bT48cmVjb3JkPjxyZWMtbnVtYmVyPjQ5MTwv
cmVjLW51bWJlcj48Zm9yZWlnbi1rZXlzPjxrZXkgYXBwPSJFTiIgZGItaWQ9IjlhNWRhcGQwZjVy
MjBzZWRyZG9wcjI5c3pycDJldmQycmY5cyI+NDkxPC9rZXk+PC9mb3JlaWduLWtleXM+PHJlZi10
eXBlIG5hbWU9IkpvdXJuYWwgQXJ0aWNsZSI+MTc8L3JlZi10eXBlPjxjb250cmlidXRvcnM+PGF1
dGhvcnM+PGF1dGhvcj5CdXJrb3QsIFQ8L2F1dGhvcj48YXV0aG9yPk1vbGluZWF1eCwgTDwvYXV0
aG9yPjxhdXRob3I+R3JhdmVzLCBQPC9hdXRob3I+PGF1dGhvcj5QYXJ1LCBSPC9hdXRob3I+PGF1
dGhvcj5CYXR0aXN0dXR0YSwgRDwvYXV0aG9yPjxhdXRob3I+RGFnb3JvLCBIPC9hdXRob3I+PGF1
dGhvcj5CYXJuZXMsIEE8L2F1dGhvcj48YXV0aG9yPldpcnR6LCBSPC9hdXRob3I+PGF1dGhvcj5H
YXJuZXIsIFA8L2F1dGhvcj48L2F1dGhvcnM+PC9jb250cmlidXRvcnM+PHRpdGxlcz48dGl0bGU+
PHN0eWxlIGZhY2U9Im5vcm1hbCIgZm9udD0iZGVmYXVsdCIgc2l6ZT0iMTAwJSI+VGhlIHByZXZh
bGVuY2Ugb2YgbmF0dXJhbGx5IGFjcXVpcmVkIG11bHRpcGxlIGluZmVjdGlvbnMgb2YgPC9zdHls
ZT48c3R5bGUgZmFjZT0iaXRhbGljIiBmb250PSJkZWZhdWx0IiBzaXplPSIxMDAlIj5XdWNoZXJl
cmlhIGJhbmNyb2Z0aTwvc3R5bGU+PHN0eWxlIGZhY2U9Im5vcm1hbCIgZm9udD0iZGVmYXVsdCIg
c2l6ZT0iMTAwJSI+IGFuZCBodW1hbiBtYWxhcmlhcyBpbiBhbm9waGVsaW5lcy48L3N0eWxlPjwv
dGl0bGU+PHNlY29uZGFyeS10aXRsZT5QYXJhc2l0b2xvZ3k8L3NlY29uZGFyeS10aXRsZT48L3Rp
dGxlcz48cGVyaW9kaWNhbD48ZnVsbC10aXRsZT5QYXJhc2l0b2xvZ3k8L2Z1bGwtdGl0bGU+PC9w
ZXJpb2RpY2FsPjxwYWdlcz4zNjktMzc1PC9wYWdlcz48dm9sdW1lPjEwMDwvdm9sdW1lPjxkYXRl
cz48eWVhcj4xOTkwPC95ZWFyPjwvZGF0ZXM+PHVybHM+PC91cmxzPjwvcmVjb3JkPjwvQ2l0ZT48
Q2l0ZT48QXV0aG9yPk9uYXBhPC9BdXRob3I+PFllYXI+MjAwMTwvWWVhcj48UmVjTnVtPjUwNzwv
UmVjTnVtPjxyZWNvcmQ+PHJlYy1udW1iZXI+NTA3PC9yZWMtbnVtYmVyPjxmb3JlaWduLWtleXM+
PGtleSBhcHA9IkVOIiBkYi1pZD0iOWE1ZGFwZDBmNXIyMHNlZHJkb3ByMjlzenJwMmV2ZDJyZjlz
Ij41MDc8L2tleT48L2ZvcmVpZ24ta2V5cz48cmVmLXR5cGUgbmFtZT0iSm91cm5hbCBBcnRpY2xl
Ij4xNzwvcmVmLXR5cGU+PGNvbnRyaWJ1dG9ycz48YXV0aG9ycz48YXV0aG9yPk9uYXBhLCBBVzwv
YXV0aG9yPjxhdXRob3I+U2ltb25zZW4sIFBFPC9hdXRob3I+PGF1dGhvcj5QZWRlcnNlbiwgRU08
L2F1dGhvcj48YXV0aG9yPk9rZWxsbywgRDwvYXV0aG9yPjwvYXV0aG9ycz48L2NvbnRyaWJ1dG9y
cz48dGl0bGVzPjx0aXRsZT5MeW1waGF0aWMgZmlsYXJpYXNpcyBpbiBVZ2FuZGE6IGJhc2VsaW5l
IGludmVzdGlnYXRpb25zIGluIExpcmEsIFNvcm90aSBhbmQgS2F0YWt3aSBkaXN0cmljdHMuPC90
aXRsZT48c2Vjb25kYXJ5LXRpdGxlPlRyYW5zYWN0aW9ucyBvZiB0aGUgUm95YWwgU29jaWV0eSBv
ZiBUcm9waWNhbCBNZWRpY2luZSBhbmQgSHlnaWVuZTwvc2Vjb25kYXJ5LXRpdGxlPjwvdGl0bGVz
PjxwZXJpb2RpY2FsPjxmdWxsLXRpdGxlPlRyYW5zYWN0aW9ucyBvZiB0aGUgUm95YWwgU29jaWV0
eSBvZiBUcm9waWNhbCBNZWRpY2luZSBhbmQgSHlnaWVuZTwvZnVsbC10aXRsZT48L3BlcmlvZGlj
YWw+PHBhZ2VzPjE2MS0xNjc8L3BhZ2VzPjx2b2x1bWU+OTU8L3ZvbHVtZT48ZGF0ZXM+PHllYXI+
MjAwMTwveWVhcj48L2RhdGVzPjx1cmxzPjwvdXJscz48L3JlY29yZD48L0NpdGU+PENpdGU+PEF1
dGhvcj5NdXR1cmk8L0F1dGhvcj48WWVhcj4yMDA2PC9ZZWFyPjxSZWNOdW0+NDkyPC9SZWNOdW0+
PHJlY29yZD48cmVjLW51bWJlcj40OTI8L3JlYy1udW1iZXI+PGZvcmVpZ24ta2V5cz48a2V5IGFw
cD0iRU4iIGRiLWlkPSI5YTVkYXBkMGY1cjIwc2VkcmRvcHIyOXN6cnAyZXZkMnJmOXMiPjQ5Mjwv
a2V5PjwvZm9yZWlnbi1rZXlzPjxyZWYtdHlwZSBuYW1lPSJKb3VybmFsIEFydGljbGUiPjE3PC9y
ZWYtdHlwZT48Y29udHJpYnV0b3JzPjxhdXRob3JzPjxhdXRob3I+TXV0dXJpLCBFPC9hdXRob3I+
PGF1dGhvcj5NYm9nbywgQ008L2F1dGhvcj48YXV0aG9yPk13YW5nYW5naSwgSjwvYXV0aG9yPjxh
dXRob3I+TmcmYXBvczthbmcmYXBvczthLCBaPC9hdXRob3I+PGF1dGhvcj5LYWJpcnUsIEU8L2F1
dGhvcj48YXV0aG9yPk13YW5kYXdpcm8sIEM8L2F1dGhvcj48YXV0aG9yPkJlaWVyLCBKQzwvYXV0
aG9yPjwvYXV0aG9ycz48L2NvbnRyaWJ1dG9ycz48dGl0bGVzPjx0aXRsZT48c3R5bGUgZmFjZT0i
bm9ybWFsIiBmb250PSJkZWZhdWx0IiBzaXplPSIxMDAlIj5Db25jb21pdGFudCBpbmZlY3Rpb25z
IG9mIDwvc3R5bGU+PHN0eWxlIGZhY2U9Iml0YWxpYyIgZm9udD0iZGVmYXVsdCIgc2l6ZT0iMTAw
JSI+UGxhc21vZGl1bSBmYWxjaXBhcnVtPC9zdHlsZT48c3R5bGUgZmFjZT0ibm9ybWFsIiBmb250
PSJkZWZhdWx0IiBzaXplPSIxMDAlIj4gYW5kIDwvc3R5bGU+PHN0eWxlIGZhY2U9Iml0YWxpYyIg
Zm9udD0iZGVmYXVsdCIgc2l6ZT0iMTAwJSI+V3VjaGVyZXJpYSBiYW5jcm9mdGk8L3N0eWxlPjxz
dHlsZSBmYWNlPSJub3JtYWwiIGZvbnQ9ImRlZmF1bHQiIHNpemU9IjEwMCUiPiBvbiB0aGUgS2Vu
eWFuIGNvYXN0Ljwvc3R5bGU+PC90aXRsZT48c2Vjb25kYXJ5LXRpdGxlPkZpbGFyaWEgSm91cm5h
bDwvc2Vjb25kYXJ5LXRpdGxlPjwvdGl0bGVzPjxwZXJpb2RpY2FsPjxmdWxsLXRpdGxlPkZpbGFy
aWEgSm91cm5hbDwvZnVsbC10aXRsZT48L3BlcmlvZGljYWw+PHBhZ2VzPjg8L3BhZ2VzPjx2b2x1
bWU+NTwvdm9sdW1lPjxkYXRlcz48eWVhcj4yMDA2PC95ZWFyPjwvZGF0ZXM+PHVybHM+PC91cmxz
PjwvcmVjb3JkPjwvQ2l0ZT48L0VuZE5vdGU+
</w:fldData>
        </w:fldChar>
      </w:r>
      <w:r>
        <w:instrText xml:space="preserve"> ADDIN EN.CITE.DATA </w:instrText>
      </w:r>
      <w:r>
        <w:fldChar w:fldCharType="end"/>
      </w:r>
      <w:r>
        <w:fldChar w:fldCharType="separate"/>
      </w:r>
      <w:r>
        <w:rPr>
          <w:noProof/>
        </w:rPr>
        <w:t>[</w:t>
      </w:r>
      <w:hyperlink w:anchor="_ENREF_5" w:tooltip="Simonsen, 2010 #506" w:history="1">
        <w:r w:rsidR="008F7D66">
          <w:rPr>
            <w:noProof/>
          </w:rPr>
          <w:t>5</w:t>
        </w:r>
      </w:hyperlink>
      <w:r>
        <w:rPr>
          <w:noProof/>
        </w:rPr>
        <w:t>,</w:t>
      </w:r>
      <w:hyperlink w:anchor="_ENREF_6" w:tooltip="Burkot, 1990 #491" w:history="1">
        <w:r w:rsidR="008F7D66">
          <w:rPr>
            <w:noProof/>
          </w:rPr>
          <w:t>6</w:t>
        </w:r>
      </w:hyperlink>
      <w:r>
        <w:rPr>
          <w:noProof/>
        </w:rPr>
        <w:t>,</w:t>
      </w:r>
      <w:hyperlink w:anchor="_ENREF_7" w:tooltip="Onapa, 2001 #507" w:history="1">
        <w:r w:rsidR="008F7D66">
          <w:rPr>
            <w:noProof/>
          </w:rPr>
          <w:t>7</w:t>
        </w:r>
      </w:hyperlink>
      <w:r>
        <w:rPr>
          <w:noProof/>
        </w:rPr>
        <w:t>,</w:t>
      </w:r>
      <w:hyperlink w:anchor="_ENREF_8" w:tooltip="Muturi, 2006 #492" w:history="1">
        <w:r w:rsidR="008F7D66">
          <w:rPr>
            <w:noProof/>
          </w:rPr>
          <w:t>8</w:t>
        </w:r>
      </w:hyperlink>
      <w:r>
        <w:rPr>
          <w:noProof/>
        </w:rPr>
        <w:t>]</w:t>
      </w:r>
      <w:r>
        <w:fldChar w:fldCharType="end"/>
      </w:r>
      <w:r>
        <w:t>.</w:t>
      </w:r>
    </w:p>
    <w:p w:rsidR="006F2B4E" w:rsidRDefault="006F2B4E" w:rsidP="006F2B4E">
      <w:pPr>
        <w:spacing w:line="480" w:lineRule="auto"/>
        <w:rPr>
          <w:rFonts w:eastAsiaTheme="minorEastAsia"/>
          <w:b/>
        </w:rP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871566" w:rsidRDefault="00871566" w:rsidP="006F2B4E">
      <w:pPr>
        <w:autoSpaceDE w:val="0"/>
        <w:autoSpaceDN w:val="0"/>
        <w:adjustRightInd w:val="0"/>
        <w:spacing w:after="0" w:line="480" w:lineRule="auto"/>
        <w:jc w:val="center"/>
      </w:pPr>
    </w:p>
    <w:p w:rsidR="00871566" w:rsidRDefault="00871566" w:rsidP="006F2B4E">
      <w:pPr>
        <w:autoSpaceDE w:val="0"/>
        <w:autoSpaceDN w:val="0"/>
        <w:adjustRightInd w:val="0"/>
        <w:spacing w:after="0" w:line="480" w:lineRule="auto"/>
        <w:jc w:val="center"/>
      </w:pPr>
    </w:p>
    <w:p w:rsidR="006F2B4E" w:rsidRDefault="006F2B4E" w:rsidP="006F2B4E">
      <w:pPr>
        <w:autoSpaceDE w:val="0"/>
        <w:autoSpaceDN w:val="0"/>
        <w:adjustRightInd w:val="0"/>
        <w:spacing w:after="0" w:line="480" w:lineRule="auto"/>
        <w:jc w:val="center"/>
      </w:pPr>
    </w:p>
    <w:p w:rsidR="006F2B4E" w:rsidRPr="00856E6B" w:rsidRDefault="006F2B4E" w:rsidP="006F2B4E">
      <w:pPr>
        <w:autoSpaceDE w:val="0"/>
        <w:autoSpaceDN w:val="0"/>
        <w:adjustRightInd w:val="0"/>
        <w:spacing w:after="0" w:line="480" w:lineRule="auto"/>
        <w:jc w:val="center"/>
        <w:rPr>
          <w:b/>
        </w:rPr>
      </w:pPr>
      <w:r w:rsidRPr="00856E6B">
        <w:rPr>
          <w:b/>
        </w:rPr>
        <w:lastRenderedPageBreak/>
        <w:t>Figure</w:t>
      </w:r>
      <w:r>
        <w:rPr>
          <w:b/>
        </w:rPr>
        <w:t xml:space="preserve"> S3</w:t>
      </w:r>
    </w:p>
    <w:p w:rsidR="006F2B4E" w:rsidRDefault="006F2B4E" w:rsidP="006F2B4E">
      <w:pPr>
        <w:autoSpaceDE w:val="0"/>
        <w:autoSpaceDN w:val="0"/>
        <w:adjustRightInd w:val="0"/>
        <w:spacing w:after="0" w:line="480" w:lineRule="auto"/>
        <w:jc w:val="center"/>
      </w:pPr>
      <w:r>
        <w:rPr>
          <w:noProof/>
          <w:lang w:eastAsia="en-GB"/>
        </w:rPr>
        <w:drawing>
          <wp:inline distT="0" distB="0" distL="0" distR="0" wp14:anchorId="3E65E6DE" wp14:editId="6656B1E1">
            <wp:extent cx="5210355" cy="781033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fits.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10803" cy="7811010"/>
                    </a:xfrm>
                    <a:prstGeom prst="rect">
                      <a:avLst/>
                    </a:prstGeom>
                  </pic:spPr>
                </pic:pic>
              </a:graphicData>
            </a:graphic>
          </wp:inline>
        </w:drawing>
      </w:r>
    </w:p>
    <w:p w:rsidR="006F2B4E" w:rsidRDefault="006F2B4E" w:rsidP="006F2B4E">
      <w:pPr>
        <w:autoSpaceDE w:val="0"/>
        <w:autoSpaceDN w:val="0"/>
        <w:adjustRightInd w:val="0"/>
        <w:spacing w:after="0" w:line="240" w:lineRule="auto"/>
      </w:pPr>
      <w:r w:rsidRPr="004D0207">
        <w:rPr>
          <w:b/>
        </w:rPr>
        <w:t xml:space="preserve">Fig. </w:t>
      </w:r>
      <w:r>
        <w:rPr>
          <w:b/>
        </w:rPr>
        <w:t>S3</w:t>
      </w:r>
      <w:r w:rsidRPr="004D0207">
        <w:t xml:space="preserve">: </w:t>
      </w:r>
      <w:r>
        <w:t xml:space="preserve">Parameter value estimates for a model </w:t>
      </w:r>
      <w:r w:rsidR="00871566">
        <w:t xml:space="preserve">with parameters as </w:t>
      </w:r>
      <w:r>
        <w:t>depicted in Figure S1 fit to ratios of LF susceptible, exposed and infective mosquitoes assuming infection in humans and mosquito population size are stable.</w:t>
      </w:r>
    </w:p>
    <w:p w:rsidR="006F2B4E" w:rsidRDefault="006F2B4E" w:rsidP="006F2B4E">
      <w:pPr>
        <w:autoSpaceDE w:val="0"/>
        <w:autoSpaceDN w:val="0"/>
        <w:adjustRightInd w:val="0"/>
        <w:spacing w:after="0" w:line="240" w:lineRule="auto"/>
      </w:pPr>
    </w:p>
    <w:p w:rsidR="006F2B4E" w:rsidRPr="00C17607" w:rsidRDefault="006F2B4E" w:rsidP="006F2B4E">
      <w:pPr>
        <w:spacing w:line="240" w:lineRule="auto"/>
        <w:rPr>
          <w:rFonts w:eastAsia="Times New Roman"/>
          <w:b/>
        </w:rPr>
      </w:pPr>
      <w:r w:rsidRPr="00C17607">
        <w:rPr>
          <w:rFonts w:eastAsia="Times New Roman"/>
          <w:b/>
        </w:rPr>
        <w:t>S</w:t>
      </w:r>
      <w:r>
        <w:rPr>
          <w:rFonts w:eastAsia="Times New Roman"/>
          <w:b/>
        </w:rPr>
        <w:t>extion III</w:t>
      </w:r>
      <w:r w:rsidRPr="00C17607">
        <w:rPr>
          <w:rFonts w:eastAsia="Times New Roman"/>
          <w:b/>
        </w:rPr>
        <w:t xml:space="preserve">: </w:t>
      </w:r>
      <w:r w:rsidR="000A4336">
        <w:rPr>
          <w:rFonts w:eastAsia="Times New Roman"/>
          <w:b/>
        </w:rPr>
        <w:t>M</w:t>
      </w:r>
      <w:r w:rsidRPr="00C17607">
        <w:rPr>
          <w:rFonts w:eastAsia="Times New Roman"/>
          <w:b/>
        </w:rPr>
        <w:t xml:space="preserve">odeling </w:t>
      </w:r>
      <w:r>
        <w:rPr>
          <w:rFonts w:eastAsia="Times New Roman"/>
          <w:b/>
        </w:rPr>
        <w:t>long-lasting insecticidal nets (LLINS)</w:t>
      </w:r>
    </w:p>
    <w:p w:rsidR="006F2B4E" w:rsidRPr="005932D7" w:rsidRDefault="003203B6" w:rsidP="006F2B4E">
      <w:pPr>
        <w:spacing w:line="240" w:lineRule="auto"/>
        <w:rPr>
          <w:rFonts w:eastAsia="Times New Roman"/>
        </w:rPr>
      </w:pPr>
      <w:r>
        <w:rPr>
          <w:rFonts w:eastAsia="Times New Roman"/>
        </w:rPr>
        <w:t xml:space="preserve">The effects of </w:t>
      </w:r>
      <w:r w:rsidR="006F2B4E" w:rsidRPr="005932D7">
        <w:rPr>
          <w:rFonts w:eastAsia="Times New Roman"/>
        </w:rPr>
        <w:t xml:space="preserve">LLINs are investigated using the formulae derived by Le Menach et al </w:t>
      </w:r>
      <w:r w:rsidR="006F2B4E" w:rsidRPr="005932D7">
        <w:rPr>
          <w:rFonts w:eastAsia="Times New Roman"/>
        </w:rPr>
        <w:fldChar w:fldCharType="begin"/>
      </w:r>
      <w:r w:rsidR="006F2B4E">
        <w:rPr>
          <w:rFonts w:eastAsia="Times New Roman"/>
        </w:rPr>
        <w:instrText xml:space="preserve"> ADDIN EN.CITE &lt;EndNote&gt;&lt;Cite&gt;&lt;Author&gt;Le Menach&lt;/Author&gt;&lt;Year&gt;2007&lt;/Year&gt;&lt;RecNum&gt;502&lt;/RecNum&gt;&lt;DisplayText&gt;[9]&lt;/DisplayText&gt;&lt;record&gt;&lt;rec-number&gt;502&lt;/rec-number&gt;&lt;foreign-keys&gt;&lt;key app="EN" db-id="9a5dapd0f5r20sedrdopr29szrp2evd2rf9s"&gt;502&lt;/key&gt;&lt;/foreign-keys&gt;&lt;ref-type name="Journal Article"&gt;17&lt;/ref-type&gt;&lt;contributors&gt;&lt;authors&gt;&lt;author&gt;Le Menach, A&lt;/author&gt;&lt;author&gt;Takala, S&lt;/author&gt;&lt;author&gt;McKenzie, FE&lt;/author&gt;&lt;author&gt;Perisse, A&lt;/author&gt;&lt;author&gt;Harris, A&lt;/author&gt;&lt;author&gt;Flahault, A&lt;/author&gt;&lt;author&gt;Smith, DL&lt;/author&gt;&lt;/authors&gt;&lt;/contributors&gt;&lt;titles&gt;&lt;title&gt;An elaborated feeding cycle model for reductions in vectorial capacity of night-biting mosquitoes by insecticide-treated nets.&lt;/title&gt;&lt;secondary-title&gt;Malaria Journal&lt;/secondary-title&gt;&lt;/titles&gt;&lt;periodical&gt;&lt;full-title&gt;Malaria Journal&lt;/full-title&gt;&lt;/periodical&gt;&lt;pages&gt;10&lt;/pages&gt;&lt;volume&gt;6&lt;/volume&gt;&lt;dates&gt;&lt;year&gt;2007&lt;/year&gt;&lt;/dates&gt;&lt;urls&gt;&lt;/urls&gt;&lt;/record&gt;&lt;/Cite&gt;&lt;/EndNote&gt;</w:instrText>
      </w:r>
      <w:r w:rsidR="006F2B4E" w:rsidRPr="005932D7">
        <w:rPr>
          <w:rFonts w:eastAsia="Times New Roman"/>
        </w:rPr>
        <w:fldChar w:fldCharType="separate"/>
      </w:r>
      <w:r w:rsidR="006F2B4E">
        <w:rPr>
          <w:rFonts w:eastAsia="Times New Roman"/>
          <w:noProof/>
        </w:rPr>
        <w:t>[</w:t>
      </w:r>
      <w:hyperlink w:anchor="_ENREF_9" w:tooltip="Le Menach, 2007 #502" w:history="1">
        <w:r w:rsidR="008F7D66">
          <w:rPr>
            <w:rFonts w:eastAsia="Times New Roman"/>
            <w:noProof/>
          </w:rPr>
          <w:t>9</w:t>
        </w:r>
      </w:hyperlink>
      <w:r w:rsidR="006F2B4E">
        <w:rPr>
          <w:rFonts w:eastAsia="Times New Roman"/>
          <w:noProof/>
        </w:rPr>
        <w:t>]</w:t>
      </w:r>
      <w:r w:rsidR="006F2B4E" w:rsidRPr="005932D7">
        <w:rPr>
          <w:rFonts w:eastAsia="Times New Roman"/>
        </w:rPr>
        <w:fldChar w:fldCharType="end"/>
      </w:r>
      <w:r w:rsidR="006F2B4E" w:rsidRPr="005932D7">
        <w:rPr>
          <w:rFonts w:eastAsia="Times New Roman"/>
        </w:rPr>
        <w:t xml:space="preserve"> for the feeding cycle duration and probability of survival under varying LLIN coverage levels, and substituting these equations in our expressions for R</w:t>
      </w:r>
      <w:r w:rsidR="006F2B4E" w:rsidRPr="005932D7">
        <w:rPr>
          <w:rFonts w:eastAsia="Times New Roman"/>
          <w:vertAlign w:val="subscript"/>
        </w:rPr>
        <w:t>0</w:t>
      </w:r>
      <w:r w:rsidR="006F2B4E" w:rsidRPr="005932D7">
        <w:rPr>
          <w:rFonts w:eastAsia="Times New Roman"/>
        </w:rPr>
        <w:t>. We make the simplifying assumption that mosquitoes are fully anthropophilic, but this can be relaxed if species-specific differences in feeding behaviour are of interest. Briefly, mosquitoes can attack a human with probability Q</w:t>
      </w:r>
      <w:r w:rsidR="006F2B4E" w:rsidRPr="005932D7">
        <w:rPr>
          <w:rFonts w:eastAsia="Times New Roman"/>
          <w:vertAlign w:val="subscript"/>
        </w:rPr>
        <w:t>(0)</w:t>
      </w:r>
      <w:r w:rsidR="006F2B4E" w:rsidRPr="005932D7">
        <w:rPr>
          <w:rFonts w:eastAsia="Times New Roman"/>
        </w:rPr>
        <w:t xml:space="preserve">; the probability of a human being protected by a bed net depends on the level of coverage, φ. Upon encountering a human protected by a net, a mosquito may feed successfully with probability </w:t>
      </w:r>
      <w:r w:rsidR="006F2B4E" w:rsidRPr="005932D7">
        <w:rPr>
          <w:rFonts w:eastAsia="Times New Roman"/>
          <w:i/>
        </w:rPr>
        <w:t>s</w:t>
      </w:r>
      <w:r w:rsidR="006F2B4E" w:rsidRPr="005932D7">
        <w:rPr>
          <w:rFonts w:eastAsia="Times New Roman"/>
        </w:rPr>
        <w:t xml:space="preserve">, be exposed to insecticides and die with probability </w:t>
      </w:r>
      <w:r w:rsidR="006F2B4E" w:rsidRPr="005932D7">
        <w:rPr>
          <w:rFonts w:eastAsia="Times New Roman"/>
          <w:i/>
        </w:rPr>
        <w:t>d</w:t>
      </w:r>
      <w:r w:rsidR="006F2B4E" w:rsidRPr="005932D7">
        <w:rPr>
          <w:rFonts w:eastAsia="Times New Roman"/>
        </w:rPr>
        <w:t xml:space="preserve">, or be repelled and start a new feeding cycle with probability </w:t>
      </w:r>
      <w:r w:rsidR="006F2B4E" w:rsidRPr="005932D7">
        <w:rPr>
          <w:rFonts w:eastAsia="Times New Roman"/>
          <w:i/>
        </w:rPr>
        <w:t>r</w:t>
      </w:r>
      <w:r w:rsidR="006F2B4E" w:rsidRPr="005932D7">
        <w:rPr>
          <w:rFonts w:eastAsia="Times New Roman"/>
        </w:rPr>
        <w:t>. Following a blood meal a mosquito will rest and oviposit before starting another cycle. The duration of the feeding cycle, 1/f</w:t>
      </w:r>
      <w:r w:rsidR="006F2B4E" w:rsidRPr="005932D7">
        <w:rPr>
          <w:rFonts w:eastAsia="Times New Roman"/>
          <w:vertAlign w:val="subscript"/>
        </w:rPr>
        <w:t>(0)</w:t>
      </w:r>
      <w:r w:rsidR="006F2B4E" w:rsidRPr="005932D7">
        <w:rPr>
          <w:rFonts w:eastAsia="Times New Roman"/>
        </w:rPr>
        <w:t>, is equivalent to the inverse of parameter a, and is τ</w:t>
      </w:r>
      <w:r w:rsidR="006F2B4E" w:rsidRPr="005932D7">
        <w:rPr>
          <w:rFonts w:eastAsia="Times New Roman"/>
          <w:vertAlign w:val="subscript"/>
        </w:rPr>
        <w:t>1(0)</w:t>
      </w:r>
      <w:r w:rsidR="006F2B4E" w:rsidRPr="005932D7">
        <w:rPr>
          <w:rFonts w:eastAsia="Times New Roman"/>
        </w:rPr>
        <w:t>+ τ</w:t>
      </w:r>
      <w:r w:rsidR="006F2B4E" w:rsidRPr="005932D7">
        <w:rPr>
          <w:rFonts w:eastAsia="Times New Roman"/>
          <w:vertAlign w:val="subscript"/>
        </w:rPr>
        <w:t>2</w:t>
      </w:r>
      <w:r w:rsidR="006F2B4E" w:rsidRPr="005932D7">
        <w:rPr>
          <w:rFonts w:eastAsia="Times New Roman"/>
        </w:rPr>
        <w:t>, i.e., the duration of the host-seeking phase in the absence of nets and the duration of the resting and oviposition phase. The duration of the feeding cycle in the presence of nets is given by 1/f</w:t>
      </w:r>
      <w:r w:rsidR="006F2B4E" w:rsidRPr="005932D7">
        <w:rPr>
          <w:rFonts w:eastAsia="Times New Roman"/>
          <w:vertAlign w:val="subscript"/>
        </w:rPr>
        <w:t>(φ)</w:t>
      </w:r>
      <w:r w:rsidR="006F2B4E" w:rsidRPr="005932D7">
        <w:rPr>
          <w:rFonts w:eastAsia="Times New Roman"/>
        </w:rPr>
        <w:t>= τ</w:t>
      </w:r>
      <w:r w:rsidR="006F2B4E" w:rsidRPr="005932D7">
        <w:rPr>
          <w:rFonts w:eastAsia="Times New Roman"/>
          <w:vertAlign w:val="subscript"/>
        </w:rPr>
        <w:t>1(0)</w:t>
      </w:r>
      <w:r w:rsidR="006F2B4E" w:rsidRPr="005932D7">
        <w:rPr>
          <w:rFonts w:eastAsia="Times New Roman"/>
        </w:rPr>
        <w:t>/(1- φ r)+ τ</w:t>
      </w:r>
      <w:r w:rsidR="006F2B4E" w:rsidRPr="005932D7">
        <w:rPr>
          <w:rFonts w:eastAsia="Times New Roman"/>
          <w:vertAlign w:val="subscript"/>
        </w:rPr>
        <w:t>2</w:t>
      </w:r>
      <w:r w:rsidR="006F2B4E" w:rsidRPr="005932D7">
        <w:rPr>
          <w:rFonts w:eastAsia="Times New Roman"/>
        </w:rPr>
        <w:t>. The probability of surviving a day in the absence of nets is given by p</w:t>
      </w:r>
      <w:r w:rsidR="006F2B4E" w:rsidRPr="005932D7">
        <w:rPr>
          <w:rFonts w:eastAsia="Times New Roman"/>
          <w:vertAlign w:val="subscript"/>
        </w:rPr>
        <w:t>(0)</w:t>
      </w:r>
      <w:r w:rsidR="006F2B4E" w:rsidRPr="005932D7">
        <w:rPr>
          <w:rFonts w:eastAsia="Times New Roman"/>
        </w:rPr>
        <w:t>=(p</w:t>
      </w:r>
      <w:r w:rsidR="006F2B4E" w:rsidRPr="005932D7">
        <w:rPr>
          <w:rFonts w:eastAsia="Times New Roman"/>
          <w:vertAlign w:val="subscript"/>
        </w:rPr>
        <w:t>1(0)</w:t>
      </w:r>
      <w:r w:rsidR="006F2B4E" w:rsidRPr="005932D7">
        <w:rPr>
          <w:rFonts w:eastAsia="Times New Roman"/>
        </w:rPr>
        <w:t>+p</w:t>
      </w:r>
      <w:r w:rsidR="006F2B4E" w:rsidRPr="005932D7">
        <w:rPr>
          <w:rFonts w:eastAsia="Times New Roman"/>
          <w:vertAlign w:val="subscript"/>
        </w:rPr>
        <w:t>2</w:t>
      </w:r>
      <w:r w:rsidR="006F2B4E" w:rsidRPr="005932D7">
        <w:rPr>
          <w:rFonts w:eastAsia="Times New Roman"/>
        </w:rPr>
        <w:t>)</w:t>
      </w:r>
      <w:r w:rsidR="006F2B4E" w:rsidRPr="005932D7">
        <w:rPr>
          <w:rFonts w:eastAsia="Times New Roman"/>
          <w:vertAlign w:val="superscript"/>
        </w:rPr>
        <w:t>f(0)</w:t>
      </w:r>
      <w:r w:rsidR="006F2B4E" w:rsidRPr="005932D7">
        <w:rPr>
          <w:rFonts w:eastAsia="Times New Roman"/>
        </w:rPr>
        <w:t>, and p</w:t>
      </w:r>
      <w:r w:rsidR="006F2B4E" w:rsidRPr="005932D7">
        <w:rPr>
          <w:rFonts w:eastAsia="Times New Roman"/>
          <w:vertAlign w:val="subscript"/>
        </w:rPr>
        <w:t>(φ)</w:t>
      </w:r>
      <w:r w:rsidR="006F2B4E" w:rsidRPr="005932D7">
        <w:rPr>
          <w:rFonts w:eastAsia="Times New Roman"/>
        </w:rPr>
        <w:t>= (p</w:t>
      </w:r>
      <w:r w:rsidR="006F2B4E" w:rsidRPr="005932D7">
        <w:rPr>
          <w:rFonts w:eastAsia="Times New Roman"/>
          <w:vertAlign w:val="subscript"/>
        </w:rPr>
        <w:t>1(0)</w:t>
      </w:r>
      <w:r w:rsidR="006F2B4E" w:rsidRPr="005932D7">
        <w:rPr>
          <w:rFonts w:eastAsia="Times New Roman"/>
        </w:rPr>
        <w:t>+p</w:t>
      </w:r>
      <w:r w:rsidR="006F2B4E" w:rsidRPr="005932D7">
        <w:rPr>
          <w:rFonts w:eastAsia="Times New Roman"/>
          <w:vertAlign w:val="subscript"/>
        </w:rPr>
        <w:t>2</w:t>
      </w:r>
      <w:r w:rsidR="006F2B4E" w:rsidRPr="005932D7">
        <w:rPr>
          <w:rFonts w:eastAsia="Times New Roman"/>
        </w:rPr>
        <w:t>W/(1- φ r p</w:t>
      </w:r>
      <w:r w:rsidR="006F2B4E" w:rsidRPr="005932D7">
        <w:rPr>
          <w:rFonts w:eastAsia="Times New Roman"/>
          <w:vertAlign w:val="subscript"/>
        </w:rPr>
        <w:t>1(0)</w:t>
      </w:r>
      <w:r w:rsidR="006F2B4E" w:rsidRPr="005932D7">
        <w:rPr>
          <w:rFonts w:eastAsia="Times New Roman"/>
        </w:rPr>
        <w:t>)</w:t>
      </w:r>
      <w:r w:rsidR="006F2B4E" w:rsidRPr="005932D7">
        <w:rPr>
          <w:rFonts w:eastAsia="Times New Roman"/>
          <w:vertAlign w:val="superscript"/>
        </w:rPr>
        <w:t>f(φ)</w:t>
      </w:r>
      <w:r w:rsidR="006F2B4E" w:rsidRPr="005932D7">
        <w:rPr>
          <w:rFonts w:eastAsia="Times New Roman"/>
        </w:rPr>
        <w:t xml:space="preserve">, where W=1-φ (1-s). </w:t>
      </w:r>
    </w:p>
    <w:p w:rsidR="006F2B4E" w:rsidRDefault="006F2B4E" w:rsidP="006F2B4E">
      <w:pPr>
        <w:spacing w:line="240" w:lineRule="auto"/>
        <w:rPr>
          <w:rFonts w:eastAsia="Times New Roman"/>
        </w:rPr>
      </w:pPr>
      <w:r w:rsidRPr="005932D7">
        <w:rPr>
          <w:rFonts w:eastAsia="Times New Roman"/>
        </w:rPr>
        <w:t>We substitute f</w:t>
      </w:r>
      <w:r w:rsidRPr="005932D7">
        <w:rPr>
          <w:rFonts w:eastAsia="Times New Roman"/>
          <w:vertAlign w:val="subscript"/>
        </w:rPr>
        <w:t xml:space="preserve">(φ) </w:t>
      </w:r>
      <w:r w:rsidRPr="005932D7">
        <w:rPr>
          <w:rFonts w:eastAsia="Times New Roman"/>
        </w:rPr>
        <w:t>and –ln(p</w:t>
      </w:r>
      <w:r w:rsidRPr="005932D7">
        <w:rPr>
          <w:rFonts w:eastAsia="Times New Roman"/>
          <w:vertAlign w:val="subscript"/>
        </w:rPr>
        <w:t>(φ)</w:t>
      </w:r>
      <w:r w:rsidRPr="005932D7">
        <w:rPr>
          <w:rFonts w:eastAsia="Times New Roman"/>
        </w:rPr>
        <w:t xml:space="preserve">) for the biting rate </w:t>
      </w:r>
      <w:r w:rsidRPr="005932D7">
        <w:rPr>
          <w:rFonts w:eastAsia="Times New Roman"/>
          <w:i/>
        </w:rPr>
        <w:t>a</w:t>
      </w:r>
      <w:r w:rsidRPr="005932D7">
        <w:rPr>
          <w:rFonts w:eastAsia="Times New Roman"/>
        </w:rPr>
        <w:t xml:space="preserve"> and mosquito mortality μ</w:t>
      </w:r>
      <w:r w:rsidRPr="005932D7">
        <w:rPr>
          <w:rFonts w:eastAsia="Times New Roman"/>
          <w:vertAlign w:val="subscript"/>
        </w:rPr>
        <w:t>m</w:t>
      </w:r>
      <w:r w:rsidRPr="005932D7">
        <w:rPr>
          <w:rFonts w:eastAsia="Times New Roman"/>
        </w:rPr>
        <w:t>. To account for parasite-induced mortality, instead of writing this as an additional mortality we use a single term, so that for malaria-infective mosquitoes μ</w:t>
      </w:r>
      <w:r w:rsidRPr="005932D7">
        <w:rPr>
          <w:rFonts w:eastAsia="Times New Roman"/>
          <w:vertAlign w:val="subscript"/>
        </w:rPr>
        <w:t>mi</w:t>
      </w:r>
      <w:r w:rsidRPr="005932D7">
        <w:rPr>
          <w:rFonts w:eastAsia="Times New Roman"/>
        </w:rPr>
        <w:t>=μ</w:t>
      </w:r>
      <w:r w:rsidRPr="005932D7">
        <w:rPr>
          <w:rFonts w:eastAsia="Times New Roman"/>
          <w:vertAlign w:val="subscript"/>
        </w:rPr>
        <w:t>m</w:t>
      </w:r>
      <w:r w:rsidRPr="005932D7">
        <w:rPr>
          <w:rFonts w:eastAsia="Times New Roman"/>
        </w:rPr>
        <w:t>+μ</w:t>
      </w:r>
      <w:r w:rsidRPr="005932D7">
        <w:rPr>
          <w:rFonts w:eastAsia="Times New Roman"/>
          <w:vertAlign w:val="subscript"/>
        </w:rPr>
        <w:t>i</w:t>
      </w:r>
      <w:r w:rsidRPr="005932D7">
        <w:rPr>
          <w:rFonts w:eastAsia="Times New Roman"/>
        </w:rPr>
        <w:t>= -ln(p</w:t>
      </w:r>
      <w:r w:rsidRPr="005932D7">
        <w:rPr>
          <w:rFonts w:eastAsia="Times New Roman"/>
          <w:vertAlign w:val="subscript"/>
        </w:rPr>
        <w:t>(0)i</w:t>
      </w:r>
      <w:r w:rsidRPr="005932D7">
        <w:rPr>
          <w:rFonts w:eastAsia="Times New Roman"/>
        </w:rPr>
        <w:t xml:space="preserve">), and similarly for LF and co-infected mosquitoes. The equilibrium number of susceptible mosquitoes then becomes </w:t>
      </w:r>
      <w:r w:rsidRPr="005932D7">
        <w:rPr>
          <w:rFonts w:ascii="Cambria Math" w:eastAsia="Times New Roman" w:hAnsi="Cambria Math"/>
        </w:rPr>
        <w:t>Λ</w:t>
      </w:r>
      <w:r w:rsidRPr="005932D7">
        <w:rPr>
          <w:rFonts w:eastAsia="Times New Roman"/>
        </w:rPr>
        <w:t xml:space="preserve"> /μ</w:t>
      </w:r>
      <w:r w:rsidRPr="005932D7">
        <w:rPr>
          <w:rFonts w:eastAsia="Times New Roman"/>
          <w:vertAlign w:val="subscript"/>
        </w:rPr>
        <w:t>m(φ)</w:t>
      </w:r>
      <w:r w:rsidRPr="005932D7">
        <w:rPr>
          <w:rFonts w:eastAsia="Times New Roman"/>
        </w:rPr>
        <w:t>, where μ</w:t>
      </w:r>
      <w:r w:rsidRPr="005932D7">
        <w:rPr>
          <w:rFonts w:eastAsia="Times New Roman"/>
          <w:vertAlign w:val="subscript"/>
        </w:rPr>
        <w:t>m(φ)</w:t>
      </w:r>
      <w:r w:rsidRPr="005932D7">
        <w:rPr>
          <w:rFonts w:eastAsia="Times New Roman"/>
        </w:rPr>
        <w:t xml:space="preserve"> = -ln(p</w:t>
      </w:r>
      <w:r w:rsidRPr="005932D7">
        <w:rPr>
          <w:rFonts w:eastAsia="Times New Roman"/>
          <w:vertAlign w:val="subscript"/>
        </w:rPr>
        <w:t>(φ)</w:t>
      </w:r>
      <w:r w:rsidRPr="005932D7">
        <w:rPr>
          <w:rFonts w:eastAsia="Times New Roman"/>
        </w:rPr>
        <w:t xml:space="preserve">). The combination of larval control and ITNs can then be modelled by using the mortality and biting rates as a function of LLIN coverage and </w:t>
      </w:r>
      <w:r w:rsidRPr="005932D7">
        <w:rPr>
          <w:rFonts w:ascii="Cambria Math" w:eastAsia="Times New Roman" w:hAnsi="Cambria Math"/>
        </w:rPr>
        <w:t>Λ</w:t>
      </w:r>
      <w:r w:rsidRPr="005932D7">
        <w:rPr>
          <w:rFonts w:eastAsia="Times New Roman"/>
        </w:rPr>
        <w:t>(1-φ)/μ</w:t>
      </w:r>
      <w:r w:rsidRPr="005932D7">
        <w:rPr>
          <w:rFonts w:eastAsia="Times New Roman"/>
          <w:vertAlign w:val="subscript"/>
        </w:rPr>
        <w:t>m(φ)</w:t>
      </w:r>
      <w:r w:rsidRPr="005932D7">
        <w:rPr>
          <w:rFonts w:eastAsia="Times New Roman"/>
        </w:rPr>
        <w:t xml:space="preserve"> for the abundance of mosquitoes. </w:t>
      </w:r>
      <w:r w:rsidR="003203B6">
        <w:rPr>
          <w:rFonts w:eastAsia="Times New Roman"/>
        </w:rPr>
        <w:t>T</w:t>
      </w:r>
      <w:r w:rsidRPr="005932D7">
        <w:rPr>
          <w:rFonts w:eastAsia="Times New Roman"/>
        </w:rPr>
        <w:t>he equilibrium number of susceptible, exposed and infective mosquitoes was</w:t>
      </w:r>
      <w:r w:rsidR="003203B6">
        <w:rPr>
          <w:rFonts w:eastAsia="Times New Roman"/>
        </w:rPr>
        <w:t xml:space="preserve"> </w:t>
      </w:r>
      <w:r w:rsidRPr="005932D7">
        <w:rPr>
          <w:rFonts w:eastAsia="Times New Roman"/>
        </w:rPr>
        <w:t>solved numerically</w:t>
      </w:r>
      <w:r w:rsidR="003203B6">
        <w:rPr>
          <w:rFonts w:eastAsia="Times New Roman"/>
        </w:rPr>
        <w:t xml:space="preserve"> b</w:t>
      </w:r>
      <w:r w:rsidR="003203B6" w:rsidRPr="005932D7">
        <w:rPr>
          <w:rFonts w:eastAsia="Times New Roman"/>
        </w:rPr>
        <w:t>ecause an additional mortality term is introduced</w:t>
      </w:r>
      <w:r w:rsidR="003203B6">
        <w:rPr>
          <w:rFonts w:eastAsia="Times New Roman"/>
        </w:rPr>
        <w:t xml:space="preserve"> </w:t>
      </w:r>
      <w:r w:rsidR="003203B6" w:rsidRPr="005932D7">
        <w:rPr>
          <w:rFonts w:eastAsia="Times New Roman"/>
        </w:rPr>
        <w:t>in the presence of either parasite</w:t>
      </w:r>
      <w:r w:rsidRPr="005932D7">
        <w:rPr>
          <w:rFonts w:eastAsia="Times New Roman"/>
        </w:rPr>
        <w:t>.</w:t>
      </w: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6F2B4E" w:rsidRDefault="006F2B4E" w:rsidP="006F2B4E">
      <w:pPr>
        <w:autoSpaceDE w:val="0"/>
        <w:autoSpaceDN w:val="0"/>
        <w:adjustRightInd w:val="0"/>
        <w:spacing w:after="0" w:line="240" w:lineRule="auto"/>
      </w:pPr>
    </w:p>
    <w:p w:rsidR="008F7D66" w:rsidRPr="005932D7" w:rsidRDefault="008F7D66" w:rsidP="008F7D66">
      <w:pPr>
        <w:spacing w:line="240" w:lineRule="auto"/>
        <w:rPr>
          <w:rFonts w:eastAsia="Times New Roman"/>
          <w:b/>
        </w:rPr>
      </w:pPr>
      <w:r>
        <w:rPr>
          <w:rFonts w:eastAsia="Times New Roman"/>
          <w:b/>
        </w:rPr>
        <w:lastRenderedPageBreak/>
        <w:t>S</w:t>
      </w:r>
      <w:r w:rsidR="00012132">
        <w:rPr>
          <w:rFonts w:eastAsia="Times New Roman"/>
          <w:b/>
        </w:rPr>
        <w:t>ection IV</w:t>
      </w:r>
      <w:r w:rsidRPr="005932D7">
        <w:rPr>
          <w:rFonts w:eastAsia="Times New Roman"/>
          <w:b/>
        </w:rPr>
        <w:t xml:space="preserve">: Basic reproductive numbers for malaria and lymphatic filariasis </w:t>
      </w:r>
    </w:p>
    <w:p w:rsidR="008F7D66" w:rsidRPr="005932D7" w:rsidRDefault="008F7D66" w:rsidP="008F7D66">
      <w:pPr>
        <w:spacing w:line="240" w:lineRule="auto"/>
        <w:rPr>
          <w:rFonts w:eastAsia="Times New Roman"/>
          <w:i/>
        </w:rPr>
      </w:pPr>
      <w:r w:rsidRPr="005932D7">
        <w:rPr>
          <w:rFonts w:eastAsia="Times New Roman"/>
          <w:i/>
        </w:rPr>
        <w:t>R</w:t>
      </w:r>
      <w:r w:rsidRPr="005932D7">
        <w:rPr>
          <w:rFonts w:eastAsia="Times New Roman"/>
          <w:i/>
          <w:vertAlign w:val="subscript"/>
        </w:rPr>
        <w:t>0</w:t>
      </w:r>
      <w:r w:rsidRPr="005932D7">
        <w:rPr>
          <w:rFonts w:eastAsia="Times New Roman"/>
          <w:i/>
        </w:rPr>
        <w:t xml:space="preserve"> for malaria in the absence of lymphatic filariasis</w:t>
      </w:r>
    </w:p>
    <w:p w:rsidR="008F7D66" w:rsidRPr="005932D7" w:rsidRDefault="008F7D66" w:rsidP="008F7D66">
      <w:pPr>
        <w:spacing w:line="240" w:lineRule="auto"/>
        <w:rPr>
          <w:rFonts w:eastAsia="Times New Roman"/>
        </w:rPr>
      </w:pPr>
      <w:r w:rsidRPr="005932D7">
        <w:rPr>
          <w:rFonts w:eastAsia="Times New Roman"/>
        </w:rPr>
        <w:t>We use the next-generation matrix (NGM) approach to obtain expressions of the basic reproductive number, R</w:t>
      </w:r>
      <w:r w:rsidRPr="005932D7">
        <w:rPr>
          <w:rFonts w:eastAsia="Times New Roman"/>
          <w:vertAlign w:val="subscript"/>
        </w:rPr>
        <w:t>0</w:t>
      </w:r>
      <w:r w:rsidRPr="005932D7">
        <w:rPr>
          <w:rFonts w:eastAsia="Times New Roman"/>
        </w:rPr>
        <w:t xml:space="preserve">, for malaria and lymphatic filariasis in the absence and presence of the other disease following the methods of Diekmann et al </w:t>
      </w:r>
      <w:r w:rsidRPr="005932D7">
        <w:rPr>
          <w:rFonts w:eastAsia="Times New Roman"/>
        </w:rPr>
        <w:fldChar w:fldCharType="begin"/>
      </w:r>
      <w:r>
        <w:rPr>
          <w:rFonts w:eastAsia="Times New Roman"/>
        </w:rPr>
        <w:instrText xml:space="preserve"> ADDIN EN.CITE &lt;EndNote&gt;&lt;Cite&gt;&lt;Author&gt;Diekmann&lt;/Author&gt;&lt;Year&gt;2010&lt;/Year&gt;&lt;RecNum&gt;497&lt;/RecNum&gt;&lt;DisplayText&gt;[10]&lt;/DisplayText&gt;&lt;record&gt;&lt;rec-number&gt;497&lt;/rec-number&gt;&lt;foreign-keys&gt;&lt;key app="EN" db-id="9a5dapd0f5r20sedrdopr29szrp2evd2rf9s"&gt;497&lt;/key&gt;&lt;/foreign-keys&gt;&lt;ref-type name="Journal Article"&gt;17&lt;/ref-type&gt;&lt;contributors&gt;&lt;authors&gt;&lt;author&gt;Diekmann, O&lt;/author&gt;&lt;author&gt;Heesterbeek, JAP&lt;/author&gt;&lt;author&gt;Roberts, MG&lt;/author&gt;&lt;/authors&gt;&lt;/contributors&gt;&lt;titles&gt;&lt;title&gt;The construction of next-generation matrices for compartmental epidemic models.&lt;/title&gt;&lt;secondary-title&gt;Journal of the Royal Society Interface&lt;/secondary-title&gt;&lt;/titles&gt;&lt;periodical&gt;&lt;full-title&gt;Journal of the Royal Society Interface&lt;/full-title&gt;&lt;/periodical&gt;&lt;pages&gt;873-885&lt;/pages&gt;&lt;volume&gt;7&lt;/volume&gt;&lt;dates&gt;&lt;year&gt;2010&lt;/year&gt;&lt;/dates&gt;&lt;urls&gt;&lt;/urls&gt;&lt;/record&gt;&lt;/Cite&gt;&lt;/EndNote&gt;</w:instrText>
      </w:r>
      <w:r w:rsidRPr="005932D7">
        <w:rPr>
          <w:rFonts w:eastAsia="Times New Roman"/>
        </w:rPr>
        <w:fldChar w:fldCharType="separate"/>
      </w:r>
      <w:r>
        <w:rPr>
          <w:rFonts w:eastAsia="Times New Roman"/>
          <w:noProof/>
        </w:rPr>
        <w:t>[</w:t>
      </w:r>
      <w:hyperlink w:anchor="_ENREF_10" w:tooltip="Diekmann, 2010 #497" w:history="1">
        <w:r>
          <w:rPr>
            <w:rFonts w:eastAsia="Times New Roman"/>
            <w:noProof/>
          </w:rPr>
          <w:t>10</w:t>
        </w:r>
      </w:hyperlink>
      <w:r>
        <w:rPr>
          <w:rFonts w:eastAsia="Times New Roman"/>
          <w:noProof/>
        </w:rPr>
        <w:t>]</w:t>
      </w:r>
      <w:r w:rsidRPr="005932D7">
        <w:rPr>
          <w:rFonts w:eastAsia="Times New Roman"/>
        </w:rPr>
        <w:fldChar w:fldCharType="end"/>
      </w:r>
      <w:r w:rsidRPr="005932D7">
        <w:rPr>
          <w:rFonts w:eastAsia="Times New Roman"/>
        </w:rPr>
        <w:t xml:space="preserve">. </w:t>
      </w:r>
    </w:p>
    <w:p w:rsidR="008F7D66" w:rsidRDefault="008F7D66" w:rsidP="008F7D66">
      <w:pPr>
        <w:spacing w:line="240" w:lineRule="auto"/>
        <w:rPr>
          <w:rFonts w:eastAsia="Times New Roman"/>
        </w:rPr>
      </w:pPr>
      <w:r w:rsidRPr="005932D7">
        <w:rPr>
          <w:rFonts w:eastAsia="Times New Roman"/>
        </w:rPr>
        <w:t xml:space="preserve">For malaria, using </w:t>
      </w:r>
      <w:r w:rsidR="003203B6">
        <w:rPr>
          <w:rFonts w:eastAsia="Times New Roman"/>
        </w:rPr>
        <w:t xml:space="preserve">a </w:t>
      </w:r>
      <w:r w:rsidRPr="005932D7">
        <w:rPr>
          <w:rFonts w:eastAsia="Times New Roman"/>
        </w:rPr>
        <w:t xml:space="preserve">simplified model with only three compartments for mosquitoes and no terms associated with filariasis, the Jacobian associated with the infection subsystem </w:t>
      </w:r>
      <w:r w:rsidR="003203B6">
        <w:rPr>
          <w:rFonts w:eastAsia="Times New Roman"/>
        </w:rPr>
        <w:t>(</w:t>
      </w:r>
      <w:r w:rsidR="003203B6" w:rsidRPr="00871566">
        <w:rPr>
          <w:rFonts w:eastAsia="Times New Roman"/>
          <w:i/>
          <w:iCs/>
        </w:rPr>
        <w:t>E</w:t>
      </w:r>
      <w:r w:rsidR="003203B6" w:rsidRPr="00871566">
        <w:rPr>
          <w:rFonts w:eastAsia="Times New Roman"/>
          <w:i/>
          <w:iCs/>
          <w:vertAlign w:val="subscript"/>
        </w:rPr>
        <w:t>h</w:t>
      </w:r>
      <w:r w:rsidR="003203B6" w:rsidRPr="00871566">
        <w:rPr>
          <w:rFonts w:eastAsia="Times New Roman"/>
          <w:i/>
          <w:iCs/>
        </w:rPr>
        <w:t>, I</w:t>
      </w:r>
      <w:r w:rsidR="003203B6" w:rsidRPr="00871566">
        <w:rPr>
          <w:rFonts w:eastAsia="Times New Roman"/>
          <w:i/>
          <w:iCs/>
          <w:vertAlign w:val="subscript"/>
        </w:rPr>
        <w:t>h</w:t>
      </w:r>
      <w:r w:rsidR="003203B6" w:rsidRPr="00871566">
        <w:rPr>
          <w:rFonts w:eastAsia="Times New Roman"/>
          <w:i/>
          <w:iCs/>
        </w:rPr>
        <w:t>, R</w:t>
      </w:r>
      <w:r w:rsidR="003203B6" w:rsidRPr="00871566">
        <w:rPr>
          <w:rFonts w:eastAsia="Times New Roman"/>
          <w:i/>
          <w:iCs/>
          <w:vertAlign w:val="subscript"/>
        </w:rPr>
        <w:t>h</w:t>
      </w:r>
      <w:r w:rsidR="003203B6" w:rsidRPr="00871566">
        <w:rPr>
          <w:rFonts w:eastAsia="Times New Roman"/>
          <w:i/>
          <w:iCs/>
        </w:rPr>
        <w:t>, M</w:t>
      </w:r>
      <w:r w:rsidR="003203B6" w:rsidRPr="00871566">
        <w:rPr>
          <w:rFonts w:eastAsia="Times New Roman"/>
          <w:i/>
          <w:iCs/>
          <w:vertAlign w:val="subscript"/>
        </w:rPr>
        <w:t>es</w:t>
      </w:r>
      <w:r w:rsidR="003203B6" w:rsidRPr="00871566">
        <w:rPr>
          <w:rFonts w:eastAsia="Times New Roman"/>
          <w:i/>
          <w:iCs/>
        </w:rPr>
        <w:t>, M</w:t>
      </w:r>
      <w:r w:rsidRPr="00871566">
        <w:rPr>
          <w:rFonts w:eastAsia="Times New Roman"/>
          <w:i/>
          <w:iCs/>
          <w:vertAlign w:val="subscript"/>
        </w:rPr>
        <w:t>i</w:t>
      </w:r>
      <w:r w:rsidR="003203B6" w:rsidRPr="00871566">
        <w:rPr>
          <w:rFonts w:eastAsia="Times New Roman"/>
          <w:i/>
          <w:iCs/>
          <w:vertAlign w:val="subscript"/>
        </w:rPr>
        <w:t>s</w:t>
      </w:r>
      <w:r w:rsidR="003203B6">
        <w:rPr>
          <w:rFonts w:eastAsia="Times New Roman"/>
        </w:rPr>
        <w:t>) i</w:t>
      </w:r>
      <w:r w:rsidRPr="005932D7">
        <w:rPr>
          <w:rFonts w:eastAsia="Times New Roman"/>
        </w:rPr>
        <w:t>s:</w:t>
      </w:r>
    </w:p>
    <w:p w:rsidR="000A4336" w:rsidRPr="005932D7" w:rsidRDefault="000A4336" w:rsidP="008F7D66">
      <w:pPr>
        <w:spacing w:line="240" w:lineRule="auto"/>
        <w:rPr>
          <w:rFonts w:eastAsia="Times New Roman"/>
        </w:rPr>
      </w:pPr>
    </w:p>
    <w:p w:rsidR="008F7D66" w:rsidRPr="005932D7" w:rsidRDefault="008F7D66" w:rsidP="008F7D66">
      <w:pPr>
        <w:spacing w:line="240" w:lineRule="auto"/>
        <w:jc w:val="center"/>
        <w:rPr>
          <w:rFonts w:eastAsia="Times New Roman"/>
        </w:rPr>
      </w:pPr>
      <w:r w:rsidRPr="00A35907">
        <w:rPr>
          <w:rFonts w:eastAsia="Times New Roman"/>
          <w:position w:val="-102"/>
        </w:rPr>
        <w:object w:dxaOrig="6380" w:dyaOrig="2160">
          <v:shape id="_x0000_i1030" type="#_x0000_t75" style="width:318.7pt;height:108.3pt" o:ole="">
            <v:imagedata r:id="rId21" o:title=""/>
          </v:shape>
          <o:OLEObject Type="Embed" ProgID="Equation.DSMT4" ShapeID="_x0000_i1030" DrawAspect="Content" ObjectID="_1467634605" r:id="rId22"/>
        </w:object>
      </w:r>
    </w:p>
    <w:p w:rsidR="000A4336" w:rsidRDefault="000A4336" w:rsidP="008F7D66">
      <w:pPr>
        <w:spacing w:line="240" w:lineRule="auto"/>
        <w:rPr>
          <w:rFonts w:eastAsia="Times New Roman"/>
        </w:rPr>
      </w:pPr>
    </w:p>
    <w:p w:rsidR="008F7D66" w:rsidRDefault="008F7D66" w:rsidP="008F7D66">
      <w:pPr>
        <w:spacing w:line="240" w:lineRule="auto"/>
        <w:rPr>
          <w:rFonts w:eastAsia="Times New Roman"/>
        </w:rPr>
      </w:pPr>
      <w:r w:rsidRPr="005932D7">
        <w:rPr>
          <w:rFonts w:eastAsia="Times New Roman"/>
        </w:rPr>
        <w:t>Where M</w:t>
      </w:r>
      <w:r w:rsidRPr="005932D7">
        <w:rPr>
          <w:rFonts w:eastAsia="Times New Roman"/>
          <w:vertAlign w:val="subscript"/>
        </w:rPr>
        <w:t>s</w:t>
      </w:r>
      <w:r w:rsidRPr="005932D7">
        <w:rPr>
          <w:rFonts w:eastAsia="Times New Roman"/>
          <w:vertAlign w:val="superscript"/>
        </w:rPr>
        <w:t>*</w:t>
      </w:r>
      <w:r w:rsidRPr="005932D7">
        <w:rPr>
          <w:rFonts w:eastAsia="Times New Roman"/>
        </w:rPr>
        <w:t xml:space="preserve"> and N</w:t>
      </w:r>
      <w:r w:rsidRPr="005932D7">
        <w:rPr>
          <w:rFonts w:eastAsia="Times New Roman"/>
          <w:vertAlign w:val="subscript"/>
        </w:rPr>
        <w:t>h</w:t>
      </w:r>
      <w:r w:rsidRPr="005932D7">
        <w:rPr>
          <w:rFonts w:eastAsia="Times New Roman"/>
          <w:vertAlign w:val="superscript"/>
        </w:rPr>
        <w:t>*</w:t>
      </w:r>
      <w:r w:rsidRPr="005932D7">
        <w:rPr>
          <w:rFonts w:eastAsia="Times New Roman"/>
        </w:rPr>
        <w:t xml:space="preserve"> are as defined in the main text.</w:t>
      </w:r>
      <w:r w:rsidR="003277A0">
        <w:rPr>
          <w:rFonts w:eastAsia="Times New Roman"/>
        </w:rPr>
        <w:t xml:space="preserve"> </w:t>
      </w:r>
      <w:r w:rsidRPr="005932D7">
        <w:rPr>
          <w:rFonts w:eastAsia="Times New Roman"/>
        </w:rPr>
        <w:t>This Jacobian can be decomposed into two matrices T and Σ, which hold transmission events and transitions between states, respectively.</w:t>
      </w:r>
    </w:p>
    <w:p w:rsidR="000A4336" w:rsidRPr="005932D7" w:rsidRDefault="000A4336" w:rsidP="008F7D66">
      <w:pPr>
        <w:spacing w:line="240" w:lineRule="auto"/>
        <w:rPr>
          <w:rFonts w:eastAsia="Times New Roman"/>
        </w:rPr>
      </w:pPr>
    </w:p>
    <w:p w:rsidR="008F7D66" w:rsidRDefault="008F7D66" w:rsidP="008F7D66">
      <w:pPr>
        <w:spacing w:line="240" w:lineRule="auto"/>
        <w:jc w:val="center"/>
        <w:rPr>
          <w:rFonts w:eastAsia="Times New Roman"/>
        </w:rPr>
      </w:pPr>
      <w:r w:rsidRPr="0055428C">
        <w:rPr>
          <w:rFonts w:eastAsia="Times New Roman"/>
          <w:position w:val="-102"/>
        </w:rPr>
        <w:object w:dxaOrig="3140" w:dyaOrig="2160">
          <v:shape id="_x0000_i1031" type="#_x0000_t75" style="width:156.5pt;height:108.3pt" o:ole="">
            <v:imagedata r:id="rId23" o:title=""/>
          </v:shape>
          <o:OLEObject Type="Embed" ProgID="Equation.DSMT4" ShapeID="_x0000_i1031" DrawAspect="Content" ObjectID="_1467634606" r:id="rId24"/>
        </w:object>
      </w:r>
    </w:p>
    <w:p w:rsidR="000A4336" w:rsidRPr="005932D7" w:rsidRDefault="000A4336" w:rsidP="008F7D66">
      <w:pPr>
        <w:spacing w:line="240" w:lineRule="auto"/>
        <w:jc w:val="center"/>
        <w:rPr>
          <w:rFonts w:eastAsia="Times New Roman"/>
        </w:rPr>
      </w:pPr>
    </w:p>
    <w:p w:rsidR="008F7D66" w:rsidRPr="005932D7" w:rsidRDefault="008F7D66" w:rsidP="008F7D66">
      <w:pPr>
        <w:spacing w:line="240" w:lineRule="auto"/>
        <w:jc w:val="center"/>
        <w:rPr>
          <w:rFonts w:eastAsia="Times New Roman"/>
        </w:rPr>
      </w:pPr>
      <w:r w:rsidRPr="0055428C">
        <w:rPr>
          <w:rFonts w:eastAsia="Times New Roman"/>
          <w:position w:val="-84"/>
        </w:rPr>
        <w:object w:dxaOrig="6380" w:dyaOrig="1800">
          <v:shape id="_x0000_i1032" type="#_x0000_t75" style="width:318.7pt;height:89.55pt" o:ole="">
            <v:imagedata r:id="rId25" o:title=""/>
          </v:shape>
          <o:OLEObject Type="Embed" ProgID="Equation.DSMT4" ShapeID="_x0000_i1032" DrawAspect="Content" ObjectID="_1467634607" r:id="rId26"/>
        </w:object>
      </w:r>
    </w:p>
    <w:p w:rsidR="000A4336" w:rsidRDefault="000A4336" w:rsidP="008F7D66">
      <w:pPr>
        <w:spacing w:line="240" w:lineRule="auto"/>
        <w:rPr>
          <w:rFonts w:eastAsia="Times New Roman"/>
        </w:rPr>
      </w:pPr>
    </w:p>
    <w:p w:rsidR="008F7D66" w:rsidRPr="005932D7" w:rsidRDefault="008F7D66" w:rsidP="008F7D66">
      <w:pPr>
        <w:spacing w:line="240" w:lineRule="auto"/>
        <w:rPr>
          <w:rFonts w:eastAsia="Times New Roman"/>
        </w:rPr>
      </w:pPr>
      <w:r w:rsidRPr="005932D7">
        <w:rPr>
          <w:rFonts w:eastAsia="Times New Roman"/>
        </w:rPr>
        <w:t>The NGM with large domain, K</w:t>
      </w:r>
      <w:r w:rsidRPr="005932D7">
        <w:rPr>
          <w:rFonts w:eastAsia="Times New Roman"/>
          <w:vertAlign w:val="subscript"/>
        </w:rPr>
        <w:t>L</w:t>
      </w:r>
      <w:r w:rsidRPr="005932D7">
        <w:rPr>
          <w:rFonts w:eastAsia="Times New Roman"/>
        </w:rPr>
        <w:t>, is given by the spectral radius of –T Σ</w:t>
      </w:r>
      <w:r w:rsidRPr="005932D7">
        <w:rPr>
          <w:rFonts w:eastAsia="Times New Roman"/>
          <w:vertAlign w:val="superscript"/>
        </w:rPr>
        <w:t>-1</w:t>
      </w:r>
      <w:r w:rsidRPr="005932D7">
        <w:rPr>
          <w:rFonts w:eastAsia="Times New Roman"/>
        </w:rPr>
        <w:t>. This can be reduced by writing a matrix E:</w:t>
      </w:r>
    </w:p>
    <w:p w:rsidR="008F7D66" w:rsidRPr="005932D7" w:rsidRDefault="008F7D66" w:rsidP="008F7D66">
      <w:pPr>
        <w:spacing w:line="240" w:lineRule="auto"/>
        <w:jc w:val="center"/>
        <w:rPr>
          <w:rFonts w:eastAsia="Times New Roman"/>
        </w:rPr>
      </w:pPr>
      <w:r w:rsidRPr="0069528A">
        <w:rPr>
          <w:rFonts w:eastAsia="Times New Roman"/>
          <w:position w:val="-84"/>
        </w:rPr>
        <w:object w:dxaOrig="1140" w:dyaOrig="1800">
          <v:shape id="_x0000_i1033" type="#_x0000_t75" style="width:56.95pt;height:89.55pt" o:ole="">
            <v:imagedata r:id="rId27" o:title=""/>
          </v:shape>
          <o:OLEObject Type="Embed" ProgID="Equation.DSMT4" ShapeID="_x0000_i1033" DrawAspect="Content" ObjectID="_1467634608" r:id="rId28"/>
        </w:object>
      </w:r>
    </w:p>
    <w:p w:rsidR="008F7D66" w:rsidRPr="005932D7" w:rsidRDefault="008F7D66" w:rsidP="008F7D66">
      <w:pPr>
        <w:spacing w:line="240" w:lineRule="auto"/>
        <w:rPr>
          <w:rFonts w:eastAsia="Times New Roman"/>
        </w:rPr>
      </w:pPr>
      <w:r w:rsidRPr="005932D7">
        <w:rPr>
          <w:rFonts w:eastAsia="Times New Roman"/>
        </w:rPr>
        <w:t>The NGM K is then given by –E’T Σ</w:t>
      </w:r>
      <w:r w:rsidRPr="005932D7">
        <w:rPr>
          <w:rFonts w:eastAsia="Times New Roman"/>
          <w:vertAlign w:val="superscript"/>
        </w:rPr>
        <w:t>-1</w:t>
      </w:r>
      <w:r w:rsidRPr="005932D7">
        <w:rPr>
          <w:rFonts w:eastAsia="Times New Roman"/>
        </w:rPr>
        <w:t>E:</w:t>
      </w:r>
    </w:p>
    <w:p w:rsidR="000A4336" w:rsidRDefault="000A4336" w:rsidP="008F7D66">
      <w:pPr>
        <w:spacing w:line="240" w:lineRule="auto"/>
        <w:jc w:val="center"/>
        <w:rPr>
          <w:rFonts w:eastAsia="Times New Roman"/>
        </w:rPr>
      </w:pPr>
    </w:p>
    <w:p w:rsidR="008F7D66" w:rsidRPr="005932D7" w:rsidRDefault="008F7D66" w:rsidP="008F7D66">
      <w:pPr>
        <w:spacing w:line="240" w:lineRule="auto"/>
        <w:jc w:val="center"/>
        <w:rPr>
          <w:rFonts w:eastAsia="Times New Roman"/>
        </w:rPr>
      </w:pPr>
      <w:r w:rsidRPr="0069528A">
        <w:rPr>
          <w:rFonts w:eastAsia="Times New Roman"/>
          <w:position w:val="-68"/>
        </w:rPr>
        <w:object w:dxaOrig="6000" w:dyaOrig="1480">
          <v:shape id="_x0000_i1034" type="#_x0000_t75" style="width:299.9pt;height:73.9pt" o:ole="">
            <v:imagedata r:id="rId29" o:title=""/>
          </v:shape>
          <o:OLEObject Type="Embed" ProgID="Equation.DSMT4" ShapeID="_x0000_i1034" DrawAspect="Content" ObjectID="_1467634609" r:id="rId30"/>
        </w:object>
      </w:r>
    </w:p>
    <w:p w:rsidR="000A4336" w:rsidRDefault="000A4336" w:rsidP="008F7D66">
      <w:pPr>
        <w:spacing w:line="240" w:lineRule="auto"/>
        <w:rPr>
          <w:rFonts w:eastAsia="Times New Roman"/>
        </w:rPr>
      </w:pPr>
    </w:p>
    <w:p w:rsidR="008F7D66" w:rsidRPr="005932D7" w:rsidRDefault="008F7D66" w:rsidP="008F7D66">
      <w:pPr>
        <w:spacing w:line="240" w:lineRule="auto"/>
        <w:rPr>
          <w:rFonts w:eastAsia="Times New Roman"/>
        </w:rPr>
      </w:pPr>
      <w:r w:rsidRPr="005932D7">
        <w:rPr>
          <w:rFonts w:eastAsia="Times New Roman"/>
        </w:rPr>
        <w:t>and R</w:t>
      </w:r>
      <w:r w:rsidRPr="005932D7">
        <w:rPr>
          <w:rFonts w:eastAsia="Times New Roman"/>
          <w:vertAlign w:val="subscript"/>
        </w:rPr>
        <w:t>0,m</w:t>
      </w:r>
      <w:r w:rsidRPr="005932D7">
        <w:rPr>
          <w:rFonts w:eastAsia="Times New Roman"/>
        </w:rPr>
        <w:t xml:space="preserve"> = ρ(K)</w:t>
      </w:r>
      <w:r w:rsidRPr="005932D7">
        <w:rPr>
          <w:rFonts w:eastAsia="Times New Roman"/>
          <w:vertAlign w:val="superscript"/>
        </w:rPr>
        <w:t>2</w:t>
      </w:r>
      <w:r w:rsidRPr="005932D7">
        <w:rPr>
          <w:rFonts w:eastAsia="Times New Roman"/>
        </w:rPr>
        <w:t xml:space="preserve">, the spectral radius or dominant eigenvalue of the next-generation matrix, squared to reflect the </w:t>
      </w:r>
      <w:r w:rsidR="004A1C74">
        <w:rPr>
          <w:rFonts w:eastAsia="Times New Roman"/>
        </w:rPr>
        <w:t>transmission</w:t>
      </w:r>
      <w:r w:rsidRPr="005932D7">
        <w:rPr>
          <w:rFonts w:eastAsia="Times New Roman"/>
        </w:rPr>
        <w:t xml:space="preserve"> from human</w:t>
      </w:r>
      <w:r w:rsidR="004A1C74">
        <w:rPr>
          <w:rFonts w:eastAsia="Times New Roman"/>
        </w:rPr>
        <w:t xml:space="preserve"> to </w:t>
      </w:r>
      <w:r w:rsidRPr="005932D7">
        <w:rPr>
          <w:rFonts w:eastAsia="Times New Roman"/>
        </w:rPr>
        <w:t>human:</w:t>
      </w:r>
    </w:p>
    <w:tbl>
      <w:tblPr>
        <w:tblStyle w:val="TableGrid"/>
        <w:tblW w:w="5000" w:type="pct"/>
        <w:tblLook w:val="04A0" w:firstRow="1" w:lastRow="0" w:firstColumn="1" w:lastColumn="0" w:noHBand="0" w:noVBand="1"/>
      </w:tblPr>
      <w:tblGrid>
        <w:gridCol w:w="1393"/>
        <w:gridCol w:w="6502"/>
        <w:gridCol w:w="1393"/>
      </w:tblGrid>
      <w:tr w:rsidR="001E04C3" w:rsidTr="00BC2406">
        <w:tc>
          <w:tcPr>
            <w:tcW w:w="750" w:type="pct"/>
            <w:tcBorders>
              <w:top w:val="nil"/>
              <w:left w:val="nil"/>
              <w:bottom w:val="nil"/>
              <w:right w:val="nil"/>
            </w:tcBorders>
            <w:vAlign w:val="center"/>
          </w:tcPr>
          <w:p w:rsidR="001E04C3" w:rsidRDefault="001E04C3" w:rsidP="00BC2406">
            <w:pPr>
              <w:autoSpaceDE w:val="0"/>
              <w:autoSpaceDN w:val="0"/>
              <w:adjustRightInd w:val="0"/>
            </w:pPr>
          </w:p>
        </w:tc>
        <w:tc>
          <w:tcPr>
            <w:tcW w:w="3500" w:type="pct"/>
            <w:tcBorders>
              <w:top w:val="nil"/>
              <w:left w:val="nil"/>
              <w:bottom w:val="nil"/>
              <w:right w:val="nil"/>
            </w:tcBorders>
            <w:vAlign w:val="center"/>
          </w:tcPr>
          <w:p w:rsidR="001E04C3" w:rsidRDefault="001E04C3" w:rsidP="00BC2406">
            <w:pPr>
              <w:autoSpaceDE w:val="0"/>
              <w:autoSpaceDN w:val="0"/>
              <w:adjustRightInd w:val="0"/>
              <w:jc w:val="center"/>
            </w:pPr>
            <w:r w:rsidRPr="0069528A">
              <w:rPr>
                <w:rFonts w:eastAsia="Times New Roman"/>
                <w:position w:val="-30"/>
              </w:rPr>
              <w:object w:dxaOrig="5580" w:dyaOrig="740">
                <v:shape id="_x0000_i1035" type="#_x0000_t75" style="width:279.25pt;height:36.95pt" o:ole="">
                  <v:imagedata r:id="rId31" o:title=""/>
                </v:shape>
                <o:OLEObject Type="Embed" ProgID="Equation.DSMT4" ShapeID="_x0000_i1035" DrawAspect="Content" ObjectID="_1467634610" r:id="rId32"/>
              </w:object>
            </w:r>
          </w:p>
        </w:tc>
        <w:tc>
          <w:tcPr>
            <w:tcW w:w="750" w:type="pct"/>
            <w:tcBorders>
              <w:top w:val="nil"/>
              <w:left w:val="nil"/>
              <w:bottom w:val="nil"/>
              <w:right w:val="nil"/>
            </w:tcBorders>
            <w:vAlign w:val="center"/>
          </w:tcPr>
          <w:p w:rsidR="001E04C3" w:rsidRDefault="001E04C3" w:rsidP="001E04C3">
            <w:pPr>
              <w:autoSpaceDE w:val="0"/>
              <w:autoSpaceDN w:val="0"/>
              <w:adjustRightInd w:val="0"/>
              <w:jc w:val="center"/>
            </w:pPr>
            <w:r>
              <w:t>(S4.1)</w:t>
            </w:r>
          </w:p>
        </w:tc>
      </w:tr>
    </w:tbl>
    <w:p w:rsidR="008F7D66" w:rsidRPr="005932D7" w:rsidRDefault="008F7D66" w:rsidP="008F7D66">
      <w:pPr>
        <w:spacing w:line="240" w:lineRule="auto"/>
        <w:jc w:val="center"/>
        <w:rPr>
          <w:rFonts w:eastAsia="Times New Roman"/>
        </w:rPr>
      </w:pPr>
    </w:p>
    <w:p w:rsidR="008F7D66" w:rsidRPr="005932D7" w:rsidRDefault="008F7D66" w:rsidP="008F7D66">
      <w:pPr>
        <w:spacing w:line="240" w:lineRule="auto"/>
        <w:rPr>
          <w:rFonts w:eastAsia="Times New Roman"/>
          <w:i/>
        </w:rPr>
      </w:pPr>
    </w:p>
    <w:p w:rsidR="008F7D66" w:rsidRPr="005932D7" w:rsidRDefault="008F7D66" w:rsidP="008F7D66">
      <w:pPr>
        <w:spacing w:line="240" w:lineRule="auto"/>
        <w:rPr>
          <w:rFonts w:eastAsia="Times New Roman"/>
          <w:i/>
        </w:rPr>
      </w:pPr>
      <w:r w:rsidRPr="005932D7">
        <w:rPr>
          <w:rFonts w:eastAsia="Times New Roman"/>
          <w:i/>
        </w:rPr>
        <w:t>R</w:t>
      </w:r>
      <w:r w:rsidRPr="005932D7">
        <w:rPr>
          <w:rFonts w:eastAsia="Times New Roman"/>
          <w:i/>
          <w:vertAlign w:val="subscript"/>
        </w:rPr>
        <w:t>0</w:t>
      </w:r>
      <w:r w:rsidRPr="005932D7">
        <w:rPr>
          <w:rFonts w:eastAsia="Times New Roman"/>
          <w:i/>
        </w:rPr>
        <w:t xml:space="preserve"> for lymphatic filariasis in the absence of malaria</w:t>
      </w:r>
    </w:p>
    <w:p w:rsidR="008F7D66" w:rsidRDefault="008F7D66" w:rsidP="008F7D66">
      <w:pPr>
        <w:spacing w:line="240" w:lineRule="auto"/>
        <w:rPr>
          <w:rFonts w:eastAsia="Times New Roman"/>
        </w:rPr>
      </w:pPr>
      <w:r w:rsidRPr="005932D7">
        <w:rPr>
          <w:rFonts w:eastAsia="Times New Roman"/>
        </w:rPr>
        <w:t>Following the same logic for lymphatic filariasis</w:t>
      </w:r>
      <w:r w:rsidR="004A1C74">
        <w:rPr>
          <w:rFonts w:eastAsia="Times New Roman"/>
        </w:rPr>
        <w:t xml:space="preserve"> with infection subsystem, (</w:t>
      </w:r>
      <w:r w:rsidR="004A1C74" w:rsidRPr="00871566">
        <w:rPr>
          <w:rFonts w:eastAsia="Times New Roman"/>
          <w:i/>
          <w:iCs/>
        </w:rPr>
        <w:t>W,</w:t>
      </w:r>
      <w:r w:rsidR="00667FEC" w:rsidRPr="00871566">
        <w:rPr>
          <w:rFonts w:eastAsia="Times New Roman"/>
          <w:i/>
          <w:iCs/>
        </w:rPr>
        <w:t>F, M</w:t>
      </w:r>
      <w:r w:rsidR="00667FEC" w:rsidRPr="00871566">
        <w:rPr>
          <w:rFonts w:eastAsia="Times New Roman"/>
          <w:i/>
          <w:iCs/>
          <w:vertAlign w:val="subscript"/>
        </w:rPr>
        <w:t>se</w:t>
      </w:r>
      <w:r w:rsidR="00667FEC" w:rsidRPr="00871566">
        <w:rPr>
          <w:rFonts w:eastAsia="Times New Roman"/>
          <w:i/>
          <w:iCs/>
        </w:rPr>
        <w:t>, M</w:t>
      </w:r>
      <w:r w:rsidR="00667FEC" w:rsidRPr="00871566">
        <w:rPr>
          <w:rFonts w:eastAsia="Times New Roman"/>
          <w:i/>
          <w:iCs/>
          <w:vertAlign w:val="subscript"/>
        </w:rPr>
        <w:t>si</w:t>
      </w:r>
      <w:r w:rsidR="00667FEC">
        <w:rPr>
          <w:rFonts w:eastAsia="Times New Roman"/>
        </w:rPr>
        <w:t>)</w:t>
      </w:r>
      <w:r w:rsidRPr="005932D7">
        <w:rPr>
          <w:rFonts w:eastAsia="Times New Roman"/>
        </w:rPr>
        <w:t>, we write:</w:t>
      </w:r>
    </w:p>
    <w:p w:rsidR="000A4336" w:rsidRPr="005932D7" w:rsidRDefault="000A4336" w:rsidP="008F7D66">
      <w:pPr>
        <w:spacing w:line="240" w:lineRule="auto"/>
        <w:rPr>
          <w:rFonts w:eastAsia="Times New Roman"/>
        </w:rPr>
      </w:pPr>
    </w:p>
    <w:p w:rsidR="008F7D66" w:rsidRDefault="008F7D66" w:rsidP="008F7D66">
      <w:pPr>
        <w:spacing w:line="240" w:lineRule="auto"/>
        <w:jc w:val="center"/>
        <w:rPr>
          <w:rFonts w:eastAsia="Times New Roman"/>
        </w:rPr>
      </w:pPr>
      <w:r w:rsidRPr="00A35907">
        <w:rPr>
          <w:rFonts w:eastAsia="Times New Roman"/>
          <w:position w:val="-156"/>
        </w:rPr>
        <w:object w:dxaOrig="4239" w:dyaOrig="4080">
          <v:shape id="_x0000_i1036" type="#_x0000_t75" style="width:212.25pt;height:204.1pt" o:ole="">
            <v:imagedata r:id="rId33" o:title=""/>
          </v:shape>
          <o:OLEObject Type="Embed" ProgID="Equation.DSMT4" ShapeID="_x0000_i1036" DrawAspect="Content" ObjectID="_1467634611" r:id="rId34"/>
        </w:object>
      </w:r>
    </w:p>
    <w:p w:rsidR="000A4336" w:rsidRDefault="000A4336" w:rsidP="008F7D66">
      <w:pPr>
        <w:spacing w:line="240" w:lineRule="auto"/>
        <w:rPr>
          <w:rFonts w:eastAsia="Times New Roman"/>
        </w:rPr>
      </w:pPr>
    </w:p>
    <w:p w:rsidR="008F7D66" w:rsidRPr="005932D7" w:rsidRDefault="008F7D66" w:rsidP="008F7D66">
      <w:pPr>
        <w:spacing w:line="240" w:lineRule="auto"/>
        <w:rPr>
          <w:rFonts w:eastAsia="Times New Roman"/>
        </w:rPr>
      </w:pPr>
      <w:r w:rsidRPr="005932D7">
        <w:rPr>
          <w:rFonts w:eastAsia="Times New Roman"/>
        </w:rPr>
        <w:lastRenderedPageBreak/>
        <w:t>The NGM K is –E’T Σ</w:t>
      </w:r>
      <w:r w:rsidRPr="005932D7">
        <w:rPr>
          <w:rFonts w:eastAsia="Times New Roman"/>
          <w:vertAlign w:val="superscript"/>
        </w:rPr>
        <w:t>-1</w:t>
      </w:r>
      <w:r w:rsidRPr="005932D7">
        <w:rPr>
          <w:rFonts w:eastAsia="Times New Roman"/>
        </w:rPr>
        <w:t>E and R</w:t>
      </w:r>
      <w:r w:rsidRPr="005932D7">
        <w:rPr>
          <w:rFonts w:eastAsia="Times New Roman"/>
          <w:vertAlign w:val="subscript"/>
        </w:rPr>
        <w:t>0,f</w:t>
      </w:r>
      <w:r w:rsidRPr="005932D7">
        <w:rPr>
          <w:rFonts w:eastAsia="Times New Roman"/>
        </w:rPr>
        <w:t xml:space="preserve"> = ρ(K)</w:t>
      </w:r>
      <w:r w:rsidRPr="005932D7">
        <w:rPr>
          <w:rFonts w:eastAsia="Times New Roman"/>
          <w:vertAlign w:val="superscript"/>
        </w:rPr>
        <w:t>k</w:t>
      </w:r>
      <w:r w:rsidRPr="005932D7">
        <w:rPr>
          <w:rFonts w:eastAsia="Times New Roman"/>
        </w:rPr>
        <w:t>. For R</w:t>
      </w:r>
      <w:r w:rsidRPr="005932D7">
        <w:rPr>
          <w:rFonts w:eastAsia="Times New Roman"/>
          <w:vertAlign w:val="subscript"/>
        </w:rPr>
        <w:t>0</w:t>
      </w:r>
      <w:r w:rsidRPr="005932D7">
        <w:rPr>
          <w:rFonts w:eastAsia="Times New Roman"/>
        </w:rPr>
        <w:t xml:space="preserve"> to be consistent across models of the same parasite that differ in the number of life stages explicitly modelled, the spectral radius is raised to the power </w:t>
      </w:r>
      <w:r w:rsidRPr="005932D7">
        <w:rPr>
          <w:rFonts w:eastAsia="Times New Roman"/>
          <w:i/>
        </w:rPr>
        <w:t>k</w:t>
      </w:r>
      <w:r w:rsidRPr="005932D7">
        <w:rPr>
          <w:rFonts w:eastAsia="Times New Roman"/>
        </w:rPr>
        <w:t xml:space="preserve">, where equals the number of life stages. For helminth models this is often three </w:t>
      </w:r>
      <w:r w:rsidRPr="005932D7">
        <w:rPr>
          <w:rFonts w:eastAsia="Times New Roman"/>
        </w:rPr>
        <w:fldChar w:fldCharType="begin"/>
      </w:r>
      <w:r>
        <w:rPr>
          <w:rFonts w:eastAsia="Times New Roman"/>
        </w:rPr>
        <w:instrText xml:space="preserve"> ADDIN EN.CITE &lt;EndNote&gt;&lt;Cite&gt;&lt;Author&gt;Heesterbeek&lt;/Author&gt;&lt;Year&gt;1995&lt;/Year&gt;&lt;RecNum&gt;498&lt;/RecNum&gt;&lt;DisplayText&gt;[11,12]&lt;/DisplayText&gt;&lt;record&gt;&lt;rec-number&gt;498&lt;/rec-number&gt;&lt;foreign-keys&gt;&lt;key app="EN" db-id="9a5dapd0f5r20sedrdopr29szrp2evd2rf9s"&gt;498&lt;/key&gt;&lt;/foreign-keys&gt;&lt;ref-type name="Journal Article"&gt;17&lt;/ref-type&gt;&lt;contributors&gt;&lt;authors&gt;&lt;author&gt;Heesterbeek, JAP&lt;/author&gt;&lt;author&gt;Roberts, MG&lt;/author&gt;&lt;/authors&gt;&lt;/contributors&gt;&lt;titles&gt;&lt;title&gt;Threshold quantities for helminth infections.&lt;/title&gt;&lt;secondary-title&gt;Journal of Mathematical Biology&lt;/secondary-title&gt;&lt;/titles&gt;&lt;periodical&gt;&lt;full-title&gt;Journal of Mathematical Biology&lt;/full-title&gt;&lt;/periodical&gt;&lt;pages&gt;415-434&lt;/pages&gt;&lt;volume&gt;33&lt;/volume&gt;&lt;dates&gt;&lt;year&gt;1995&lt;/year&gt;&lt;/dates&gt;&lt;urls&gt;&lt;/urls&gt;&lt;/record&gt;&lt;/Cite&gt;&lt;Cite&gt;&lt;Author&gt;Slater&lt;/Author&gt;&lt;Year&gt;2013&lt;/Year&gt;&lt;RecNum&gt;499&lt;/RecNum&gt;&lt;record&gt;&lt;rec-number&gt;499&lt;/rec-number&gt;&lt;foreign-keys&gt;&lt;key app="EN" db-id="9a5dapd0f5r20sedrdopr29szrp2evd2rf9s"&gt;499&lt;/key&gt;&lt;/foreign-keys&gt;&lt;ref-type name="Journal Article"&gt;17&lt;/ref-type&gt;&lt;contributors&gt;&lt;authors&gt;&lt;author&gt;Slater, HC&lt;/author&gt;&lt;author&gt;Gambhir, M&lt;/author&gt;&lt;author&gt;Parham, PE&lt;/author&gt;&lt;author&gt;Michael, E&lt;/author&gt;&lt;/authors&gt;&lt;/contributors&gt;&lt;titles&gt;&lt;title&gt;Modelling co-infection with malaria and lymphatic filariasis.&lt;/title&gt;&lt;secondary-title&gt;PloS Computational Biology&lt;/secondary-title&gt;&lt;/titles&gt;&lt;periodical&gt;&lt;full-title&gt;PloS Computational Biology&lt;/full-title&gt;&lt;/periodical&gt;&lt;pages&gt;e1003096&lt;/pages&gt;&lt;volume&gt;9&lt;/volume&gt;&lt;dates&gt;&lt;year&gt;2013&lt;/year&gt;&lt;/dates&gt;&lt;urls&gt;&lt;/urls&gt;&lt;/record&gt;&lt;/Cite&gt;&lt;/EndNote&gt;</w:instrText>
      </w:r>
      <w:r w:rsidRPr="005932D7">
        <w:rPr>
          <w:rFonts w:eastAsia="Times New Roman"/>
        </w:rPr>
        <w:fldChar w:fldCharType="separate"/>
      </w:r>
      <w:r>
        <w:rPr>
          <w:rFonts w:eastAsia="Times New Roman"/>
          <w:noProof/>
        </w:rPr>
        <w:t>[</w:t>
      </w:r>
      <w:hyperlink w:anchor="_ENREF_11" w:tooltip="Heesterbeek, 1995 #498" w:history="1">
        <w:r>
          <w:rPr>
            <w:rFonts w:eastAsia="Times New Roman"/>
            <w:noProof/>
          </w:rPr>
          <w:t>11</w:t>
        </w:r>
      </w:hyperlink>
      <w:r>
        <w:rPr>
          <w:rFonts w:eastAsia="Times New Roman"/>
          <w:noProof/>
        </w:rPr>
        <w:t>,</w:t>
      </w:r>
      <w:hyperlink w:anchor="_ENREF_12" w:tooltip="Slater, 2013 #499" w:history="1">
        <w:r>
          <w:rPr>
            <w:rFonts w:eastAsia="Times New Roman"/>
            <w:noProof/>
          </w:rPr>
          <w:t>12</w:t>
        </w:r>
      </w:hyperlink>
      <w:r>
        <w:rPr>
          <w:rFonts w:eastAsia="Times New Roman"/>
          <w:noProof/>
        </w:rPr>
        <w:t>]</w:t>
      </w:r>
      <w:r w:rsidRPr="005932D7">
        <w:rPr>
          <w:rFonts w:eastAsia="Times New Roman"/>
        </w:rPr>
        <w:fldChar w:fldCharType="end"/>
      </w:r>
      <w:r w:rsidRPr="005932D7">
        <w:rPr>
          <w:rFonts w:eastAsia="Times New Roman"/>
        </w:rPr>
        <w:t xml:space="preserve">, but because we do not explicitly model the larval stage in mosquitoes here </w:t>
      </w:r>
      <w:r w:rsidRPr="005932D7">
        <w:rPr>
          <w:rFonts w:eastAsia="Times New Roman"/>
          <w:i/>
        </w:rPr>
        <w:t>k</w:t>
      </w:r>
      <w:r w:rsidRPr="005932D7">
        <w:rPr>
          <w:rFonts w:eastAsia="Times New Roman"/>
        </w:rPr>
        <w:t xml:space="preserve"> is two, and R</w:t>
      </w:r>
      <w:r w:rsidRPr="005932D7">
        <w:rPr>
          <w:rFonts w:eastAsia="Times New Roman"/>
          <w:vertAlign w:val="subscript"/>
        </w:rPr>
        <w:t>0,f</w:t>
      </w:r>
      <w:r w:rsidRPr="005932D7">
        <w:rPr>
          <w:rFonts w:eastAsia="Times New Roman"/>
        </w:rPr>
        <w:t xml:space="preserve"> is: </w:t>
      </w:r>
    </w:p>
    <w:tbl>
      <w:tblPr>
        <w:tblStyle w:val="TableGrid"/>
        <w:tblW w:w="5000" w:type="pct"/>
        <w:tblLook w:val="04A0" w:firstRow="1" w:lastRow="0" w:firstColumn="1" w:lastColumn="0" w:noHBand="0" w:noVBand="1"/>
      </w:tblPr>
      <w:tblGrid>
        <w:gridCol w:w="1393"/>
        <w:gridCol w:w="6502"/>
        <w:gridCol w:w="1393"/>
      </w:tblGrid>
      <w:tr w:rsidR="001E04C3" w:rsidTr="00BC2406">
        <w:tc>
          <w:tcPr>
            <w:tcW w:w="750" w:type="pct"/>
            <w:tcBorders>
              <w:top w:val="nil"/>
              <w:left w:val="nil"/>
              <w:bottom w:val="nil"/>
              <w:right w:val="nil"/>
            </w:tcBorders>
            <w:vAlign w:val="center"/>
          </w:tcPr>
          <w:p w:rsidR="001E04C3" w:rsidRDefault="001E04C3" w:rsidP="00BC2406">
            <w:pPr>
              <w:autoSpaceDE w:val="0"/>
              <w:autoSpaceDN w:val="0"/>
              <w:adjustRightInd w:val="0"/>
            </w:pPr>
          </w:p>
        </w:tc>
        <w:tc>
          <w:tcPr>
            <w:tcW w:w="3500" w:type="pct"/>
            <w:tcBorders>
              <w:top w:val="nil"/>
              <w:left w:val="nil"/>
              <w:bottom w:val="nil"/>
              <w:right w:val="nil"/>
            </w:tcBorders>
            <w:vAlign w:val="center"/>
          </w:tcPr>
          <w:p w:rsidR="001E04C3" w:rsidRDefault="001E04C3" w:rsidP="00BC2406">
            <w:pPr>
              <w:autoSpaceDE w:val="0"/>
              <w:autoSpaceDN w:val="0"/>
              <w:adjustRightInd w:val="0"/>
              <w:jc w:val="center"/>
            </w:pPr>
            <w:r w:rsidRPr="00642EFB">
              <w:rPr>
                <w:rFonts w:eastAsia="Times New Roman"/>
                <w:i/>
                <w:position w:val="-32"/>
              </w:rPr>
              <w:object w:dxaOrig="3360" w:dyaOrig="820">
                <v:shape id="_x0000_i1037" type="#_x0000_t75" style="width:168.4pt;height:41.3pt" o:ole="">
                  <v:imagedata r:id="rId35" o:title=""/>
                </v:shape>
                <o:OLEObject Type="Embed" ProgID="Equation.DSMT4" ShapeID="_x0000_i1037" DrawAspect="Content" ObjectID="_1467634612" r:id="rId36"/>
              </w:object>
            </w:r>
          </w:p>
        </w:tc>
        <w:tc>
          <w:tcPr>
            <w:tcW w:w="750" w:type="pct"/>
            <w:tcBorders>
              <w:top w:val="nil"/>
              <w:left w:val="nil"/>
              <w:bottom w:val="nil"/>
              <w:right w:val="nil"/>
            </w:tcBorders>
            <w:vAlign w:val="center"/>
          </w:tcPr>
          <w:p w:rsidR="001E04C3" w:rsidRDefault="001E04C3" w:rsidP="001E04C3">
            <w:pPr>
              <w:autoSpaceDE w:val="0"/>
              <w:autoSpaceDN w:val="0"/>
              <w:adjustRightInd w:val="0"/>
              <w:jc w:val="center"/>
            </w:pPr>
            <w:r>
              <w:t>(S4.2)</w:t>
            </w:r>
          </w:p>
        </w:tc>
      </w:tr>
    </w:tbl>
    <w:p w:rsidR="008F7D66" w:rsidRPr="005932D7" w:rsidRDefault="008F7D66" w:rsidP="008F7D66">
      <w:pPr>
        <w:spacing w:line="240" w:lineRule="auto"/>
        <w:jc w:val="center"/>
        <w:rPr>
          <w:rFonts w:eastAsia="Times New Roman"/>
          <w:i/>
        </w:rPr>
      </w:pPr>
    </w:p>
    <w:p w:rsidR="008F7D66" w:rsidRPr="005932D7" w:rsidRDefault="008F7D66" w:rsidP="008F7D66">
      <w:pPr>
        <w:spacing w:line="240" w:lineRule="auto"/>
        <w:rPr>
          <w:rFonts w:eastAsia="Times New Roman"/>
          <w:i/>
        </w:rPr>
      </w:pPr>
    </w:p>
    <w:p w:rsidR="008F7D66" w:rsidRPr="005932D7" w:rsidRDefault="008F7D66" w:rsidP="008F7D66">
      <w:pPr>
        <w:spacing w:line="240" w:lineRule="auto"/>
        <w:rPr>
          <w:rFonts w:eastAsia="Times New Roman"/>
          <w:i/>
        </w:rPr>
      </w:pPr>
      <w:r w:rsidRPr="005932D7">
        <w:rPr>
          <w:rFonts w:eastAsia="Times New Roman"/>
          <w:i/>
        </w:rPr>
        <w:t>R</w:t>
      </w:r>
      <w:r w:rsidRPr="005932D7">
        <w:rPr>
          <w:rFonts w:eastAsia="Times New Roman"/>
          <w:i/>
          <w:vertAlign w:val="subscript"/>
        </w:rPr>
        <w:t>0</w:t>
      </w:r>
      <w:r w:rsidRPr="005932D7">
        <w:rPr>
          <w:rFonts w:eastAsia="Times New Roman"/>
          <w:i/>
        </w:rPr>
        <w:t xml:space="preserve"> for malaria in the presence of lymphatic filariasis:</w:t>
      </w:r>
    </w:p>
    <w:p w:rsidR="008F7D66" w:rsidRDefault="008F7D66" w:rsidP="008F7D66">
      <w:pPr>
        <w:spacing w:line="240" w:lineRule="auto"/>
        <w:rPr>
          <w:rFonts w:eastAsia="Times New Roman"/>
        </w:rPr>
      </w:pPr>
      <w:r w:rsidRPr="005932D7">
        <w:rPr>
          <w:rFonts w:eastAsia="Times New Roman"/>
        </w:rPr>
        <w:t>We use the same approach for the full model</w:t>
      </w:r>
      <w:r w:rsidR="00D23D51">
        <w:rPr>
          <w:rFonts w:eastAsia="Times New Roman"/>
        </w:rPr>
        <w:t xml:space="preserve"> with infection subsystem (</w:t>
      </w:r>
      <w:r w:rsidR="00871566" w:rsidRPr="00871566">
        <w:rPr>
          <w:rFonts w:eastAsia="Times New Roman"/>
          <w:i/>
          <w:iCs/>
        </w:rPr>
        <w:t>E</w:t>
      </w:r>
      <w:r w:rsidR="00871566" w:rsidRPr="00871566">
        <w:rPr>
          <w:rFonts w:eastAsia="Times New Roman"/>
          <w:i/>
          <w:iCs/>
          <w:vertAlign w:val="subscript"/>
        </w:rPr>
        <w:t>h</w:t>
      </w:r>
      <w:r w:rsidR="00871566" w:rsidRPr="00871566">
        <w:rPr>
          <w:rFonts w:eastAsia="Times New Roman"/>
          <w:i/>
          <w:iCs/>
        </w:rPr>
        <w:t>, I</w:t>
      </w:r>
      <w:r w:rsidR="00871566" w:rsidRPr="00871566">
        <w:rPr>
          <w:rFonts w:eastAsia="Times New Roman"/>
          <w:i/>
          <w:iCs/>
          <w:vertAlign w:val="subscript"/>
        </w:rPr>
        <w:t>h</w:t>
      </w:r>
      <w:r w:rsidR="00871566" w:rsidRPr="00871566">
        <w:rPr>
          <w:rFonts w:eastAsia="Times New Roman"/>
          <w:i/>
          <w:iCs/>
        </w:rPr>
        <w:t>, R</w:t>
      </w:r>
      <w:r w:rsidR="00871566" w:rsidRPr="00871566">
        <w:rPr>
          <w:rFonts w:eastAsia="Times New Roman"/>
          <w:i/>
          <w:iCs/>
          <w:vertAlign w:val="subscript"/>
        </w:rPr>
        <w:t>h</w:t>
      </w:r>
      <w:r w:rsidR="00871566" w:rsidRPr="00871566">
        <w:rPr>
          <w:rFonts w:eastAsia="Times New Roman"/>
          <w:i/>
          <w:iCs/>
        </w:rPr>
        <w:t>, M</w:t>
      </w:r>
      <w:r w:rsidR="00871566" w:rsidRPr="00871566">
        <w:rPr>
          <w:rFonts w:eastAsia="Times New Roman"/>
          <w:i/>
          <w:iCs/>
          <w:vertAlign w:val="subscript"/>
        </w:rPr>
        <w:t>es</w:t>
      </w:r>
      <w:r w:rsidR="00871566" w:rsidRPr="00871566">
        <w:rPr>
          <w:rFonts w:eastAsia="Times New Roman"/>
          <w:i/>
          <w:iCs/>
        </w:rPr>
        <w:t>, M</w:t>
      </w:r>
      <w:r w:rsidR="00871566" w:rsidRPr="00871566">
        <w:rPr>
          <w:rFonts w:eastAsia="Times New Roman"/>
          <w:i/>
          <w:iCs/>
          <w:vertAlign w:val="subscript"/>
        </w:rPr>
        <w:t>e</w:t>
      </w:r>
      <w:r w:rsidR="00871566">
        <w:rPr>
          <w:rFonts w:eastAsia="Times New Roman"/>
          <w:i/>
          <w:iCs/>
          <w:vertAlign w:val="subscript"/>
        </w:rPr>
        <w:t>e</w:t>
      </w:r>
      <w:r w:rsidR="00871566" w:rsidRPr="00871566">
        <w:rPr>
          <w:rFonts w:eastAsia="Times New Roman"/>
          <w:i/>
          <w:iCs/>
        </w:rPr>
        <w:t>, M</w:t>
      </w:r>
      <w:r w:rsidR="00871566" w:rsidRPr="00871566">
        <w:rPr>
          <w:rFonts w:eastAsia="Times New Roman"/>
          <w:i/>
          <w:iCs/>
          <w:vertAlign w:val="subscript"/>
        </w:rPr>
        <w:t>e</w:t>
      </w:r>
      <w:r w:rsidR="00871566">
        <w:rPr>
          <w:rFonts w:eastAsia="Times New Roman"/>
          <w:i/>
          <w:iCs/>
          <w:vertAlign w:val="subscript"/>
        </w:rPr>
        <w:t>i</w:t>
      </w:r>
      <w:r w:rsidR="00871566" w:rsidRPr="00871566">
        <w:rPr>
          <w:rFonts w:eastAsia="Times New Roman"/>
          <w:i/>
          <w:iCs/>
        </w:rPr>
        <w:t>, M</w:t>
      </w:r>
      <w:r w:rsidR="00871566" w:rsidRPr="00871566">
        <w:rPr>
          <w:rFonts w:eastAsia="Times New Roman"/>
          <w:i/>
          <w:iCs/>
          <w:vertAlign w:val="subscript"/>
        </w:rPr>
        <w:t>is</w:t>
      </w:r>
      <w:r w:rsidR="00871566">
        <w:rPr>
          <w:rFonts w:eastAsia="Times New Roman"/>
          <w:i/>
          <w:iCs/>
          <w:vertAlign w:val="subscript"/>
        </w:rPr>
        <w:t>,</w:t>
      </w:r>
      <w:r w:rsidR="00871566" w:rsidRPr="00871566">
        <w:rPr>
          <w:rFonts w:eastAsia="Times New Roman"/>
          <w:i/>
          <w:iCs/>
        </w:rPr>
        <w:t xml:space="preserve"> M</w:t>
      </w:r>
      <w:r w:rsidR="00871566" w:rsidRPr="00871566">
        <w:rPr>
          <w:rFonts w:eastAsia="Times New Roman"/>
          <w:i/>
          <w:iCs/>
          <w:vertAlign w:val="subscript"/>
        </w:rPr>
        <w:t>i</w:t>
      </w:r>
      <w:r w:rsidR="00871566">
        <w:rPr>
          <w:rFonts w:eastAsia="Times New Roman"/>
          <w:i/>
          <w:iCs/>
          <w:vertAlign w:val="subscript"/>
        </w:rPr>
        <w:t xml:space="preserve">e, </w:t>
      </w:r>
      <w:r w:rsidR="00871566" w:rsidRPr="00871566">
        <w:rPr>
          <w:rFonts w:eastAsia="Times New Roman"/>
          <w:i/>
          <w:iCs/>
        </w:rPr>
        <w:t>M</w:t>
      </w:r>
      <w:r w:rsidR="00871566" w:rsidRPr="00871566">
        <w:rPr>
          <w:rFonts w:eastAsia="Times New Roman"/>
          <w:i/>
          <w:iCs/>
          <w:vertAlign w:val="subscript"/>
        </w:rPr>
        <w:t>i</w:t>
      </w:r>
      <w:r w:rsidR="00871566">
        <w:rPr>
          <w:rFonts w:eastAsia="Times New Roman"/>
          <w:i/>
          <w:iCs/>
          <w:vertAlign w:val="subscript"/>
        </w:rPr>
        <w:t>i</w:t>
      </w:r>
      <w:r w:rsidR="00871566">
        <w:rPr>
          <w:rFonts w:eastAsia="Times New Roman"/>
        </w:rPr>
        <w:t>)</w:t>
      </w:r>
      <w:r w:rsidRPr="005932D7">
        <w:rPr>
          <w:rFonts w:eastAsia="Times New Roman"/>
        </w:rPr>
        <w:t>:</w:t>
      </w:r>
    </w:p>
    <w:p w:rsidR="000A4336" w:rsidRPr="005932D7" w:rsidRDefault="000A4336" w:rsidP="008F7D66">
      <w:pPr>
        <w:spacing w:line="240" w:lineRule="auto"/>
        <w:rPr>
          <w:rFonts w:eastAsia="Times New Roman"/>
        </w:rPr>
      </w:pPr>
    </w:p>
    <w:p w:rsidR="008F7D66" w:rsidRDefault="008F7D66" w:rsidP="008F7D66">
      <w:pPr>
        <w:spacing w:line="240" w:lineRule="auto"/>
        <w:jc w:val="center"/>
        <w:rPr>
          <w:rFonts w:eastAsia="Times New Roman"/>
          <w:sz w:val="14"/>
          <w:szCs w:val="18"/>
        </w:rPr>
      </w:pPr>
      <w:r w:rsidRPr="003F4918">
        <w:rPr>
          <w:rFonts w:eastAsia="Times New Roman"/>
          <w:position w:val="-4"/>
          <w:sz w:val="14"/>
          <w:szCs w:val="18"/>
        </w:rPr>
        <w:object w:dxaOrig="180" w:dyaOrig="279">
          <v:shape id="_x0000_i1038" type="#_x0000_t75" style="width:8.75pt;height:13.75pt" o:ole="">
            <v:imagedata r:id="rId37" o:title=""/>
          </v:shape>
          <o:OLEObject Type="Embed" ProgID="Equation.DSMT4" ShapeID="_x0000_i1038" DrawAspect="Content" ObjectID="_1467634613" r:id="rId38"/>
        </w:object>
      </w:r>
      <w:r w:rsidRPr="00C87BAC">
        <w:rPr>
          <w:rFonts w:eastAsia="Times New Roman"/>
          <w:position w:val="-212"/>
          <w:sz w:val="14"/>
          <w:szCs w:val="18"/>
        </w:rPr>
        <w:object w:dxaOrig="4120" w:dyaOrig="4360">
          <v:shape id="_x0000_i1039" type="#_x0000_t75" style="width:206.6pt;height:217.9pt" o:ole="">
            <v:imagedata r:id="rId39" o:title=""/>
          </v:shape>
          <o:OLEObject Type="Embed" ProgID="Equation.DSMT4" ShapeID="_x0000_i1039" DrawAspect="Content" ObjectID="_1467634614" r:id="rId40"/>
        </w:object>
      </w:r>
    </w:p>
    <w:p w:rsidR="000A4336" w:rsidRPr="005932D7" w:rsidRDefault="000A4336" w:rsidP="008F7D66">
      <w:pPr>
        <w:spacing w:line="240" w:lineRule="auto"/>
        <w:jc w:val="center"/>
        <w:rPr>
          <w:rFonts w:eastAsia="Times New Roman"/>
          <w:sz w:val="14"/>
          <w:szCs w:val="18"/>
        </w:rPr>
      </w:pPr>
    </w:p>
    <w:p w:rsidR="008F7D66" w:rsidRDefault="008F7D66" w:rsidP="008F7D66">
      <w:pPr>
        <w:spacing w:line="240" w:lineRule="auto"/>
      </w:pPr>
      <w:r w:rsidRPr="00B16824">
        <w:rPr>
          <w:position w:val="-156"/>
        </w:rPr>
        <w:object w:dxaOrig="9820" w:dyaOrig="3240">
          <v:shape id="_x0000_i1040" type="#_x0000_t75" style="width:491.5pt;height:161.55pt" o:ole="">
            <v:imagedata r:id="rId41" o:title=""/>
          </v:shape>
          <o:OLEObject Type="Embed" ProgID="Equation.DSMT4" ShapeID="_x0000_i1040" DrawAspect="Content" ObjectID="_1467634615" r:id="rId42"/>
        </w:object>
      </w:r>
    </w:p>
    <w:p w:rsidR="000A4336" w:rsidRDefault="000A4336" w:rsidP="008F7D66">
      <w:pPr>
        <w:spacing w:line="240" w:lineRule="auto"/>
      </w:pPr>
    </w:p>
    <w:p w:rsidR="008F7D66" w:rsidRPr="005932D7" w:rsidRDefault="008F7D66" w:rsidP="008F7D66">
      <w:pPr>
        <w:spacing w:line="240" w:lineRule="auto"/>
        <w:jc w:val="center"/>
        <w:rPr>
          <w:rFonts w:eastAsia="Times New Roman"/>
          <w:sz w:val="14"/>
        </w:rPr>
      </w:pPr>
      <w:r w:rsidRPr="00A35907">
        <w:rPr>
          <w:rFonts w:eastAsia="Times New Roman"/>
          <w:position w:val="-156"/>
          <w:sz w:val="14"/>
        </w:rPr>
        <w:object w:dxaOrig="1800" w:dyaOrig="3240">
          <v:shape id="_x0000_i1041" type="#_x0000_t75" style="width:89.55pt;height:161.55pt" o:ole="">
            <v:imagedata r:id="rId43" o:title=""/>
          </v:shape>
          <o:OLEObject Type="Embed" ProgID="Equation.DSMT4" ShapeID="_x0000_i1041" DrawAspect="Content" ObjectID="_1467634616" r:id="rId44"/>
        </w:object>
      </w:r>
    </w:p>
    <w:p w:rsidR="000A4336" w:rsidRDefault="000A4336" w:rsidP="008F7D66">
      <w:pPr>
        <w:spacing w:line="240" w:lineRule="auto"/>
        <w:rPr>
          <w:rFonts w:eastAsia="Times New Roman"/>
        </w:rPr>
      </w:pPr>
    </w:p>
    <w:p w:rsidR="008F7D66" w:rsidRDefault="008F7D66" w:rsidP="008F7D66">
      <w:pPr>
        <w:spacing w:line="240" w:lineRule="auto"/>
        <w:rPr>
          <w:rFonts w:eastAsia="Times New Roman"/>
          <w:noProof/>
          <w:lang w:eastAsia="en-GB"/>
        </w:rPr>
      </w:pPr>
      <w:r w:rsidRPr="005932D7">
        <w:rPr>
          <w:rFonts w:eastAsia="Times New Roman"/>
        </w:rPr>
        <w:t>K is then given by –E’T Σ</w:t>
      </w:r>
      <w:r w:rsidRPr="005932D7">
        <w:rPr>
          <w:rFonts w:eastAsia="Times New Roman"/>
          <w:vertAlign w:val="superscript"/>
        </w:rPr>
        <w:t>-1</w:t>
      </w:r>
      <w:r w:rsidRPr="005932D7">
        <w:rPr>
          <w:rFonts w:eastAsia="Times New Roman"/>
        </w:rPr>
        <w:t>E and R</w:t>
      </w:r>
      <w:r w:rsidRPr="005932D7">
        <w:rPr>
          <w:rFonts w:eastAsia="Times New Roman"/>
          <w:vertAlign w:val="subscript"/>
        </w:rPr>
        <w:t>0</w:t>
      </w:r>
      <w:r w:rsidRPr="005932D7">
        <w:rPr>
          <w:rFonts w:eastAsia="Times New Roman"/>
        </w:rPr>
        <w:t xml:space="preserve"> = ρ(K)</w:t>
      </w:r>
      <w:r w:rsidRPr="005932D7">
        <w:rPr>
          <w:rFonts w:eastAsia="Times New Roman"/>
          <w:vertAlign w:val="superscript"/>
        </w:rPr>
        <w:t>2</w:t>
      </w:r>
      <w:r w:rsidRPr="005932D7">
        <w:rPr>
          <w:rFonts w:eastAsia="Times New Roman"/>
        </w:rPr>
        <w:t xml:space="preserve">, the spectral radius or dominant eigenvalue of the next generation matrix (squared to reflect the increase from human-human) which becomes an unwieldy expression and is not reproduced here. </w:t>
      </w:r>
      <w:r w:rsidRPr="005932D7">
        <w:rPr>
          <w:rFonts w:eastAsia="Times New Roman"/>
          <w:noProof/>
          <w:lang w:eastAsia="en-GB"/>
        </w:rPr>
        <w:t>In the absence of μ</w:t>
      </w:r>
      <w:r w:rsidRPr="005932D7">
        <w:rPr>
          <w:rFonts w:eastAsia="Times New Roman"/>
          <w:noProof/>
          <w:vertAlign w:val="subscript"/>
          <w:lang w:eastAsia="en-GB"/>
        </w:rPr>
        <w:t>e</w:t>
      </w:r>
      <w:r w:rsidRPr="005932D7">
        <w:rPr>
          <w:rFonts w:eastAsia="Times New Roman"/>
          <w:noProof/>
          <w:lang w:eastAsia="en-GB"/>
        </w:rPr>
        <w:t xml:space="preserve">, i.e., mortality due to </w:t>
      </w:r>
      <w:r w:rsidRPr="005932D7">
        <w:rPr>
          <w:rFonts w:eastAsia="Times New Roman"/>
          <w:i/>
          <w:noProof/>
          <w:lang w:eastAsia="en-GB"/>
        </w:rPr>
        <w:t>W. bancrofti</w:t>
      </w:r>
      <w:r w:rsidRPr="005932D7">
        <w:rPr>
          <w:rFonts w:eastAsia="Times New Roman"/>
          <w:noProof/>
          <w:lang w:eastAsia="en-GB"/>
        </w:rPr>
        <w:t xml:space="preserve"> infection, the expression simplifies to:</w:t>
      </w:r>
    </w:p>
    <w:tbl>
      <w:tblPr>
        <w:tblStyle w:val="TableGrid"/>
        <w:tblW w:w="5000" w:type="pct"/>
        <w:tblLook w:val="04A0" w:firstRow="1" w:lastRow="0" w:firstColumn="1" w:lastColumn="0" w:noHBand="0" w:noVBand="1"/>
      </w:tblPr>
      <w:tblGrid>
        <w:gridCol w:w="1393"/>
        <w:gridCol w:w="6502"/>
        <w:gridCol w:w="1393"/>
      </w:tblGrid>
      <w:tr w:rsidR="001E04C3" w:rsidTr="00BC2406">
        <w:tc>
          <w:tcPr>
            <w:tcW w:w="750" w:type="pct"/>
            <w:tcBorders>
              <w:top w:val="nil"/>
              <w:left w:val="nil"/>
              <w:bottom w:val="nil"/>
              <w:right w:val="nil"/>
            </w:tcBorders>
            <w:vAlign w:val="center"/>
          </w:tcPr>
          <w:p w:rsidR="001E04C3" w:rsidRDefault="001E04C3" w:rsidP="00BC2406">
            <w:pPr>
              <w:autoSpaceDE w:val="0"/>
              <w:autoSpaceDN w:val="0"/>
              <w:adjustRightInd w:val="0"/>
            </w:pPr>
          </w:p>
        </w:tc>
        <w:tc>
          <w:tcPr>
            <w:tcW w:w="3500" w:type="pct"/>
            <w:tcBorders>
              <w:top w:val="nil"/>
              <w:left w:val="nil"/>
              <w:bottom w:val="nil"/>
              <w:right w:val="nil"/>
            </w:tcBorders>
            <w:vAlign w:val="center"/>
          </w:tcPr>
          <w:p w:rsidR="001E04C3" w:rsidRDefault="001E04C3" w:rsidP="00BC2406">
            <w:pPr>
              <w:autoSpaceDE w:val="0"/>
              <w:autoSpaceDN w:val="0"/>
              <w:adjustRightInd w:val="0"/>
              <w:jc w:val="center"/>
            </w:pPr>
            <w:r w:rsidRPr="00A35907">
              <w:rPr>
                <w:rFonts w:eastAsia="Times New Roman"/>
                <w:position w:val="-30"/>
              </w:rPr>
              <w:object w:dxaOrig="5580" w:dyaOrig="740">
                <v:shape id="_x0000_i1042" type="#_x0000_t75" style="width:279.25pt;height:36.95pt" o:ole="">
                  <v:imagedata r:id="rId45" o:title=""/>
                </v:shape>
                <o:OLEObject Type="Embed" ProgID="Equation.DSMT4" ShapeID="_x0000_i1042" DrawAspect="Content" ObjectID="_1467634617" r:id="rId46"/>
              </w:object>
            </w:r>
          </w:p>
        </w:tc>
        <w:tc>
          <w:tcPr>
            <w:tcW w:w="750" w:type="pct"/>
            <w:tcBorders>
              <w:top w:val="nil"/>
              <w:left w:val="nil"/>
              <w:bottom w:val="nil"/>
              <w:right w:val="nil"/>
            </w:tcBorders>
            <w:vAlign w:val="center"/>
          </w:tcPr>
          <w:p w:rsidR="001E04C3" w:rsidRDefault="001E04C3" w:rsidP="001E04C3">
            <w:pPr>
              <w:autoSpaceDE w:val="0"/>
              <w:autoSpaceDN w:val="0"/>
              <w:adjustRightInd w:val="0"/>
              <w:jc w:val="center"/>
            </w:pPr>
            <w:r>
              <w:t>(S4.3)</w:t>
            </w:r>
          </w:p>
        </w:tc>
      </w:tr>
    </w:tbl>
    <w:p w:rsidR="000A4336" w:rsidRPr="005932D7" w:rsidRDefault="000A4336" w:rsidP="008F7D66">
      <w:pPr>
        <w:spacing w:line="240" w:lineRule="auto"/>
        <w:rPr>
          <w:rFonts w:eastAsia="Times New Roman"/>
          <w:noProof/>
          <w:lang w:eastAsia="en-GB"/>
        </w:rPr>
      </w:pPr>
    </w:p>
    <w:p w:rsidR="008F7D66" w:rsidRPr="005932D7" w:rsidRDefault="008F7D66" w:rsidP="008F7D66">
      <w:pPr>
        <w:spacing w:line="240" w:lineRule="auto"/>
        <w:rPr>
          <w:rFonts w:eastAsia="Times New Roman"/>
          <w:iCs/>
          <w:noProof/>
          <w:lang w:eastAsia="en-GB"/>
        </w:rPr>
      </w:pPr>
      <w:r w:rsidRPr="005932D7">
        <w:rPr>
          <w:rFonts w:eastAsia="Times New Roman"/>
          <w:iCs/>
          <w:noProof/>
          <w:lang w:eastAsia="en-GB"/>
        </w:rPr>
        <w:t>Although we do not have explicit expressions for the equilibrum values of the proportions of mosquitoes that are susceptible, exposed and infectious with LF (</w:t>
      </w:r>
      <w:r w:rsidRPr="00A40FC5">
        <w:rPr>
          <w:rFonts w:eastAsia="Times New Roman"/>
          <w:iCs/>
          <w:noProof/>
          <w:position w:val="-12"/>
          <w:lang w:eastAsia="en-GB"/>
        </w:rPr>
        <w:object w:dxaOrig="380" w:dyaOrig="380">
          <v:shape id="_x0000_i1043" type="#_x0000_t75" style="width:18.8pt;height:18.8pt" o:ole="">
            <v:imagedata r:id="rId47" o:title=""/>
          </v:shape>
          <o:OLEObject Type="Embed" ProgID="Equation.DSMT4" ShapeID="_x0000_i1043" DrawAspect="Content" ObjectID="_1467634618" r:id="rId48"/>
        </w:objec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ss</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 xml:space="preserve">, </w:t>
      </w:r>
      <w:r w:rsidRPr="00A40FC5">
        <w:rPr>
          <w:rFonts w:eastAsia="Times New Roman"/>
          <w:iCs/>
          <w:noProof/>
          <w:position w:val="-12"/>
          <w:lang w:eastAsia="en-GB"/>
        </w:rPr>
        <w:object w:dxaOrig="400" w:dyaOrig="380">
          <v:shape id="_x0000_i1044" type="#_x0000_t75" style="width:20.65pt;height:18.8pt" o:ole="">
            <v:imagedata r:id="rId49" o:title=""/>
          </v:shape>
          <o:OLEObject Type="Embed" ProgID="Equation.DSMT4" ShapeID="_x0000_i1044" DrawAspect="Content" ObjectID="_1467634619" r:id="rId50"/>
        </w:objec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se</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 xml:space="preserve">, and </w:t>
      </w:r>
      <w:r w:rsidRPr="00A40FC5">
        <w:rPr>
          <w:rFonts w:eastAsia="Times New Roman"/>
          <w:iCs/>
          <w:noProof/>
          <w:position w:val="-12"/>
          <w:lang w:eastAsia="en-GB"/>
        </w:rPr>
        <w:object w:dxaOrig="380" w:dyaOrig="380">
          <v:shape id="_x0000_i1045" type="#_x0000_t75" style="width:18.8pt;height:18.8pt" o:ole="">
            <v:imagedata r:id="rId51" o:title=""/>
          </v:shape>
          <o:OLEObject Type="Embed" ProgID="Equation.DSMT4" ShapeID="_x0000_i1045" DrawAspect="Content" ObjectID="_1467634620" r:id="rId52"/>
        </w:objec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si</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 xml:space="preserve">), we can evaluate them numerically to calculate </w:t>
      </w:r>
      <w:r w:rsidRPr="005932D7">
        <w:rPr>
          <w:rFonts w:eastAsia="Times New Roman"/>
          <w:i/>
          <w:noProof/>
          <w:lang w:eastAsia="en-GB"/>
        </w:rPr>
        <w:t>R</w:t>
      </w:r>
      <w:r w:rsidRPr="005932D7">
        <w:rPr>
          <w:rFonts w:eastAsia="Times New Roman"/>
          <w:i/>
          <w:noProof/>
          <w:vertAlign w:val="subscript"/>
          <w:lang w:eastAsia="en-GB"/>
        </w:rPr>
        <w:t xml:space="preserve">0,m </w:t>
      </w:r>
      <w:r w:rsidRPr="005932D7">
        <w:rPr>
          <w:rFonts w:eastAsia="Times New Roman"/>
          <w:iCs/>
          <w:noProof/>
          <w:lang w:eastAsia="en-GB"/>
        </w:rPr>
        <w:t xml:space="preserve">for particular sets of parameter values. </w:t>
      </w:r>
    </w:p>
    <w:p w:rsidR="008F7D66" w:rsidRPr="005932D7" w:rsidRDefault="008F7D66" w:rsidP="008F7D66">
      <w:pPr>
        <w:spacing w:line="240" w:lineRule="auto"/>
        <w:rPr>
          <w:rFonts w:eastAsia="Times New Roman"/>
          <w:i/>
        </w:rPr>
      </w:pPr>
    </w:p>
    <w:p w:rsidR="008F7D66" w:rsidRDefault="008F7D66" w:rsidP="008F7D66">
      <w:pPr>
        <w:spacing w:line="240" w:lineRule="auto"/>
        <w:rPr>
          <w:rFonts w:eastAsia="Times New Roman"/>
          <w:i/>
        </w:rPr>
      </w:pPr>
      <w:r w:rsidRPr="005932D7">
        <w:rPr>
          <w:rFonts w:eastAsia="Times New Roman"/>
          <w:i/>
        </w:rPr>
        <w:t>R</w:t>
      </w:r>
      <w:r w:rsidRPr="005932D7">
        <w:rPr>
          <w:rFonts w:eastAsia="Times New Roman"/>
          <w:i/>
          <w:vertAlign w:val="subscript"/>
        </w:rPr>
        <w:t>0</w:t>
      </w:r>
      <w:r w:rsidRPr="005932D7">
        <w:rPr>
          <w:rFonts w:eastAsia="Times New Roman"/>
          <w:i/>
        </w:rPr>
        <w:t xml:space="preserve"> for lymphatic filariasis in the presence of malaria:</w:t>
      </w:r>
    </w:p>
    <w:p w:rsidR="00D23D51" w:rsidRDefault="00D23D51" w:rsidP="00D23D51">
      <w:pPr>
        <w:spacing w:line="240" w:lineRule="auto"/>
        <w:rPr>
          <w:rFonts w:eastAsia="Times New Roman"/>
        </w:rPr>
      </w:pPr>
      <w:r w:rsidRPr="005932D7">
        <w:rPr>
          <w:rFonts w:eastAsia="Times New Roman"/>
        </w:rPr>
        <w:t>We use the same approach for the full model</w:t>
      </w:r>
      <w:r>
        <w:rPr>
          <w:rFonts w:eastAsia="Times New Roman"/>
        </w:rPr>
        <w:t xml:space="preserve"> with infection subsystem </w:t>
      </w:r>
      <w:r w:rsidR="00C470E6">
        <w:rPr>
          <w:rFonts w:eastAsia="Times New Roman"/>
        </w:rPr>
        <w:t>(</w:t>
      </w:r>
      <w:r w:rsidR="00C470E6" w:rsidRPr="00871566">
        <w:rPr>
          <w:rFonts w:eastAsia="Times New Roman"/>
          <w:i/>
          <w:iCs/>
        </w:rPr>
        <w:t>W,F, M</w:t>
      </w:r>
      <w:r w:rsidR="00C470E6" w:rsidRPr="00871566">
        <w:rPr>
          <w:rFonts w:eastAsia="Times New Roman"/>
          <w:i/>
          <w:iCs/>
          <w:vertAlign w:val="subscript"/>
        </w:rPr>
        <w:t>se</w:t>
      </w:r>
      <w:r w:rsidR="00C470E6" w:rsidRPr="00871566">
        <w:rPr>
          <w:rFonts w:eastAsia="Times New Roman"/>
          <w:i/>
          <w:iCs/>
        </w:rPr>
        <w:t>,</w:t>
      </w:r>
      <w:r w:rsidR="00C470E6">
        <w:rPr>
          <w:rFonts w:eastAsia="Times New Roman"/>
          <w:i/>
          <w:iCs/>
        </w:rPr>
        <w:t xml:space="preserve"> </w:t>
      </w:r>
      <w:r w:rsidR="00C470E6" w:rsidRPr="00871566">
        <w:rPr>
          <w:rFonts w:eastAsia="Times New Roman"/>
          <w:i/>
          <w:iCs/>
        </w:rPr>
        <w:t>M</w:t>
      </w:r>
      <w:r w:rsidR="00C470E6">
        <w:rPr>
          <w:rFonts w:eastAsia="Times New Roman"/>
          <w:i/>
          <w:iCs/>
          <w:vertAlign w:val="subscript"/>
        </w:rPr>
        <w:t>e</w:t>
      </w:r>
      <w:r w:rsidR="00C470E6" w:rsidRPr="00871566">
        <w:rPr>
          <w:rFonts w:eastAsia="Times New Roman"/>
          <w:i/>
          <w:iCs/>
          <w:vertAlign w:val="subscript"/>
        </w:rPr>
        <w:t>e</w:t>
      </w:r>
      <w:r w:rsidR="00C470E6" w:rsidRPr="00871566">
        <w:rPr>
          <w:rFonts w:eastAsia="Times New Roman"/>
          <w:i/>
          <w:iCs/>
        </w:rPr>
        <w:t>,</w:t>
      </w:r>
      <w:r w:rsidR="00C470E6" w:rsidRPr="00C470E6">
        <w:rPr>
          <w:rFonts w:eastAsia="Times New Roman"/>
          <w:i/>
          <w:iCs/>
        </w:rPr>
        <w:t xml:space="preserve"> </w:t>
      </w:r>
      <w:r w:rsidR="00C470E6" w:rsidRPr="00871566">
        <w:rPr>
          <w:rFonts w:eastAsia="Times New Roman"/>
          <w:i/>
          <w:iCs/>
        </w:rPr>
        <w:t>M</w:t>
      </w:r>
      <w:r w:rsidR="00C470E6">
        <w:rPr>
          <w:rFonts w:eastAsia="Times New Roman"/>
          <w:i/>
          <w:iCs/>
          <w:vertAlign w:val="subscript"/>
        </w:rPr>
        <w:t>i</w:t>
      </w:r>
      <w:r w:rsidR="00C470E6" w:rsidRPr="00871566">
        <w:rPr>
          <w:rFonts w:eastAsia="Times New Roman"/>
          <w:i/>
          <w:iCs/>
          <w:vertAlign w:val="subscript"/>
        </w:rPr>
        <w:t>e</w:t>
      </w:r>
      <w:r w:rsidR="00C470E6" w:rsidRPr="00871566">
        <w:rPr>
          <w:rFonts w:eastAsia="Times New Roman"/>
          <w:i/>
          <w:iCs/>
        </w:rPr>
        <w:t>, M</w:t>
      </w:r>
      <w:r w:rsidR="00C470E6" w:rsidRPr="00871566">
        <w:rPr>
          <w:rFonts w:eastAsia="Times New Roman"/>
          <w:i/>
          <w:iCs/>
          <w:vertAlign w:val="subscript"/>
        </w:rPr>
        <w:t>si</w:t>
      </w:r>
      <w:r w:rsidR="00C470E6">
        <w:rPr>
          <w:rFonts w:eastAsia="Times New Roman"/>
          <w:i/>
          <w:iCs/>
        </w:rPr>
        <w:t xml:space="preserve">, </w:t>
      </w:r>
      <w:r w:rsidR="00C470E6" w:rsidRPr="00871566">
        <w:rPr>
          <w:rFonts w:eastAsia="Times New Roman"/>
          <w:i/>
          <w:iCs/>
        </w:rPr>
        <w:t>M</w:t>
      </w:r>
      <w:r w:rsidR="00C470E6">
        <w:rPr>
          <w:rFonts w:eastAsia="Times New Roman"/>
          <w:i/>
          <w:iCs/>
          <w:vertAlign w:val="subscript"/>
        </w:rPr>
        <w:t>e</w:t>
      </w:r>
      <w:r w:rsidR="00C470E6" w:rsidRPr="00871566">
        <w:rPr>
          <w:rFonts w:eastAsia="Times New Roman"/>
          <w:i/>
          <w:iCs/>
          <w:vertAlign w:val="subscript"/>
        </w:rPr>
        <w:t>i</w:t>
      </w:r>
      <w:r w:rsidR="00C470E6">
        <w:rPr>
          <w:rFonts w:eastAsia="Times New Roman"/>
          <w:i/>
          <w:iCs/>
        </w:rPr>
        <w:t xml:space="preserve">, </w:t>
      </w:r>
      <w:r w:rsidR="00C470E6" w:rsidRPr="00871566">
        <w:rPr>
          <w:rFonts w:eastAsia="Times New Roman"/>
          <w:i/>
          <w:iCs/>
        </w:rPr>
        <w:t>M</w:t>
      </w:r>
      <w:r w:rsidR="00C470E6">
        <w:rPr>
          <w:rFonts w:eastAsia="Times New Roman"/>
          <w:i/>
          <w:iCs/>
          <w:vertAlign w:val="subscript"/>
        </w:rPr>
        <w:t>i</w:t>
      </w:r>
      <w:r w:rsidR="00C470E6" w:rsidRPr="00871566">
        <w:rPr>
          <w:rFonts w:eastAsia="Times New Roman"/>
          <w:i/>
          <w:iCs/>
          <w:vertAlign w:val="subscript"/>
        </w:rPr>
        <w:t>i</w:t>
      </w:r>
      <w:r w:rsidR="00C470E6">
        <w:rPr>
          <w:rFonts w:eastAsia="Times New Roman"/>
        </w:rPr>
        <w:t>)</w:t>
      </w:r>
      <w:r w:rsidRPr="005932D7">
        <w:rPr>
          <w:rFonts w:eastAsia="Times New Roman"/>
        </w:rPr>
        <w:t>:</w:t>
      </w:r>
    </w:p>
    <w:p w:rsidR="00D23D51" w:rsidRDefault="00D23D51" w:rsidP="008F7D66">
      <w:pPr>
        <w:spacing w:line="240" w:lineRule="auto"/>
        <w:rPr>
          <w:rFonts w:eastAsia="Times New Roman"/>
          <w:i/>
        </w:rPr>
      </w:pPr>
    </w:p>
    <w:p w:rsidR="00D23D51" w:rsidRDefault="00D23D51" w:rsidP="008F7D66">
      <w:pPr>
        <w:spacing w:line="240" w:lineRule="auto"/>
        <w:rPr>
          <w:rFonts w:eastAsia="Times New Roman"/>
          <w:i/>
        </w:rPr>
      </w:pPr>
    </w:p>
    <w:p w:rsidR="000A4336" w:rsidRPr="005932D7" w:rsidRDefault="000A4336" w:rsidP="008F7D66">
      <w:pPr>
        <w:spacing w:line="240" w:lineRule="auto"/>
        <w:rPr>
          <w:rFonts w:eastAsia="Times New Roman"/>
          <w:i/>
        </w:rPr>
      </w:pPr>
    </w:p>
    <w:p w:rsidR="008F7D66" w:rsidRPr="005932D7" w:rsidRDefault="008F7D66" w:rsidP="008F7D66">
      <w:pPr>
        <w:spacing w:line="240" w:lineRule="auto"/>
        <w:jc w:val="center"/>
        <w:rPr>
          <w:rFonts w:eastAsia="Times New Roman"/>
          <w:sz w:val="18"/>
          <w:szCs w:val="18"/>
        </w:rPr>
      </w:pPr>
      <w:r w:rsidRPr="002D3B7A">
        <w:rPr>
          <w:rFonts w:eastAsia="Times New Roman"/>
          <w:position w:val="-222"/>
          <w:sz w:val="18"/>
          <w:szCs w:val="18"/>
        </w:rPr>
        <w:object w:dxaOrig="6240" w:dyaOrig="4560">
          <v:shape id="_x0000_i1046" type="#_x0000_t75" style="width:312.4pt;height:227.9pt" o:ole="">
            <v:imagedata r:id="rId53" o:title=""/>
          </v:shape>
          <o:OLEObject Type="Embed" ProgID="Equation.DSMT4" ShapeID="_x0000_i1046" DrawAspect="Content" ObjectID="_1467634621" r:id="rId54"/>
        </w:object>
      </w:r>
    </w:p>
    <w:p w:rsidR="008F7D66" w:rsidRPr="005932D7" w:rsidRDefault="008F7D66" w:rsidP="008F7D66">
      <w:pPr>
        <w:spacing w:line="240" w:lineRule="auto"/>
        <w:jc w:val="center"/>
        <w:rPr>
          <w:rFonts w:eastAsia="Times New Roman"/>
          <w:sz w:val="16"/>
          <w:szCs w:val="20"/>
        </w:rPr>
      </w:pPr>
      <w:r w:rsidRPr="0002617C">
        <w:rPr>
          <w:rFonts w:eastAsia="Times New Roman"/>
          <w:position w:val="-208"/>
          <w:sz w:val="16"/>
          <w:szCs w:val="20"/>
        </w:rPr>
        <w:object w:dxaOrig="9999" w:dyaOrig="4280">
          <v:shape id="_x0000_i1047" type="#_x0000_t75" style="width:500.25pt;height:214.1pt" o:ole="">
            <v:imagedata r:id="rId55" o:title=""/>
          </v:shape>
          <o:OLEObject Type="Embed" ProgID="Equation.DSMT4" ShapeID="_x0000_i1047" DrawAspect="Content" ObjectID="_1467634622" r:id="rId56"/>
        </w:object>
      </w:r>
    </w:p>
    <w:p w:rsidR="000A4336" w:rsidRDefault="000A4336" w:rsidP="008F7D66">
      <w:pPr>
        <w:spacing w:line="240" w:lineRule="auto"/>
        <w:rPr>
          <w:rFonts w:eastAsia="Times New Roman"/>
        </w:rPr>
      </w:pPr>
    </w:p>
    <w:p w:rsidR="008F7D66" w:rsidRPr="005932D7" w:rsidRDefault="008F7D66" w:rsidP="008F7D66">
      <w:pPr>
        <w:spacing w:line="240" w:lineRule="auto"/>
        <w:rPr>
          <w:rFonts w:eastAsia="Times New Roman"/>
        </w:rPr>
      </w:pPr>
      <w:r w:rsidRPr="005932D7">
        <w:rPr>
          <w:rFonts w:eastAsia="Times New Roman"/>
        </w:rPr>
        <w:t xml:space="preserve">In the absence of </w:t>
      </w:r>
      <w:r w:rsidRPr="005932D7">
        <w:rPr>
          <w:rFonts w:eastAsia="Times New Roman"/>
          <w:i/>
        </w:rPr>
        <w:t>Plasmodium</w:t>
      </w:r>
      <w:r w:rsidRPr="005932D7">
        <w:rPr>
          <w:rFonts w:eastAsia="Times New Roman"/>
        </w:rPr>
        <w:t>-induced vector mortality R</w:t>
      </w:r>
      <w:r w:rsidRPr="005932D7">
        <w:rPr>
          <w:rFonts w:eastAsia="Times New Roman"/>
          <w:vertAlign w:val="subscript"/>
        </w:rPr>
        <w:t>0</w:t>
      </w:r>
      <w:r w:rsidRPr="005932D7">
        <w:rPr>
          <w:rFonts w:eastAsia="Times New Roman"/>
        </w:rPr>
        <w:t xml:space="preserve"> then becomes:</w:t>
      </w:r>
    </w:p>
    <w:tbl>
      <w:tblPr>
        <w:tblStyle w:val="TableGrid"/>
        <w:tblW w:w="5000" w:type="pct"/>
        <w:tblLook w:val="04A0" w:firstRow="1" w:lastRow="0" w:firstColumn="1" w:lastColumn="0" w:noHBand="0" w:noVBand="1"/>
      </w:tblPr>
      <w:tblGrid>
        <w:gridCol w:w="1393"/>
        <w:gridCol w:w="6502"/>
        <w:gridCol w:w="1393"/>
      </w:tblGrid>
      <w:tr w:rsidR="001E04C3" w:rsidTr="00BC2406">
        <w:tc>
          <w:tcPr>
            <w:tcW w:w="750" w:type="pct"/>
            <w:tcBorders>
              <w:top w:val="nil"/>
              <w:left w:val="nil"/>
              <w:bottom w:val="nil"/>
              <w:right w:val="nil"/>
            </w:tcBorders>
            <w:vAlign w:val="center"/>
          </w:tcPr>
          <w:p w:rsidR="001E04C3" w:rsidRDefault="001E04C3" w:rsidP="00BC2406">
            <w:pPr>
              <w:autoSpaceDE w:val="0"/>
              <w:autoSpaceDN w:val="0"/>
              <w:adjustRightInd w:val="0"/>
            </w:pPr>
          </w:p>
        </w:tc>
        <w:tc>
          <w:tcPr>
            <w:tcW w:w="3500" w:type="pct"/>
            <w:tcBorders>
              <w:top w:val="nil"/>
              <w:left w:val="nil"/>
              <w:bottom w:val="nil"/>
              <w:right w:val="nil"/>
            </w:tcBorders>
            <w:vAlign w:val="center"/>
          </w:tcPr>
          <w:p w:rsidR="001E04C3" w:rsidRDefault="001E04C3" w:rsidP="00BC2406">
            <w:pPr>
              <w:autoSpaceDE w:val="0"/>
              <w:autoSpaceDN w:val="0"/>
              <w:adjustRightInd w:val="0"/>
              <w:jc w:val="center"/>
            </w:pPr>
            <w:r w:rsidRPr="008F459D">
              <w:rPr>
                <w:rFonts w:eastAsia="Times New Roman"/>
                <w:position w:val="-32"/>
              </w:rPr>
              <w:object w:dxaOrig="4599" w:dyaOrig="820">
                <v:shape id="_x0000_i1048" type="#_x0000_t75" style="width:229.75pt;height:41.3pt" o:ole="">
                  <v:imagedata r:id="rId57" o:title=""/>
                </v:shape>
                <o:OLEObject Type="Embed" ProgID="Equation.DSMT4" ShapeID="_x0000_i1048" DrawAspect="Content" ObjectID="_1467634623" r:id="rId58"/>
              </w:object>
            </w:r>
          </w:p>
        </w:tc>
        <w:tc>
          <w:tcPr>
            <w:tcW w:w="750" w:type="pct"/>
            <w:tcBorders>
              <w:top w:val="nil"/>
              <w:left w:val="nil"/>
              <w:bottom w:val="nil"/>
              <w:right w:val="nil"/>
            </w:tcBorders>
            <w:vAlign w:val="center"/>
          </w:tcPr>
          <w:p w:rsidR="001E04C3" w:rsidRDefault="001E04C3" w:rsidP="001E04C3">
            <w:pPr>
              <w:autoSpaceDE w:val="0"/>
              <w:autoSpaceDN w:val="0"/>
              <w:adjustRightInd w:val="0"/>
              <w:jc w:val="center"/>
            </w:pPr>
            <w:r>
              <w:t>(S4.4)</w:t>
            </w:r>
          </w:p>
        </w:tc>
      </w:tr>
    </w:tbl>
    <w:p w:rsidR="000A4336" w:rsidRDefault="000A4336" w:rsidP="008F7D66">
      <w:pPr>
        <w:spacing w:line="240" w:lineRule="auto"/>
        <w:rPr>
          <w:rFonts w:eastAsia="Times New Roman"/>
        </w:rPr>
      </w:pPr>
    </w:p>
    <w:p w:rsidR="008F7D66" w:rsidRPr="005932D7" w:rsidRDefault="008F7D66" w:rsidP="008F7D66">
      <w:pPr>
        <w:spacing w:line="240" w:lineRule="auto"/>
        <w:rPr>
          <w:rFonts w:eastAsia="Times New Roman"/>
          <w:iCs/>
          <w:noProof/>
          <w:lang w:eastAsia="en-GB"/>
        </w:rPr>
      </w:pPr>
      <w:r w:rsidRPr="005932D7">
        <w:rPr>
          <w:rFonts w:eastAsia="Times New Roman"/>
        </w:rPr>
        <w:t>which is similar to the expression of R</w:t>
      </w:r>
      <w:r w:rsidRPr="005932D7">
        <w:rPr>
          <w:rFonts w:eastAsia="Times New Roman"/>
          <w:vertAlign w:val="subscript"/>
        </w:rPr>
        <w:t>0</w:t>
      </w:r>
      <w:r w:rsidRPr="005932D7">
        <w:rPr>
          <w:rFonts w:eastAsia="Times New Roman"/>
        </w:rPr>
        <w:t xml:space="preserve"> in the absence of malaria</w:t>
      </w:r>
      <w:r w:rsidR="00657DA8">
        <w:rPr>
          <w:rFonts w:eastAsia="Times New Roman"/>
        </w:rPr>
        <w:t>, S4.2</w:t>
      </w:r>
      <w:r w:rsidRPr="005932D7">
        <w:rPr>
          <w:rFonts w:eastAsia="Times New Roman"/>
        </w:rPr>
        <w:t xml:space="preserve">. With mortality included, the expression likewise becomes unwieldy. </w:t>
      </w:r>
      <w:r w:rsidRPr="005932D7">
        <w:rPr>
          <w:rFonts w:eastAsia="Times New Roman"/>
          <w:iCs/>
          <w:noProof/>
          <w:lang w:eastAsia="en-GB"/>
        </w:rPr>
        <w:t>Similar to the basic reproductive number for malaria, although we do not have explicit expressions for the equilibrum values of the proportions of mosquitoes that are susceptible, exposed and infectious with malaria  (</w:t>
      </w:r>
      <w:r w:rsidRPr="00F068EB">
        <w:rPr>
          <w:rFonts w:eastAsia="Times New Roman"/>
          <w:iCs/>
          <w:noProof/>
          <w:position w:val="-12"/>
          <w:lang w:eastAsia="en-GB"/>
        </w:rPr>
        <w:object w:dxaOrig="380" w:dyaOrig="380">
          <v:shape id="_x0000_i1049" type="#_x0000_t75" style="width:18.8pt;height:18.8pt" o:ole="">
            <v:imagedata r:id="rId59" o:title=""/>
          </v:shape>
          <o:OLEObject Type="Embed" ProgID="Equation.DSMT4" ShapeID="_x0000_i1049" DrawAspect="Content" ObjectID="_1467634624" r:id="rId60"/>
        </w:objec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ss</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w:t>
      </w:r>
      <w:r w:rsidRPr="00F068EB">
        <w:rPr>
          <w:rFonts w:eastAsia="Times New Roman"/>
          <w:iCs/>
          <w:noProof/>
          <w:position w:val="-12"/>
          <w:lang w:eastAsia="en-GB"/>
        </w:rPr>
        <w:object w:dxaOrig="400" w:dyaOrig="380">
          <v:shape id="_x0000_i1050" type="#_x0000_t75" style="width:20.65pt;height:18.8pt" o:ole="">
            <v:imagedata r:id="rId61" o:title=""/>
          </v:shape>
          <o:OLEObject Type="Embed" ProgID="Equation.DSMT4" ShapeID="_x0000_i1050" DrawAspect="Content" ObjectID="_1467634625" r:id="rId62"/>
        </w:object>
      </w:r>
      <w:r w:rsidRPr="005932D7">
        <w:rPr>
          <w:rFonts w:eastAsia="Times New Roman"/>
          <w:iCs/>
          <w:noProof/>
          <w:lang w:eastAsia="en-GB"/>
        </w:rPr>
        <w:t xml:space="preserve"> </w: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es</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 xml:space="preserve">, and </w:t>
      </w:r>
      <w:r w:rsidRPr="00F068EB">
        <w:rPr>
          <w:rFonts w:eastAsia="Times New Roman"/>
          <w:iCs/>
          <w:noProof/>
          <w:position w:val="-12"/>
          <w:lang w:eastAsia="en-GB"/>
        </w:rPr>
        <w:object w:dxaOrig="380" w:dyaOrig="380">
          <v:shape id="_x0000_i1051" type="#_x0000_t75" style="width:18.8pt;height:18.8pt" o:ole="">
            <v:imagedata r:id="rId63" o:title=""/>
          </v:shape>
          <o:OLEObject Type="Embed" ProgID="Equation.DSMT4" ShapeID="_x0000_i1051" DrawAspect="Content" ObjectID="_1467634626" r:id="rId64"/>
        </w:object>
      </w:r>
      <w:r w:rsidRPr="00984E74">
        <w:rPr>
          <w:rFonts w:eastAsia="Times New Roman"/>
          <w:iCs/>
          <w:noProof/>
          <w:lang w:eastAsia="en-GB"/>
        </w:rPr>
        <w:fldChar w:fldCharType="begin"/>
      </w:r>
      <w:r w:rsidRPr="00984E74">
        <w:rPr>
          <w:rFonts w:eastAsia="Times New Roman"/>
          <w:iCs/>
          <w:noProof/>
          <w:lang w:eastAsia="en-GB"/>
        </w:rPr>
        <w:instrText xml:space="preserve"> QUOTE </w:instrText>
      </w:r>
      <m:oMath>
        <m:sSubSup>
          <m:sSubSupPr>
            <m:ctrlPr>
              <w:rPr>
                <w:rFonts w:ascii="Cambria Math" w:eastAsia="Times New Roman" w:hAnsi="Cambria Math"/>
                <w:i/>
                <w:iCs/>
                <w:noProof/>
                <w:lang w:eastAsia="en-GB"/>
              </w:rPr>
            </m:ctrlPr>
          </m:sSubSupPr>
          <m:e>
            <m:r>
              <m:rPr>
                <m:sty m:val="p"/>
              </m:rPr>
              <w:rPr>
                <w:rFonts w:ascii="Cambria Math" w:eastAsia="Times New Roman" w:hAnsi="Cambria Math"/>
                <w:noProof/>
                <w:lang w:eastAsia="en-GB"/>
              </w:rPr>
              <m:t>M</m:t>
            </m:r>
          </m:e>
          <m:sub>
            <m:r>
              <m:rPr>
                <m:sty m:val="p"/>
              </m:rPr>
              <w:rPr>
                <w:rFonts w:ascii="Cambria Math" w:eastAsia="Times New Roman" w:hAnsi="Cambria Math"/>
                <w:noProof/>
                <w:lang w:eastAsia="en-GB"/>
              </w:rPr>
              <m:t>is</m:t>
            </m:r>
          </m:sub>
          <m:sup>
            <m:r>
              <m:rPr>
                <m:sty m:val="p"/>
              </m:rPr>
              <w:rPr>
                <w:rFonts w:ascii="Cambria Math" w:eastAsia="Times New Roman" w:hAnsi="Cambria Math"/>
                <w:noProof/>
                <w:lang w:eastAsia="en-GB"/>
              </w:rPr>
              <m:t>*</m:t>
            </m:r>
          </m:sup>
        </m:sSubSup>
      </m:oMath>
      <w:r w:rsidRPr="00984E74">
        <w:rPr>
          <w:rFonts w:eastAsia="Times New Roman"/>
          <w:iCs/>
          <w:noProof/>
          <w:lang w:eastAsia="en-GB"/>
        </w:rPr>
        <w:instrText xml:space="preserve"> </w:instrText>
      </w:r>
      <w:r w:rsidRPr="00984E74">
        <w:rPr>
          <w:rFonts w:eastAsia="Times New Roman"/>
          <w:iCs/>
          <w:noProof/>
          <w:lang w:eastAsia="en-GB"/>
        </w:rPr>
        <w:fldChar w:fldCharType="end"/>
      </w:r>
      <w:r w:rsidRPr="005932D7">
        <w:rPr>
          <w:rFonts w:eastAsia="Times New Roman"/>
          <w:iCs/>
          <w:noProof/>
          <w:lang w:eastAsia="en-GB"/>
        </w:rPr>
        <w:t xml:space="preserve">), we can evaluate them numerically to calculate </w:t>
      </w:r>
      <w:r w:rsidRPr="005932D7">
        <w:rPr>
          <w:rFonts w:eastAsia="Times New Roman"/>
          <w:i/>
          <w:noProof/>
          <w:lang w:eastAsia="en-GB"/>
        </w:rPr>
        <w:t>R</w:t>
      </w:r>
      <w:r w:rsidRPr="005932D7">
        <w:rPr>
          <w:rFonts w:eastAsia="Times New Roman"/>
          <w:i/>
          <w:noProof/>
          <w:vertAlign w:val="subscript"/>
          <w:lang w:eastAsia="en-GB"/>
        </w:rPr>
        <w:t xml:space="preserve">0,f </w:t>
      </w:r>
      <w:r w:rsidRPr="005932D7">
        <w:rPr>
          <w:rFonts w:eastAsia="Times New Roman"/>
          <w:iCs/>
          <w:noProof/>
          <w:lang w:eastAsia="en-GB"/>
        </w:rPr>
        <w:t xml:space="preserve">for particular sets of parameter values. </w:t>
      </w:r>
    </w:p>
    <w:p w:rsidR="008F7D66" w:rsidRDefault="008F7D66" w:rsidP="008F7D66">
      <w:pPr>
        <w:spacing w:line="240" w:lineRule="auto"/>
        <w:rPr>
          <w:rFonts w:eastAsia="Times New Roman"/>
        </w:rPr>
      </w:pPr>
    </w:p>
    <w:p w:rsidR="00861D8B" w:rsidRDefault="00861D8B" w:rsidP="006F2B4E">
      <w:pPr>
        <w:autoSpaceDE w:val="0"/>
        <w:autoSpaceDN w:val="0"/>
        <w:adjustRightInd w:val="0"/>
        <w:spacing w:after="0" w:line="240" w:lineRule="auto"/>
        <w:rPr>
          <w:b/>
        </w:rPr>
      </w:pPr>
    </w:p>
    <w:p w:rsidR="006F2B4E" w:rsidRPr="0054053D" w:rsidRDefault="006F2B4E" w:rsidP="006F2B4E">
      <w:pPr>
        <w:autoSpaceDE w:val="0"/>
        <w:autoSpaceDN w:val="0"/>
        <w:adjustRightInd w:val="0"/>
        <w:spacing w:after="0" w:line="240" w:lineRule="auto"/>
        <w:rPr>
          <w:b/>
        </w:rPr>
      </w:pPr>
      <w:r w:rsidRPr="0054053D">
        <w:rPr>
          <w:b/>
        </w:rPr>
        <w:lastRenderedPageBreak/>
        <w:t>References</w:t>
      </w:r>
    </w:p>
    <w:p w:rsidR="006F2B4E" w:rsidRDefault="006F2B4E" w:rsidP="006F2B4E">
      <w:pPr>
        <w:spacing w:line="240" w:lineRule="auto"/>
      </w:pPr>
    </w:p>
    <w:p w:rsidR="008F7D66" w:rsidRDefault="006F2B4E" w:rsidP="008F7D66">
      <w:pPr>
        <w:spacing w:after="0" w:line="240" w:lineRule="auto"/>
        <w:ind w:left="720" w:hanging="720"/>
        <w:rPr>
          <w:noProof/>
        </w:rPr>
      </w:pPr>
      <w:r>
        <w:fldChar w:fldCharType="begin"/>
      </w:r>
      <w:r>
        <w:instrText xml:space="preserve"> ADDIN EN.REFLIST </w:instrText>
      </w:r>
      <w:r>
        <w:fldChar w:fldCharType="separate"/>
      </w:r>
      <w:bookmarkStart w:id="1" w:name="_ENREF_1"/>
      <w:r w:rsidR="008F7D66">
        <w:rPr>
          <w:noProof/>
        </w:rPr>
        <w:t>1. Anderson R, May R (1985) Helminth infections of humans: mathematical models, population dynamics, and control. Advances in Parasitology 24: 1-101.</w:t>
      </w:r>
      <w:bookmarkEnd w:id="1"/>
    </w:p>
    <w:p w:rsidR="008F7D66" w:rsidRDefault="008F7D66" w:rsidP="008F7D66">
      <w:pPr>
        <w:spacing w:after="0" w:line="240" w:lineRule="auto"/>
        <w:ind w:left="720" w:hanging="720"/>
        <w:rPr>
          <w:noProof/>
        </w:rPr>
      </w:pPr>
      <w:bookmarkStart w:id="2" w:name="_ENREF_2"/>
      <w:r>
        <w:rPr>
          <w:noProof/>
        </w:rPr>
        <w:t>2. Chitnis N, Cushing J, Hyman J (2006) Bifurcation analysis of a mathematical model for malaria transmission. SIAM Journal on Applied Mathematics 67: 24-45.</w:t>
      </w:r>
      <w:bookmarkEnd w:id="2"/>
    </w:p>
    <w:p w:rsidR="008F7D66" w:rsidRDefault="008F7D66" w:rsidP="008F7D66">
      <w:pPr>
        <w:spacing w:after="0" w:line="240" w:lineRule="auto"/>
        <w:ind w:left="720" w:hanging="720"/>
        <w:rPr>
          <w:noProof/>
        </w:rPr>
      </w:pPr>
      <w:bookmarkStart w:id="3" w:name="_ENREF_3"/>
      <w:r>
        <w:rPr>
          <w:noProof/>
        </w:rPr>
        <w:t xml:space="preserve">3. Lindsay S, Denham D (1986) The ability of </w:t>
      </w:r>
      <w:r w:rsidRPr="008F7D66">
        <w:rPr>
          <w:i/>
          <w:noProof/>
        </w:rPr>
        <w:t>Aedes aegypti</w:t>
      </w:r>
      <w:r>
        <w:rPr>
          <w:noProof/>
        </w:rPr>
        <w:t xml:space="preserve"> mosquitoes to survive and transmit infective larvae of</w:t>
      </w:r>
      <w:r w:rsidRPr="008F7D66">
        <w:rPr>
          <w:i/>
          <w:noProof/>
        </w:rPr>
        <w:t xml:space="preserve"> Brugia pahangi</w:t>
      </w:r>
      <w:r>
        <w:rPr>
          <w:noProof/>
        </w:rPr>
        <w:t xml:space="preserve"> over successive blood meals. Journal of Helminthology 60: 159-168.</w:t>
      </w:r>
      <w:bookmarkEnd w:id="3"/>
    </w:p>
    <w:p w:rsidR="008F7D66" w:rsidRDefault="008F7D66" w:rsidP="008F7D66">
      <w:pPr>
        <w:spacing w:after="0" w:line="240" w:lineRule="auto"/>
        <w:ind w:left="720" w:hanging="720"/>
        <w:rPr>
          <w:noProof/>
        </w:rPr>
      </w:pPr>
      <w:bookmarkStart w:id="4" w:name="_ENREF_4"/>
      <w:r>
        <w:rPr>
          <w:noProof/>
        </w:rPr>
        <w:t>4. Bryan J, Southgate B (1988) Factors affecting transmission of Wuchereria bancrofti by anopheline mosquitoes. 2. Damage to ingested microfilariae by mosquito foregut armatures and development of filarial larvae in mosquitoes. Transactions of the Royal Society of Tropical Medicine and Hygiene 82: 138-145.</w:t>
      </w:r>
      <w:bookmarkEnd w:id="4"/>
    </w:p>
    <w:p w:rsidR="008F7D66" w:rsidRPr="008F7D66" w:rsidRDefault="008F7D66" w:rsidP="008F7D66">
      <w:pPr>
        <w:spacing w:after="0" w:line="240" w:lineRule="auto"/>
        <w:ind w:left="720" w:hanging="720"/>
        <w:rPr>
          <w:noProof/>
          <w:lang w:val="fr-FR"/>
        </w:rPr>
      </w:pPr>
      <w:bookmarkStart w:id="5" w:name="_ENREF_5"/>
      <w:r w:rsidRPr="008F7D66">
        <w:rPr>
          <w:noProof/>
          <w:lang w:val="es-ES"/>
        </w:rPr>
        <w:t xml:space="preserve">5. Simonsen P, Pedersen E, Rwegoshora R, Malecela M, Derua Y, et al. </w:t>
      </w:r>
      <w:r>
        <w:rPr>
          <w:noProof/>
        </w:rPr>
        <w:t xml:space="preserve">(2010) Lymphatic filariasis control in Tanzania: effect of repeated mass drug administration with ivermectin and albendazole on infection and transmission. </w:t>
      </w:r>
      <w:r w:rsidRPr="008F7D66">
        <w:rPr>
          <w:noProof/>
          <w:lang w:val="fr-FR"/>
        </w:rPr>
        <w:t>PloS Neglected Tropical Diseases 4: e696.</w:t>
      </w:r>
      <w:bookmarkEnd w:id="5"/>
    </w:p>
    <w:p w:rsidR="008F7D66" w:rsidRDefault="008F7D66" w:rsidP="008F7D66">
      <w:pPr>
        <w:spacing w:after="0" w:line="240" w:lineRule="auto"/>
        <w:ind w:left="720" w:hanging="720"/>
        <w:rPr>
          <w:noProof/>
        </w:rPr>
      </w:pPr>
      <w:bookmarkStart w:id="6" w:name="_ENREF_6"/>
      <w:r w:rsidRPr="008F7D66">
        <w:rPr>
          <w:noProof/>
          <w:lang w:val="fr-FR"/>
        </w:rPr>
        <w:t xml:space="preserve">6. Burkot T, Molineaux L, Graves P, Paru R, Battistutta D, et al. </w:t>
      </w:r>
      <w:r>
        <w:rPr>
          <w:noProof/>
        </w:rPr>
        <w:t xml:space="preserve">(1990) The prevalence of naturally acquired multiple infections of </w:t>
      </w:r>
      <w:r w:rsidRPr="008F7D66">
        <w:rPr>
          <w:i/>
          <w:noProof/>
        </w:rPr>
        <w:t>Wuchereria bancrofti</w:t>
      </w:r>
      <w:r>
        <w:rPr>
          <w:noProof/>
        </w:rPr>
        <w:t xml:space="preserve"> and human malarias in anophelines. Parasitology 100: 369-375.</w:t>
      </w:r>
      <w:bookmarkEnd w:id="6"/>
    </w:p>
    <w:p w:rsidR="008F7D66" w:rsidRDefault="008F7D66" w:rsidP="008F7D66">
      <w:pPr>
        <w:spacing w:after="0" w:line="240" w:lineRule="auto"/>
        <w:ind w:left="720" w:hanging="720"/>
        <w:rPr>
          <w:noProof/>
        </w:rPr>
      </w:pPr>
      <w:bookmarkStart w:id="7" w:name="_ENREF_7"/>
      <w:r>
        <w:rPr>
          <w:noProof/>
        </w:rPr>
        <w:t>7. Onapa A, Simonsen P, Pedersen E, Okello D (2001) Lymphatic filariasis in Uganda: baseline investigations in Lira, Soroti and Katakwi districts. Transactions of the Royal Society of Tropical Medicine and Hygiene 95: 161-167.</w:t>
      </w:r>
      <w:bookmarkEnd w:id="7"/>
    </w:p>
    <w:p w:rsidR="008F7D66" w:rsidRDefault="008F7D66" w:rsidP="008F7D66">
      <w:pPr>
        <w:spacing w:after="0" w:line="240" w:lineRule="auto"/>
        <w:ind w:left="720" w:hanging="720"/>
        <w:rPr>
          <w:noProof/>
        </w:rPr>
      </w:pPr>
      <w:bookmarkStart w:id="8" w:name="_ENREF_8"/>
      <w:r>
        <w:rPr>
          <w:noProof/>
        </w:rPr>
        <w:t xml:space="preserve">8. Muturi E, Mbogo C, Mwangangi J, Ng'ang'a Z, Kabiru E, et al. (2006) Concomitant infections of </w:t>
      </w:r>
      <w:r w:rsidRPr="008F7D66">
        <w:rPr>
          <w:i/>
          <w:noProof/>
        </w:rPr>
        <w:t>Plasmodium falciparum</w:t>
      </w:r>
      <w:r>
        <w:rPr>
          <w:noProof/>
        </w:rPr>
        <w:t xml:space="preserve"> and </w:t>
      </w:r>
      <w:r w:rsidRPr="008F7D66">
        <w:rPr>
          <w:i/>
          <w:noProof/>
        </w:rPr>
        <w:t>Wuchereria bancrofti</w:t>
      </w:r>
      <w:r>
        <w:rPr>
          <w:noProof/>
        </w:rPr>
        <w:t xml:space="preserve"> on the Kenyan coast. Filaria Journal 5: 8.</w:t>
      </w:r>
      <w:bookmarkEnd w:id="8"/>
    </w:p>
    <w:p w:rsidR="008F7D66" w:rsidRDefault="008F7D66" w:rsidP="008F7D66">
      <w:pPr>
        <w:spacing w:after="0" w:line="240" w:lineRule="auto"/>
        <w:ind w:left="720" w:hanging="720"/>
        <w:rPr>
          <w:noProof/>
        </w:rPr>
      </w:pPr>
      <w:bookmarkStart w:id="9" w:name="_ENREF_9"/>
      <w:r>
        <w:rPr>
          <w:noProof/>
        </w:rPr>
        <w:t>9. Le Menach A, Takala S, McKenzie F, Perisse A, Harris A, et al. (2007) An elaborated feeding cycle model for reductions in vectorial capacity of night-biting mosquitoes by insecticide-treated nets. Malaria Journal 6: 10.</w:t>
      </w:r>
      <w:bookmarkEnd w:id="9"/>
    </w:p>
    <w:p w:rsidR="008F7D66" w:rsidRDefault="008F7D66" w:rsidP="008F7D66">
      <w:pPr>
        <w:spacing w:after="0" w:line="240" w:lineRule="auto"/>
        <w:ind w:left="720" w:hanging="720"/>
        <w:rPr>
          <w:noProof/>
        </w:rPr>
      </w:pPr>
      <w:bookmarkStart w:id="10" w:name="_ENREF_10"/>
      <w:r>
        <w:rPr>
          <w:noProof/>
        </w:rPr>
        <w:t>10. Diekmann O, Heesterbeek J, Roberts M (2010) The construction of next-generation matrices for compartmental epidemic models. Journal of the Royal Society Interface 7: 873-885.</w:t>
      </w:r>
      <w:bookmarkEnd w:id="10"/>
    </w:p>
    <w:p w:rsidR="008F7D66" w:rsidRDefault="008F7D66" w:rsidP="008F7D66">
      <w:pPr>
        <w:spacing w:after="0" w:line="240" w:lineRule="auto"/>
        <w:ind w:left="720" w:hanging="720"/>
        <w:rPr>
          <w:noProof/>
        </w:rPr>
      </w:pPr>
      <w:bookmarkStart w:id="11" w:name="_ENREF_11"/>
      <w:r>
        <w:rPr>
          <w:noProof/>
        </w:rPr>
        <w:t>11. Heesterbeek J, Roberts M (1995) Threshold quantities for helminth infections. Journal of Mathematical Biology 33: 415-434.</w:t>
      </w:r>
      <w:bookmarkEnd w:id="11"/>
    </w:p>
    <w:p w:rsidR="008F7D66" w:rsidRDefault="008F7D66" w:rsidP="008F7D66">
      <w:pPr>
        <w:spacing w:line="240" w:lineRule="auto"/>
        <w:ind w:left="720" w:hanging="720"/>
        <w:rPr>
          <w:noProof/>
        </w:rPr>
      </w:pPr>
      <w:bookmarkStart w:id="12" w:name="_ENREF_12"/>
      <w:r>
        <w:rPr>
          <w:noProof/>
        </w:rPr>
        <w:t>12. Slater H, Gambhir M, Parham P, Michael E (2013) Modelling co-infection with malaria and lymphatic filariasis. PloS Computational Biology 9: e1003096.</w:t>
      </w:r>
      <w:bookmarkEnd w:id="12"/>
    </w:p>
    <w:p w:rsidR="008F7D66" w:rsidRDefault="008F7D66" w:rsidP="008F7D66">
      <w:pPr>
        <w:spacing w:line="240" w:lineRule="auto"/>
        <w:rPr>
          <w:noProof/>
        </w:rPr>
      </w:pPr>
    </w:p>
    <w:p w:rsidR="006F2B4E" w:rsidRDefault="006F2B4E">
      <w:r>
        <w:fldChar w:fldCharType="end"/>
      </w:r>
    </w:p>
    <w:sectPr w:rsidR="006F2B4E">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71" w:rsidRDefault="00541871" w:rsidP="00E875BD">
      <w:pPr>
        <w:spacing w:after="0" w:line="240" w:lineRule="auto"/>
      </w:pPr>
      <w:r>
        <w:separator/>
      </w:r>
    </w:p>
  </w:endnote>
  <w:endnote w:type="continuationSeparator" w:id="0">
    <w:p w:rsidR="00541871" w:rsidRDefault="00541871" w:rsidP="00E8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77865"/>
      <w:docPartObj>
        <w:docPartGallery w:val="Page Numbers (Bottom of Page)"/>
        <w:docPartUnique/>
      </w:docPartObj>
    </w:sdtPr>
    <w:sdtEndPr>
      <w:rPr>
        <w:noProof/>
      </w:rPr>
    </w:sdtEndPr>
    <w:sdtContent>
      <w:p w:rsidR="00E875BD" w:rsidRDefault="00E875BD">
        <w:pPr>
          <w:pStyle w:val="Footer"/>
          <w:jc w:val="right"/>
        </w:pPr>
        <w:r>
          <w:fldChar w:fldCharType="begin"/>
        </w:r>
        <w:r>
          <w:instrText xml:space="preserve"> PAGE   \* MERGEFORMAT </w:instrText>
        </w:r>
        <w:r>
          <w:fldChar w:fldCharType="separate"/>
        </w:r>
        <w:r w:rsidR="00F31287">
          <w:rPr>
            <w:noProof/>
          </w:rPr>
          <w:t>1</w:t>
        </w:r>
        <w:r>
          <w:rPr>
            <w:noProof/>
          </w:rPr>
          <w:fldChar w:fldCharType="end"/>
        </w:r>
      </w:p>
    </w:sdtContent>
  </w:sdt>
  <w:p w:rsidR="00E875BD" w:rsidRDefault="00E8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71" w:rsidRDefault="00541871" w:rsidP="00E875BD">
      <w:pPr>
        <w:spacing w:after="0" w:line="240" w:lineRule="auto"/>
      </w:pPr>
      <w:r>
        <w:separator/>
      </w:r>
    </w:p>
  </w:footnote>
  <w:footnote w:type="continuationSeparator" w:id="0">
    <w:p w:rsidR="00541871" w:rsidRDefault="00541871" w:rsidP="00E87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5dapd0f5r20sedrdopr29szrp2evd2rf9s&quot;&gt;August2012&lt;record-ids&gt;&lt;item&gt;482&lt;/item&gt;&lt;item&gt;485&lt;/item&gt;&lt;item&gt;491&lt;/item&gt;&lt;item&gt;492&lt;/item&gt;&lt;item&gt;495&lt;/item&gt;&lt;item&gt;496&lt;/item&gt;&lt;item&gt;497&lt;/item&gt;&lt;item&gt;498&lt;/item&gt;&lt;item&gt;499&lt;/item&gt;&lt;item&gt;502&lt;/item&gt;&lt;item&gt;506&lt;/item&gt;&lt;item&gt;507&lt;/item&gt;&lt;/record-ids&gt;&lt;/item&gt;&lt;/Libraries&gt;"/>
  </w:docVars>
  <w:rsids>
    <w:rsidRoot w:val="006F2B4E"/>
    <w:rsid w:val="00012132"/>
    <w:rsid w:val="000543AA"/>
    <w:rsid w:val="000A4336"/>
    <w:rsid w:val="00164217"/>
    <w:rsid w:val="001E04C3"/>
    <w:rsid w:val="00300E8B"/>
    <w:rsid w:val="003203B6"/>
    <w:rsid w:val="003277A0"/>
    <w:rsid w:val="003370BC"/>
    <w:rsid w:val="0035371C"/>
    <w:rsid w:val="00363A15"/>
    <w:rsid w:val="004A1C74"/>
    <w:rsid w:val="004F3356"/>
    <w:rsid w:val="00541871"/>
    <w:rsid w:val="006308DD"/>
    <w:rsid w:val="006344B6"/>
    <w:rsid w:val="00657DA8"/>
    <w:rsid w:val="00667FEC"/>
    <w:rsid w:val="006B6ADE"/>
    <w:rsid w:val="006F2B4E"/>
    <w:rsid w:val="00775506"/>
    <w:rsid w:val="00861D8B"/>
    <w:rsid w:val="00871566"/>
    <w:rsid w:val="008F6586"/>
    <w:rsid w:val="008F7D66"/>
    <w:rsid w:val="00937B7F"/>
    <w:rsid w:val="00A40627"/>
    <w:rsid w:val="00AB7871"/>
    <w:rsid w:val="00AD27E2"/>
    <w:rsid w:val="00B203D6"/>
    <w:rsid w:val="00B23B6E"/>
    <w:rsid w:val="00C470E6"/>
    <w:rsid w:val="00D23D51"/>
    <w:rsid w:val="00D32DD8"/>
    <w:rsid w:val="00E13C0E"/>
    <w:rsid w:val="00E875BD"/>
    <w:rsid w:val="00EE27E7"/>
    <w:rsid w:val="00F31287"/>
    <w:rsid w:val="00F469A6"/>
    <w:rsid w:val="00FF548D"/>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4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F2B4E"/>
    <w:pPr>
      <w:spacing w:after="0" w:line="480" w:lineRule="auto"/>
      <w:jc w:val="center"/>
      <w:outlineLvl w:val="0"/>
    </w:pPr>
    <w:rPr>
      <w:rFonts w:ascii="Sylfaen" w:eastAsia="Times New Roman" w:hAnsi="Sylfaen" w:cs="Times New Roman"/>
      <w:noProof/>
      <w:color w:val="000000"/>
      <w:sz w:val="20"/>
      <w:szCs w:val="20"/>
      <w:lang w:val="en-US"/>
    </w:rPr>
  </w:style>
  <w:style w:type="paragraph" w:styleId="BalloonText">
    <w:name w:val="Balloon Text"/>
    <w:basedOn w:val="Normal"/>
    <w:link w:val="BalloonTextChar"/>
    <w:uiPriority w:val="99"/>
    <w:semiHidden/>
    <w:unhideWhenUsed/>
    <w:rsid w:val="006F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4E"/>
    <w:rPr>
      <w:rFonts w:ascii="Tahoma" w:eastAsia="Calibri" w:hAnsi="Tahoma" w:cs="Tahoma"/>
      <w:sz w:val="16"/>
      <w:szCs w:val="16"/>
    </w:rPr>
  </w:style>
  <w:style w:type="character" w:styleId="Hyperlink">
    <w:name w:val="Hyperlink"/>
    <w:basedOn w:val="DefaultParagraphFont"/>
    <w:uiPriority w:val="99"/>
    <w:unhideWhenUsed/>
    <w:rsid w:val="006F2B4E"/>
    <w:rPr>
      <w:color w:val="0000FF" w:themeColor="hyperlink"/>
      <w:u w:val="single"/>
    </w:rPr>
  </w:style>
  <w:style w:type="table" w:styleId="TableGrid">
    <w:name w:val="Table Grid"/>
    <w:basedOn w:val="TableNormal"/>
    <w:uiPriority w:val="59"/>
    <w:rsid w:val="0030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03D6"/>
    <w:rPr>
      <w:sz w:val="16"/>
      <w:szCs w:val="16"/>
    </w:rPr>
  </w:style>
  <w:style w:type="paragraph" w:styleId="CommentText">
    <w:name w:val="annotation text"/>
    <w:basedOn w:val="Normal"/>
    <w:link w:val="CommentTextChar"/>
    <w:uiPriority w:val="99"/>
    <w:semiHidden/>
    <w:unhideWhenUsed/>
    <w:rsid w:val="00B203D6"/>
    <w:pPr>
      <w:spacing w:line="240" w:lineRule="auto"/>
    </w:pPr>
    <w:rPr>
      <w:sz w:val="20"/>
      <w:szCs w:val="20"/>
    </w:rPr>
  </w:style>
  <w:style w:type="character" w:customStyle="1" w:styleId="CommentTextChar">
    <w:name w:val="Comment Text Char"/>
    <w:basedOn w:val="DefaultParagraphFont"/>
    <w:link w:val="CommentText"/>
    <w:uiPriority w:val="99"/>
    <w:semiHidden/>
    <w:rsid w:val="00B203D6"/>
    <w:rPr>
      <w:rFonts w:ascii="Calibri" w:eastAsia="Calibri" w:hAnsi="Calibri" w:cs="Mangal"/>
      <w:sz w:val="20"/>
      <w:szCs w:val="20"/>
    </w:rPr>
  </w:style>
  <w:style w:type="paragraph" w:styleId="CommentSubject">
    <w:name w:val="annotation subject"/>
    <w:basedOn w:val="CommentText"/>
    <w:next w:val="CommentText"/>
    <w:link w:val="CommentSubjectChar"/>
    <w:uiPriority w:val="99"/>
    <w:semiHidden/>
    <w:unhideWhenUsed/>
    <w:rsid w:val="00B203D6"/>
    <w:rPr>
      <w:b/>
      <w:bCs/>
    </w:rPr>
  </w:style>
  <w:style w:type="character" w:customStyle="1" w:styleId="CommentSubjectChar">
    <w:name w:val="Comment Subject Char"/>
    <w:basedOn w:val="CommentTextChar"/>
    <w:link w:val="CommentSubject"/>
    <w:uiPriority w:val="99"/>
    <w:semiHidden/>
    <w:rsid w:val="00B203D6"/>
    <w:rPr>
      <w:rFonts w:ascii="Calibri" w:eastAsia="Calibri" w:hAnsi="Calibri" w:cs="Mangal"/>
      <w:b/>
      <w:bCs/>
      <w:sz w:val="20"/>
      <w:szCs w:val="20"/>
    </w:rPr>
  </w:style>
  <w:style w:type="paragraph" w:styleId="Header">
    <w:name w:val="header"/>
    <w:basedOn w:val="Normal"/>
    <w:link w:val="HeaderChar"/>
    <w:uiPriority w:val="99"/>
    <w:unhideWhenUsed/>
    <w:rsid w:val="00E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5BD"/>
    <w:rPr>
      <w:rFonts w:ascii="Calibri" w:eastAsia="Calibri" w:hAnsi="Calibri" w:cs="Mangal"/>
    </w:rPr>
  </w:style>
  <w:style w:type="paragraph" w:styleId="Footer">
    <w:name w:val="footer"/>
    <w:basedOn w:val="Normal"/>
    <w:link w:val="FooterChar"/>
    <w:uiPriority w:val="99"/>
    <w:unhideWhenUsed/>
    <w:rsid w:val="00E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5BD"/>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4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F2B4E"/>
    <w:pPr>
      <w:spacing w:after="0" w:line="480" w:lineRule="auto"/>
      <w:jc w:val="center"/>
      <w:outlineLvl w:val="0"/>
    </w:pPr>
    <w:rPr>
      <w:rFonts w:ascii="Sylfaen" w:eastAsia="Times New Roman" w:hAnsi="Sylfaen" w:cs="Times New Roman"/>
      <w:noProof/>
      <w:color w:val="000000"/>
      <w:sz w:val="20"/>
      <w:szCs w:val="20"/>
      <w:lang w:val="en-US"/>
    </w:rPr>
  </w:style>
  <w:style w:type="paragraph" w:styleId="BalloonText">
    <w:name w:val="Balloon Text"/>
    <w:basedOn w:val="Normal"/>
    <w:link w:val="BalloonTextChar"/>
    <w:uiPriority w:val="99"/>
    <w:semiHidden/>
    <w:unhideWhenUsed/>
    <w:rsid w:val="006F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4E"/>
    <w:rPr>
      <w:rFonts w:ascii="Tahoma" w:eastAsia="Calibri" w:hAnsi="Tahoma" w:cs="Tahoma"/>
      <w:sz w:val="16"/>
      <w:szCs w:val="16"/>
    </w:rPr>
  </w:style>
  <w:style w:type="character" w:styleId="Hyperlink">
    <w:name w:val="Hyperlink"/>
    <w:basedOn w:val="DefaultParagraphFont"/>
    <w:uiPriority w:val="99"/>
    <w:unhideWhenUsed/>
    <w:rsid w:val="006F2B4E"/>
    <w:rPr>
      <w:color w:val="0000FF" w:themeColor="hyperlink"/>
      <w:u w:val="single"/>
    </w:rPr>
  </w:style>
  <w:style w:type="table" w:styleId="TableGrid">
    <w:name w:val="Table Grid"/>
    <w:basedOn w:val="TableNormal"/>
    <w:uiPriority w:val="59"/>
    <w:rsid w:val="00300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03D6"/>
    <w:rPr>
      <w:sz w:val="16"/>
      <w:szCs w:val="16"/>
    </w:rPr>
  </w:style>
  <w:style w:type="paragraph" w:styleId="CommentText">
    <w:name w:val="annotation text"/>
    <w:basedOn w:val="Normal"/>
    <w:link w:val="CommentTextChar"/>
    <w:uiPriority w:val="99"/>
    <w:semiHidden/>
    <w:unhideWhenUsed/>
    <w:rsid w:val="00B203D6"/>
    <w:pPr>
      <w:spacing w:line="240" w:lineRule="auto"/>
    </w:pPr>
    <w:rPr>
      <w:sz w:val="20"/>
      <w:szCs w:val="20"/>
    </w:rPr>
  </w:style>
  <w:style w:type="character" w:customStyle="1" w:styleId="CommentTextChar">
    <w:name w:val="Comment Text Char"/>
    <w:basedOn w:val="DefaultParagraphFont"/>
    <w:link w:val="CommentText"/>
    <w:uiPriority w:val="99"/>
    <w:semiHidden/>
    <w:rsid w:val="00B203D6"/>
    <w:rPr>
      <w:rFonts w:ascii="Calibri" w:eastAsia="Calibri" w:hAnsi="Calibri" w:cs="Mangal"/>
      <w:sz w:val="20"/>
      <w:szCs w:val="20"/>
    </w:rPr>
  </w:style>
  <w:style w:type="paragraph" w:styleId="CommentSubject">
    <w:name w:val="annotation subject"/>
    <w:basedOn w:val="CommentText"/>
    <w:next w:val="CommentText"/>
    <w:link w:val="CommentSubjectChar"/>
    <w:uiPriority w:val="99"/>
    <w:semiHidden/>
    <w:unhideWhenUsed/>
    <w:rsid w:val="00B203D6"/>
    <w:rPr>
      <w:b/>
      <w:bCs/>
    </w:rPr>
  </w:style>
  <w:style w:type="character" w:customStyle="1" w:styleId="CommentSubjectChar">
    <w:name w:val="Comment Subject Char"/>
    <w:basedOn w:val="CommentTextChar"/>
    <w:link w:val="CommentSubject"/>
    <w:uiPriority w:val="99"/>
    <w:semiHidden/>
    <w:rsid w:val="00B203D6"/>
    <w:rPr>
      <w:rFonts w:ascii="Calibri" w:eastAsia="Calibri" w:hAnsi="Calibri" w:cs="Mangal"/>
      <w:b/>
      <w:bCs/>
      <w:sz w:val="20"/>
      <w:szCs w:val="20"/>
    </w:rPr>
  </w:style>
  <w:style w:type="paragraph" w:styleId="Header">
    <w:name w:val="header"/>
    <w:basedOn w:val="Normal"/>
    <w:link w:val="HeaderChar"/>
    <w:uiPriority w:val="99"/>
    <w:unhideWhenUsed/>
    <w:rsid w:val="00E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5BD"/>
    <w:rPr>
      <w:rFonts w:ascii="Calibri" w:eastAsia="Calibri" w:hAnsi="Calibri" w:cs="Mangal"/>
    </w:rPr>
  </w:style>
  <w:style w:type="paragraph" w:styleId="Footer">
    <w:name w:val="footer"/>
    <w:basedOn w:val="Normal"/>
    <w:link w:val="FooterChar"/>
    <w:uiPriority w:val="99"/>
    <w:unhideWhenUsed/>
    <w:rsid w:val="00E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5BD"/>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tif"/><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7.tif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image" Target="media/image1.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theme" Target="theme/theme1.xml"/><Relationship Id="rId20" Type="http://schemas.openxmlformats.org/officeDocument/2006/relationships/image" Target="media/image8.tif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B9D5-2A6A-43D2-975A-79D615CF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25902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Chris Stone</cp:lastModifiedBy>
  <cp:revision>2</cp:revision>
  <cp:lastPrinted>2014-06-02T10:32:00Z</cp:lastPrinted>
  <dcterms:created xsi:type="dcterms:W3CDTF">2014-07-23T13:30:00Z</dcterms:created>
  <dcterms:modified xsi:type="dcterms:W3CDTF">2014-07-23T13:30:00Z</dcterms:modified>
</cp:coreProperties>
</file>