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5856" w14:textId="77777777" w:rsidR="00B77C4D" w:rsidRDefault="00B77C4D" w:rsidP="00217D38">
      <w:pPr>
        <w:rPr>
          <w:rFonts w:ascii="Verdana" w:hAnsi="Verdana" w:cs="Verdana"/>
          <w:sz w:val="26"/>
          <w:szCs w:val="26"/>
        </w:rPr>
      </w:pPr>
    </w:p>
    <w:p w14:paraId="6ADEB7B4" w14:textId="77777777" w:rsidR="00B77C4D" w:rsidRDefault="00B77C4D" w:rsidP="00217D38"/>
    <w:p w14:paraId="7D3A53C5" w14:textId="77777777" w:rsidR="00B77C4D" w:rsidRDefault="009C7B9C" w:rsidP="00217D38">
      <w:r>
        <w:t xml:space="preserve">Supplemental Table I - Global </w:t>
      </w:r>
      <w:proofErr w:type="spellStart"/>
      <w:r>
        <w:t>Parasitemia</w:t>
      </w:r>
      <w:proofErr w:type="spellEnd"/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80"/>
        <w:gridCol w:w="2380"/>
        <w:gridCol w:w="1900"/>
      </w:tblGrid>
      <w:tr w:rsidR="00B77C4D" w:rsidRPr="00B77C4D" w14:paraId="3C603459" w14:textId="77777777" w:rsidTr="00B77C4D">
        <w:trPr>
          <w:trHeight w:val="3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59C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STRAINS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40E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384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="002449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544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AUC</w:t>
            </w:r>
          </w:p>
        </w:tc>
      </w:tr>
      <w:tr w:rsidR="00B77C4D" w:rsidRPr="00B77C4D" w14:paraId="0B4E11AC" w14:textId="77777777" w:rsidTr="00B77C4D">
        <w:trPr>
          <w:trHeight w:val="34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195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sz w:val="28"/>
                <w:szCs w:val="28"/>
              </w:rPr>
              <w:t>C57BL/6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683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1.30E+05</w:t>
            </w: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9DA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1.40E+04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4C1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297467</w:t>
            </w:r>
          </w:p>
        </w:tc>
      </w:tr>
      <w:tr w:rsidR="00B77C4D" w:rsidRPr="00B77C4D" w14:paraId="7CE74768" w14:textId="77777777" w:rsidTr="00B77C4D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9FE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sz w:val="28"/>
                <w:szCs w:val="28"/>
              </w:rPr>
              <w:t>MyD88</w:t>
            </w:r>
            <w:r w:rsidRPr="00B77C4D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-/-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C30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3.30E+05</w:t>
            </w: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23F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1.94E+04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1E9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753333</w:t>
            </w:r>
          </w:p>
        </w:tc>
      </w:tr>
      <w:tr w:rsidR="00B77C4D" w:rsidRPr="00B77C4D" w14:paraId="450BB182" w14:textId="77777777" w:rsidTr="00BE597D">
        <w:trPr>
          <w:trHeight w:val="396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0B9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sz w:val="28"/>
                <w:szCs w:val="28"/>
              </w:rPr>
              <w:t>Caspase-1</w:t>
            </w:r>
            <w:r w:rsidRPr="00B77C4D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-/-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16E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3.60E+05</w:t>
            </w: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C34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3.73E+04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875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850667</w:t>
            </w:r>
          </w:p>
        </w:tc>
      </w:tr>
      <w:tr w:rsidR="00B77C4D" w:rsidRPr="00B77C4D" w14:paraId="1BC94878" w14:textId="77777777" w:rsidTr="00B77C4D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A1F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sz w:val="28"/>
                <w:szCs w:val="28"/>
              </w:rPr>
              <w:t>NLRP3</w:t>
            </w:r>
            <w:r w:rsidRPr="00B77C4D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-/-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58F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4.0</w:t>
            </w: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4E+05</w:t>
            </w: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0D1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2.88E+04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870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31000</w:t>
            </w:r>
          </w:p>
        </w:tc>
      </w:tr>
      <w:tr w:rsidR="00B77C4D" w:rsidRPr="00B77C4D" w14:paraId="79932ADD" w14:textId="77777777" w:rsidTr="00B77C4D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DAB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proofErr w:type="gramStart"/>
            <w:r w:rsidRPr="00B77C4D">
              <w:rPr>
                <w:rFonts w:ascii="Arial" w:eastAsia="Times New Roman" w:hAnsi="Arial" w:cs="Arial"/>
                <w:sz w:val="28"/>
                <w:szCs w:val="28"/>
              </w:rPr>
              <w:t>iNOS</w:t>
            </w:r>
            <w:proofErr w:type="spellEnd"/>
            <w:proofErr w:type="gramEnd"/>
            <w:r w:rsidRPr="00B77C4D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-/-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3D5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3.70E+05</w:t>
            </w: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#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A62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1.57E+04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0CC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863333</w:t>
            </w:r>
          </w:p>
        </w:tc>
      </w:tr>
      <w:tr w:rsidR="00B77C4D" w:rsidRPr="00B77C4D" w14:paraId="085FF2B6" w14:textId="77777777" w:rsidTr="00B77C4D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4870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sz w:val="28"/>
                <w:szCs w:val="28"/>
              </w:rPr>
              <w:t>IFN</w:t>
            </w:r>
            <w:r w:rsidR="00BE597D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="00BE597D">
              <w:rPr>
                <w:rFonts w:ascii="Arial" w:eastAsia="Times New Roman" w:hAnsi="Arial" w:cs="Arial"/>
                <w:sz w:val="28"/>
                <w:szCs w:val="28"/>
              </w:rPr>
              <w:sym w:font="Symbol" w:char="F067"/>
            </w:r>
            <w:r w:rsidRPr="00B77C4D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-/-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6BF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9.40E+05</w:t>
            </w: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90DC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6.36E+04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8BC" w14:textId="77777777" w:rsidR="00B77C4D" w:rsidRPr="00B77C4D" w:rsidRDefault="00B77C4D" w:rsidP="00B77C4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77C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2405000</w:t>
            </w:r>
          </w:p>
        </w:tc>
      </w:tr>
    </w:tbl>
    <w:p w14:paraId="63EEDE7F" w14:textId="77777777" w:rsidR="00B77C4D" w:rsidRDefault="00B77C4D" w:rsidP="00217D38"/>
    <w:p w14:paraId="5DDA98AF" w14:textId="77777777" w:rsidR="009C7B9C" w:rsidRDefault="009C7B9C" w:rsidP="00217D38"/>
    <w:p w14:paraId="262056A8" w14:textId="1604B044" w:rsidR="002449E8" w:rsidRPr="00D57604" w:rsidRDefault="002449E8" w:rsidP="004650C7">
      <w:pPr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2449E8">
        <w:rPr>
          <w:b/>
        </w:rPr>
        <w:t xml:space="preserve">Effect of NLRP3 and caspase-1 in the control of acute phase of </w:t>
      </w:r>
      <w:r w:rsidRPr="00BE597D">
        <w:rPr>
          <w:b/>
          <w:i/>
        </w:rPr>
        <w:t xml:space="preserve">T. </w:t>
      </w:r>
      <w:proofErr w:type="spellStart"/>
      <w:r w:rsidRPr="00BE597D">
        <w:rPr>
          <w:b/>
          <w:i/>
        </w:rPr>
        <w:t>cruzi</w:t>
      </w:r>
      <w:proofErr w:type="spellEnd"/>
      <w:r w:rsidRPr="002449E8">
        <w:rPr>
          <w:b/>
        </w:rPr>
        <w:t xml:space="preserve"> infection</w:t>
      </w:r>
      <w:r>
        <w:t>.</w:t>
      </w:r>
      <w:proofErr w:type="gramEnd"/>
      <w:r>
        <w:t xml:space="preserve"> </w:t>
      </w:r>
      <w:r w:rsidRPr="00D57604">
        <w:t>WT, MyD88</w:t>
      </w:r>
      <w:r w:rsidRPr="00D57604">
        <w:rPr>
          <w:vertAlign w:val="superscript"/>
        </w:rPr>
        <w:t>-/-</w:t>
      </w:r>
      <w:r w:rsidRPr="00D57604">
        <w:t>, NLRP3</w:t>
      </w:r>
      <w:r w:rsidRPr="00D57604">
        <w:rPr>
          <w:vertAlign w:val="superscript"/>
        </w:rPr>
        <w:t>-/-</w:t>
      </w:r>
      <w:r w:rsidR="00D57604" w:rsidRPr="00D57604">
        <w:t>, C</w:t>
      </w:r>
      <w:r w:rsidRPr="00D57604">
        <w:t>aspase-1</w:t>
      </w:r>
      <w:r w:rsidRPr="00D57604">
        <w:rPr>
          <w:vertAlign w:val="superscript"/>
        </w:rPr>
        <w:t>-/-</w:t>
      </w:r>
      <w:r w:rsidRPr="00D57604">
        <w:t>,</w:t>
      </w:r>
      <w:r w:rsidRPr="00D57604">
        <w:rPr>
          <w:vertAlign w:val="superscript"/>
        </w:rPr>
        <w:t xml:space="preserve"> </w:t>
      </w:r>
      <w:r w:rsidRPr="00D57604">
        <w:t>IFN-</w:t>
      </w:r>
      <w:r w:rsidRPr="00D57604">
        <w:sym w:font="Symbol" w:char="F067"/>
      </w:r>
      <w:r w:rsidRPr="00D57604">
        <w:rPr>
          <w:vertAlign w:val="superscript"/>
        </w:rPr>
        <w:t>-/-</w:t>
      </w:r>
      <w:r w:rsidRPr="00D57604">
        <w:t xml:space="preserve"> and </w:t>
      </w:r>
      <w:proofErr w:type="spellStart"/>
      <w:r w:rsidRPr="00D57604">
        <w:t>iNOS</w:t>
      </w:r>
      <w:proofErr w:type="spellEnd"/>
      <w:r w:rsidRPr="00D57604">
        <w:rPr>
          <w:vertAlign w:val="superscript"/>
        </w:rPr>
        <w:t xml:space="preserve">-/- </w:t>
      </w:r>
      <w:r w:rsidRPr="00D57604">
        <w:t>mice were subcutaneously infected with 10</w:t>
      </w:r>
      <w:r w:rsidRPr="00D57604">
        <w:rPr>
          <w:vertAlign w:val="superscript"/>
        </w:rPr>
        <w:t>3</w:t>
      </w:r>
      <w:r w:rsidRPr="00D57604">
        <w:t xml:space="preserve"> </w:t>
      </w:r>
      <w:r w:rsidRPr="00D57604">
        <w:rPr>
          <w:bCs/>
          <w:i/>
          <w:iCs/>
        </w:rPr>
        <w:t xml:space="preserve">T. </w:t>
      </w:r>
      <w:proofErr w:type="spellStart"/>
      <w:r w:rsidRPr="00D57604">
        <w:rPr>
          <w:bCs/>
          <w:i/>
          <w:iCs/>
        </w:rPr>
        <w:t>cruzi</w:t>
      </w:r>
      <w:proofErr w:type="spellEnd"/>
      <w:r w:rsidRPr="00D57604">
        <w:t xml:space="preserve"> blood </w:t>
      </w:r>
      <w:proofErr w:type="spellStart"/>
      <w:r w:rsidRPr="00D57604">
        <w:t>trypomastigotes</w:t>
      </w:r>
      <w:proofErr w:type="spellEnd"/>
      <w:r w:rsidRPr="00D57604">
        <w:t>.</w:t>
      </w:r>
      <w:r w:rsidRPr="00D57604">
        <w:rPr>
          <w:bCs/>
        </w:rPr>
        <w:t> </w:t>
      </w:r>
      <w:proofErr w:type="spellStart"/>
      <w:r w:rsidRPr="00D57604">
        <w:t>Parasitemia</w:t>
      </w:r>
      <w:proofErr w:type="spellEnd"/>
      <w:r w:rsidRPr="00D57604">
        <w:t xml:space="preserve"> was quantified by counting the parasites in 5μL of tail blood obtained on days 4 to 20 after infection. Global </w:t>
      </w:r>
      <w:proofErr w:type="spellStart"/>
      <w:r w:rsidRPr="00D57604">
        <w:t>Parasitemia</w:t>
      </w:r>
      <w:proofErr w:type="spellEnd"/>
      <w:r w:rsidRPr="00D57604">
        <w:t xml:space="preserve"> (GP) </w:t>
      </w:r>
      <w:r w:rsidR="00D57604">
        <w:t xml:space="preserve">represents </w:t>
      </w:r>
      <w:r w:rsidRPr="00D57604">
        <w:t xml:space="preserve">the </w:t>
      </w:r>
      <w:r w:rsidR="00160E42" w:rsidRPr="00D57604">
        <w:rPr>
          <w:rFonts w:ascii="Arial" w:eastAsia="Calibri" w:hAnsi="Arial" w:cs="Arial"/>
          <w:sz w:val="22"/>
          <w:szCs w:val="22"/>
        </w:rPr>
        <w:t>mean</w:t>
      </w:r>
      <w:r w:rsidR="00160E42" w:rsidRPr="00D57604">
        <w:t xml:space="preserve"> </w:t>
      </w:r>
      <w:r w:rsidR="00160E42">
        <w:t xml:space="preserve">of </w:t>
      </w:r>
      <w:r w:rsidRPr="00D57604">
        <w:t>sum of total blood parasi</w:t>
      </w:r>
      <w:r w:rsidR="00160E42">
        <w:t xml:space="preserve">tes found in each mouse strain </w:t>
      </w:r>
      <w:r w:rsidR="00D57604" w:rsidRPr="00D57604">
        <w:rPr>
          <w:rFonts w:ascii="Arial" w:eastAsia="MS Gothic" w:hAnsi="Arial" w:cs="Arial"/>
          <w:color w:val="000000"/>
          <w:sz w:val="22"/>
          <w:szCs w:val="22"/>
        </w:rPr>
        <w:t>and</w:t>
      </w:r>
      <w:r w:rsidRPr="00D57604">
        <w:rPr>
          <w:rFonts w:ascii="Arial" w:eastAsia="Calibri" w:hAnsi="Arial" w:cs="Arial"/>
          <w:sz w:val="22"/>
          <w:szCs w:val="22"/>
        </w:rPr>
        <w:t xml:space="preserve"> S.D. (n=6</w:t>
      </w:r>
      <w:r w:rsidR="00BE597D" w:rsidRPr="00D57604">
        <w:rPr>
          <w:rFonts w:ascii="Arial" w:eastAsia="Calibri" w:hAnsi="Arial" w:cs="Arial"/>
          <w:sz w:val="22"/>
          <w:szCs w:val="22"/>
        </w:rPr>
        <w:t xml:space="preserve">). *** </w:t>
      </w:r>
      <w:proofErr w:type="gramStart"/>
      <w:r w:rsidR="00BE597D" w:rsidRPr="00D57604">
        <w:rPr>
          <w:rFonts w:ascii="Arial" w:eastAsia="Calibri" w:hAnsi="Arial" w:cs="Arial"/>
          <w:sz w:val="22"/>
          <w:szCs w:val="22"/>
        </w:rPr>
        <w:t>p</w:t>
      </w:r>
      <w:proofErr w:type="gramEnd"/>
      <w:r w:rsidR="00BE597D" w:rsidRPr="00D57604">
        <w:rPr>
          <w:rFonts w:ascii="Arial" w:eastAsia="Calibri" w:hAnsi="Arial" w:cs="Arial"/>
          <w:sz w:val="22"/>
          <w:szCs w:val="22"/>
        </w:rPr>
        <w:t xml:space="preserve">&gt;0,001 </w:t>
      </w:r>
      <w:r w:rsidRPr="00D57604">
        <w:rPr>
          <w:rFonts w:ascii="Arial" w:eastAsia="Calibri" w:hAnsi="Arial" w:cs="Arial"/>
          <w:sz w:val="22"/>
          <w:szCs w:val="22"/>
        </w:rPr>
        <w:t>compared to the WT group</w:t>
      </w:r>
      <w:r w:rsidR="00BE597D" w:rsidRPr="00D57604">
        <w:rPr>
          <w:rFonts w:ascii="Arial" w:eastAsia="Calibri" w:hAnsi="Arial" w:cs="Arial"/>
          <w:sz w:val="22"/>
          <w:szCs w:val="22"/>
        </w:rPr>
        <w:t xml:space="preserve"> and #p&gt;0,001 compared to IFN-</w:t>
      </w:r>
      <w:r w:rsidR="00BE597D" w:rsidRPr="00D57604">
        <w:rPr>
          <w:rFonts w:ascii="Arial" w:eastAsia="Calibri" w:hAnsi="Arial" w:cs="Arial"/>
          <w:sz w:val="22"/>
          <w:szCs w:val="22"/>
        </w:rPr>
        <w:sym w:font="Symbol" w:char="F067"/>
      </w:r>
      <w:r w:rsidR="00BE597D"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="00BE597D" w:rsidRPr="00D57604">
        <w:rPr>
          <w:rFonts w:ascii="Arial" w:eastAsia="Calibri" w:hAnsi="Arial" w:cs="Arial"/>
          <w:sz w:val="22"/>
          <w:szCs w:val="22"/>
        </w:rPr>
        <w:t xml:space="preserve"> group. </w:t>
      </w:r>
      <w:r w:rsidR="003612C8">
        <w:rPr>
          <w:rFonts w:ascii="Arial" w:eastAsia="Calibri" w:hAnsi="Arial" w:cs="Arial"/>
          <w:sz w:val="22"/>
          <w:szCs w:val="22"/>
        </w:rPr>
        <w:t xml:space="preserve">No significant difference was observed </w:t>
      </w:r>
      <w:proofErr w:type="gramStart"/>
      <w:r w:rsidR="003612C8">
        <w:rPr>
          <w:rFonts w:ascii="Arial" w:eastAsia="Calibri" w:hAnsi="Arial" w:cs="Arial"/>
          <w:sz w:val="22"/>
          <w:szCs w:val="22"/>
        </w:rPr>
        <w:t>among MyD88</w:t>
      </w:r>
      <w:r w:rsidR="003612C8"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="003612C8">
        <w:rPr>
          <w:rFonts w:ascii="Arial" w:eastAsia="Calibri" w:hAnsi="Arial" w:cs="Arial"/>
          <w:sz w:val="22"/>
          <w:szCs w:val="22"/>
        </w:rPr>
        <w:t>,</w:t>
      </w:r>
      <w:proofErr w:type="gramEnd"/>
      <w:r w:rsidR="003612C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612C8">
        <w:rPr>
          <w:rFonts w:ascii="Arial" w:eastAsia="Calibri" w:hAnsi="Arial" w:cs="Arial"/>
          <w:sz w:val="22"/>
          <w:szCs w:val="22"/>
        </w:rPr>
        <w:t>iNOS</w:t>
      </w:r>
      <w:proofErr w:type="spellEnd"/>
      <w:r w:rsidR="003612C8"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="003612C8">
        <w:rPr>
          <w:rFonts w:ascii="Arial" w:eastAsia="Calibri" w:hAnsi="Arial" w:cs="Arial"/>
          <w:sz w:val="22"/>
          <w:szCs w:val="22"/>
        </w:rPr>
        <w:t>, Caspase-1</w:t>
      </w:r>
      <w:r w:rsidR="003612C8"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="003612C8" w:rsidRPr="00D57604">
        <w:rPr>
          <w:rFonts w:ascii="Arial" w:eastAsia="Calibri" w:hAnsi="Arial" w:cs="Arial"/>
          <w:sz w:val="22"/>
          <w:szCs w:val="22"/>
        </w:rPr>
        <w:t xml:space="preserve"> </w:t>
      </w:r>
      <w:r w:rsidR="003612C8">
        <w:rPr>
          <w:rFonts w:ascii="Arial" w:eastAsia="Calibri" w:hAnsi="Arial" w:cs="Arial"/>
          <w:sz w:val="22"/>
          <w:szCs w:val="22"/>
        </w:rPr>
        <w:t>and NLRP3</w:t>
      </w:r>
      <w:r w:rsidR="003612C8"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="003612C8" w:rsidRPr="00D57604">
        <w:rPr>
          <w:rFonts w:ascii="Arial" w:eastAsia="Calibri" w:hAnsi="Arial" w:cs="Arial"/>
          <w:sz w:val="22"/>
          <w:szCs w:val="22"/>
        </w:rPr>
        <w:t xml:space="preserve"> </w:t>
      </w:r>
      <w:r w:rsidR="003612C8">
        <w:rPr>
          <w:rFonts w:ascii="Arial" w:eastAsia="Calibri" w:hAnsi="Arial" w:cs="Arial"/>
          <w:sz w:val="22"/>
          <w:szCs w:val="22"/>
        </w:rPr>
        <w:t xml:space="preserve">groups. </w:t>
      </w:r>
      <w:r w:rsidR="00BE597D" w:rsidRPr="00D57604">
        <w:rPr>
          <w:rFonts w:ascii="Arial" w:eastAsia="Calibri" w:hAnsi="Arial" w:cs="Arial"/>
          <w:sz w:val="22"/>
          <w:szCs w:val="22"/>
        </w:rPr>
        <w:t xml:space="preserve">AUC – Area under Curve. </w:t>
      </w:r>
      <w:r w:rsidRPr="00D57604">
        <w:rPr>
          <w:rFonts w:ascii="Arial" w:eastAsia="Calibri" w:hAnsi="Arial" w:cs="Arial"/>
          <w:sz w:val="22"/>
          <w:szCs w:val="22"/>
        </w:rPr>
        <w:t>Experiments were repeated two times with IFN-</w:t>
      </w:r>
      <w:r w:rsidRPr="00D57604">
        <w:rPr>
          <w:rFonts w:ascii="Arial" w:eastAsia="Calibri" w:hAnsi="Arial" w:cs="Arial"/>
          <w:sz w:val="22"/>
          <w:szCs w:val="22"/>
        </w:rPr>
        <w:sym w:font="Symbol" w:char="F067"/>
      </w:r>
      <w:r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Pr="00D57604">
        <w:rPr>
          <w:rFonts w:ascii="Arial" w:eastAsia="Calibri" w:hAnsi="Arial" w:cs="Arial"/>
          <w:sz w:val="22"/>
          <w:szCs w:val="22"/>
        </w:rPr>
        <w:t xml:space="preserve"> and </w:t>
      </w:r>
      <w:proofErr w:type="spellStart"/>
      <w:r w:rsidRPr="00D57604">
        <w:rPr>
          <w:rFonts w:ascii="Arial" w:eastAsia="Calibri" w:hAnsi="Arial" w:cs="Arial"/>
          <w:sz w:val="22"/>
          <w:szCs w:val="22"/>
        </w:rPr>
        <w:t>iNOS</w:t>
      </w:r>
      <w:proofErr w:type="spellEnd"/>
      <w:r w:rsidRPr="00D57604">
        <w:rPr>
          <w:rFonts w:ascii="Arial" w:eastAsia="Calibri" w:hAnsi="Arial" w:cs="Arial"/>
          <w:sz w:val="22"/>
          <w:szCs w:val="22"/>
          <w:vertAlign w:val="superscript"/>
        </w:rPr>
        <w:t xml:space="preserve">-/- </w:t>
      </w:r>
      <w:r w:rsidRPr="00D57604">
        <w:rPr>
          <w:rFonts w:ascii="Arial" w:eastAsia="Calibri" w:hAnsi="Arial" w:cs="Arial"/>
          <w:sz w:val="22"/>
          <w:szCs w:val="22"/>
        </w:rPr>
        <w:t>mice and five times with MyD88</w:t>
      </w:r>
      <w:r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Pr="00D57604">
        <w:rPr>
          <w:rFonts w:ascii="Arial" w:eastAsia="Calibri" w:hAnsi="Arial" w:cs="Arial"/>
          <w:sz w:val="22"/>
          <w:szCs w:val="22"/>
        </w:rPr>
        <w:t>, NLRP3</w:t>
      </w:r>
      <w:r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Pr="00D57604">
        <w:rPr>
          <w:rFonts w:ascii="Arial" w:eastAsia="Calibri" w:hAnsi="Arial" w:cs="Arial"/>
          <w:sz w:val="22"/>
          <w:szCs w:val="22"/>
        </w:rPr>
        <w:t>, caspase-1</w:t>
      </w:r>
      <w:r w:rsidRPr="00D57604">
        <w:rPr>
          <w:rFonts w:ascii="Arial" w:eastAsia="Calibri" w:hAnsi="Arial" w:cs="Arial"/>
          <w:sz w:val="22"/>
          <w:szCs w:val="22"/>
          <w:vertAlign w:val="superscript"/>
        </w:rPr>
        <w:t>-/-</w:t>
      </w:r>
      <w:r w:rsidR="00BE597D" w:rsidRPr="00D57604">
        <w:rPr>
          <w:rFonts w:ascii="Arial" w:eastAsia="Calibri" w:hAnsi="Arial" w:cs="Arial"/>
          <w:sz w:val="22"/>
          <w:szCs w:val="22"/>
        </w:rPr>
        <w:t xml:space="preserve"> mice </w:t>
      </w:r>
      <w:r w:rsidRPr="00D57604">
        <w:rPr>
          <w:rFonts w:ascii="Arial" w:eastAsia="Calibri" w:hAnsi="Arial" w:cs="Arial"/>
          <w:sz w:val="22"/>
          <w:szCs w:val="22"/>
        </w:rPr>
        <w:t>showing similar results.</w:t>
      </w:r>
    </w:p>
    <w:p w14:paraId="0FC553CE" w14:textId="77777777" w:rsidR="004650C7" w:rsidRPr="00D57604" w:rsidRDefault="004650C7" w:rsidP="004650C7">
      <w:pPr>
        <w:jc w:val="both"/>
        <w:rPr>
          <w:bCs/>
        </w:rPr>
      </w:pPr>
      <w:bookmarkStart w:id="0" w:name="_GoBack"/>
      <w:bookmarkEnd w:id="0"/>
    </w:p>
    <w:sectPr w:rsidR="004650C7" w:rsidRPr="00D57604" w:rsidSect="00D35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8"/>
    <w:rsid w:val="00160E42"/>
    <w:rsid w:val="00217D38"/>
    <w:rsid w:val="002449E8"/>
    <w:rsid w:val="003612C8"/>
    <w:rsid w:val="004650C7"/>
    <w:rsid w:val="008E5EB9"/>
    <w:rsid w:val="009C7B9C"/>
    <w:rsid w:val="00B77C4D"/>
    <w:rsid w:val="00BE597D"/>
    <w:rsid w:val="00D35B9A"/>
    <w:rsid w:val="00D57604"/>
    <w:rsid w:val="00E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51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Bortoluci</dc:creator>
  <cp:keywords/>
  <dc:description/>
  <cp:lastModifiedBy>Karina Bortoluci</cp:lastModifiedBy>
  <cp:revision>4</cp:revision>
  <dcterms:created xsi:type="dcterms:W3CDTF">2013-08-19T20:27:00Z</dcterms:created>
  <dcterms:modified xsi:type="dcterms:W3CDTF">2013-08-19T20:32:00Z</dcterms:modified>
</cp:coreProperties>
</file>