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86FDA" w14:textId="605E9084" w:rsidR="00613A97" w:rsidRPr="00613A97" w:rsidRDefault="00692FD3">
      <w:pPr>
        <w:rPr>
          <w:b/>
        </w:rPr>
      </w:pPr>
      <w:r>
        <w:rPr>
          <w:b/>
        </w:rPr>
        <w:t>S</w:t>
      </w:r>
      <w:r w:rsidR="00DD09E1">
        <w:rPr>
          <w:b/>
        </w:rPr>
        <w:t>2</w:t>
      </w:r>
      <w:r>
        <w:rPr>
          <w:b/>
        </w:rPr>
        <w:t xml:space="preserve"> </w:t>
      </w:r>
      <w:r w:rsidR="006C1FDA">
        <w:rPr>
          <w:b/>
        </w:rPr>
        <w:t xml:space="preserve">Text. </w:t>
      </w:r>
      <w:r w:rsidR="00613A97">
        <w:rPr>
          <w:b/>
        </w:rPr>
        <w:t xml:space="preserve">Supplementary </w:t>
      </w:r>
      <w:r w:rsidR="006C1FDA">
        <w:rPr>
          <w:b/>
        </w:rPr>
        <w:t>r</w:t>
      </w:r>
      <w:r w:rsidR="00613A97">
        <w:rPr>
          <w:b/>
        </w:rPr>
        <w:t>esults</w:t>
      </w:r>
      <w:r w:rsidR="00E43A89">
        <w:rPr>
          <w:b/>
        </w:rPr>
        <w:t xml:space="preserve">: </w:t>
      </w:r>
      <w:r w:rsidR="00613A97">
        <w:rPr>
          <w:b/>
        </w:rPr>
        <w:t>Model selection</w:t>
      </w:r>
    </w:p>
    <w:p w14:paraId="2CF7BFFA" w14:textId="23EDE660" w:rsidR="00B75C04" w:rsidRPr="00B75C04" w:rsidRDefault="00B75C04" w:rsidP="00B75C04">
      <w:pPr>
        <w:spacing w:after="0" w:line="480" w:lineRule="auto"/>
        <w:rPr>
          <w:b/>
        </w:rPr>
      </w:pPr>
      <w:r w:rsidRPr="00B75C04">
        <w:rPr>
          <w:b/>
        </w:rPr>
        <w:t>1. Model selection methods</w:t>
      </w:r>
    </w:p>
    <w:p w14:paraId="5E67CE84" w14:textId="21A26F42" w:rsidR="00F116AE" w:rsidRDefault="00F116AE" w:rsidP="0021236D">
      <w:pPr>
        <w:spacing w:after="0" w:line="480" w:lineRule="auto"/>
        <w:ind w:firstLine="720"/>
      </w:pPr>
      <w:r>
        <w:t xml:space="preserve">The approach taken in this study </w:t>
      </w:r>
      <w:r w:rsidR="00A10BCC">
        <w:t>was</w:t>
      </w:r>
      <w:r>
        <w:t xml:space="preserve"> to evaluate a series of GEE models that use</w:t>
      </w:r>
      <w:r w:rsidR="001103C1">
        <w:t>d</w:t>
      </w:r>
      <w:r>
        <w:t xml:space="preserve"> calculated photorecept</w:t>
      </w:r>
      <w:r w:rsidR="001103C1">
        <w:t>or excitation values, or indices</w:t>
      </w:r>
      <w:r>
        <w:t xml:space="preserve"> constructed from them, to predict the total combined catches of 37 tiny targets recorded in a field study</w:t>
      </w:r>
      <w:r w:rsidR="00E43A89">
        <w:t xml:space="preserve"> </w:t>
      </w:r>
      <w:r w:rsidR="00E43A89">
        <w:fldChar w:fldCharType="begin"/>
      </w:r>
      <w:r w:rsidR="00C70032">
        <w:instrText xml:space="preserve"> ADDIN EN.CITE &lt;EndNote&gt;&lt;Cite&gt;&lt;Author&gt;Lindh&lt;/Author&gt;&lt;Year&gt;2012&lt;/Year&gt;&lt;RecNum&gt;835&lt;/RecNum&gt;&lt;record&gt;&lt;rec-number&gt;835&lt;/rec-number&gt;&lt;foreign-keys&gt;&lt;key app="EN" db-id="0padax098pd05hes52ep0statvdp2a2rr59a"&gt;835&lt;/key&gt;&lt;/foreign-keys&gt;&lt;ref-type name="Journal Article"&gt;17&lt;/ref-type&gt;&lt;contributors&gt;&lt;authors&gt;&lt;author&gt;Lindh, J.M.&lt;/author&gt;&lt;author&gt;Goswami, P.&lt;/author&gt;&lt;author&gt;Blackburn, R.&lt;/author&gt;&lt;author&gt;Arnold, S.E.J.&lt;/author&gt;&lt;author&gt;Vale, G.A.&lt;/author&gt;&lt;author&gt;Lehane, M.J.&lt;/author&gt;&lt;author&gt;Torr, S.J.&lt;/author&gt;&lt;/authors&gt;&lt;/contributors&gt;&lt;titles&gt;&lt;title&gt;&lt;style face="normal" font="default" size="100%"&gt;Optimizing the colour and fabric of targets for the control of the tsetse fly &lt;/style&gt;&lt;style face="italic" font="default" size="100%"&gt;Glossina fuscipes fuscipes&lt;/style&gt;&lt;/title&gt;&lt;secondary-title&gt;PLoS Negl. Trop. Dis.&lt;/secondary-title&gt;&lt;/titles&gt;&lt;periodical&gt;&lt;full-title&gt;PLoS Negl. Trop. Dis.&lt;/full-title&gt;&lt;/periodical&gt;&lt;pages&gt;e1661&lt;/pages&gt;&lt;volume&gt;6&lt;/volume&gt;&lt;number&gt;5&lt;/number&gt;&lt;dates&gt;&lt;year&gt;2012&lt;/year&gt;&lt;/dates&gt;&lt;urls&gt;&lt;/urls&gt;&lt;/record&gt;&lt;/Cite&gt;&lt;/EndNote&gt;</w:instrText>
      </w:r>
      <w:r w:rsidR="00E43A89">
        <w:fldChar w:fldCharType="separate"/>
      </w:r>
      <w:r w:rsidR="00E43A89">
        <w:t>[1]</w:t>
      </w:r>
      <w:r w:rsidR="00E43A89">
        <w:fldChar w:fldCharType="end"/>
      </w:r>
      <w:r>
        <w:t>.</w:t>
      </w:r>
    </w:p>
    <w:p w14:paraId="4F6A935D" w14:textId="6DB871F5" w:rsidR="0021236D" w:rsidRDefault="0021236D" w:rsidP="0021236D">
      <w:pPr>
        <w:spacing w:after="0" w:line="480" w:lineRule="auto"/>
        <w:ind w:firstLine="720"/>
      </w:pPr>
      <w:r>
        <w:t xml:space="preserve">For each model, the </w:t>
      </w:r>
      <w:r w:rsidR="00613A97">
        <w:t xml:space="preserve">SPSS </w:t>
      </w:r>
      <w:r>
        <w:t xml:space="preserve">GENLIN algorithm </w:t>
      </w:r>
      <w:r w:rsidR="00F116AE">
        <w:t xml:space="preserve">used to implement the GEE </w:t>
      </w:r>
      <w:r>
        <w:t xml:space="preserve">provided the corrected quasi-likelihood under independence model criterion, QICC, which is a modification of AIC (Akaike’s Information Criterion) for use with GEE that is corrected for small sample sizes with a stricter penalty for model complexity </w:t>
      </w:r>
      <w:r>
        <w:fldChar w:fldCharType="begin"/>
      </w:r>
      <w:r w:rsidR="00C70032">
        <w:instrText xml:space="preserve"> ADDIN EN.CITE &lt;EndNote&gt;&lt;Cite&gt;&lt;Author&gt;Pan&lt;/Author&gt;&lt;Year&gt;2001&lt;/Year&gt;&lt;RecNum&gt;927&lt;/RecNum&gt;&lt;record&gt;&lt;rec-number&gt;927&lt;/rec-number&gt;&lt;foreign-keys&gt;&lt;key app="EN" db-id="0padax098pd05hes52ep0statvdp2a2rr59a"&gt;927&lt;/key&gt;&lt;/foreign-keys&gt;&lt;ref-type name="Journal Article"&gt;17&lt;/ref-type&gt;&lt;contributors&gt;&lt;authors&gt;&lt;author&gt;Pan, W.&lt;/author&gt;&lt;/authors&gt;&lt;/contributors&gt;&lt;titles&gt;&lt;title&gt;Akaike&amp;apos;s information criterion in generalized estimating equations&lt;/title&gt;&lt;secondary-title&gt;Biometrics&lt;/secondary-title&gt;&lt;/titles&gt;&lt;periodical&gt;&lt;full-title&gt;Biometrics&lt;/full-title&gt;&lt;/periodical&gt;&lt;pages&gt;120-125&lt;/pages&gt;&lt;volume&gt;57&lt;/volume&gt;&lt;number&gt;1&lt;/number&gt;&lt;dates&gt;&lt;year&gt;2001&lt;/year&gt;&lt;/dates&gt;&lt;urls&gt;&lt;/urls&gt;&lt;/record&gt;&lt;/Cite&gt;&lt;Cite&gt;&lt;Author&gt;Garson&lt;/Author&gt;&lt;Year&gt;2012&lt;/Year&gt;&lt;RecNum&gt;898&lt;/RecNum&gt;&lt;record&gt;&lt;rec-number&gt;898&lt;/rec-number&gt;&lt;foreign-keys&gt;&lt;key app="EN" db-id="0padax098pd05hes52ep0statvdp2a2rr59a"&gt;898&lt;/key&gt;&lt;/foreign-keys&gt;&lt;ref-type name="Book"&gt;6&lt;/ref-type&gt;&lt;contributors&gt;&lt;authors&gt;&lt;author&gt;Garson, G.D.&lt;/author&gt;&lt;/authors&gt;&lt;/contributors&gt;&lt;titles&gt;&lt;title&gt;Generalized linear models and generalized estimating equations&lt;/title&gt;&lt;secondary-title&gt;Blue Book Series&lt;/secondary-title&gt;&lt;/titles&gt;&lt;dates&gt;&lt;year&gt;2012&lt;/year&gt;&lt;/dates&gt;&lt;pub-location&gt;Asheboro, N.C.&lt;/pub-location&gt;&lt;publisher&gt;Statistical Associates Publishing&lt;/publisher&gt;&lt;urls&gt;&lt;/urls&gt;&lt;/record&gt;&lt;/Cite&gt;&lt;Cite&gt;&lt;Author&gt;Hardin&lt;/Author&gt;&lt;Year&gt;2012&lt;/Year&gt;&lt;RecNum&gt;980&lt;/RecNum&gt;&lt;record&gt;&lt;rec-number&gt;980&lt;/rec-number&gt;&lt;foreign-keys&gt;&lt;key app="EN" db-id="0padax098pd05hes52ep0statvdp2a2rr59a"&gt;980&lt;/key&gt;&lt;/foreign-keys&gt;&lt;ref-type name="Book"&gt;6&lt;/ref-type&gt;&lt;contributors&gt;&lt;authors&gt;&lt;author&gt;Hardin, J.W.&lt;/author&gt;&lt;author&gt;Hilbe, J.M.&lt;/author&gt;&lt;/authors&gt;&lt;/contributors&gt;&lt;titles&gt;&lt;title&gt;Generalized Estimating Equations, second edition&lt;/title&gt;&lt;/titles&gt;&lt;dates&gt;&lt;year&gt;2012&lt;/year&gt;&lt;/dates&gt;&lt;pub-location&gt;Boca Raton&lt;/pub-location&gt;&lt;publisher&gt;CRC Press&lt;/publisher&gt;&lt;urls&gt;&lt;/urls&gt;&lt;/record&gt;&lt;/Cite&gt;&lt;/EndNote&gt;</w:instrText>
      </w:r>
      <w:r>
        <w:fldChar w:fldCharType="separate"/>
      </w:r>
      <w:r w:rsidR="00E43A89">
        <w:t>[2,3,4]</w:t>
      </w:r>
      <w:r>
        <w:fldChar w:fldCharType="end"/>
      </w:r>
      <w:r>
        <w:t xml:space="preserve">. Lower values of QICC indicate better fit to the data </w:t>
      </w:r>
      <w:r>
        <w:fldChar w:fldCharType="begin"/>
      </w:r>
      <w:r w:rsidR="00C70032">
        <w:instrText xml:space="preserve"> ADDIN EN.CITE &lt;EndNote&gt;&lt;Cite&gt;&lt;Author&gt;Garson&lt;/Author&gt;&lt;Year&gt;2012&lt;/Year&gt;&lt;RecNum&gt;898&lt;/RecNum&gt;&lt;record&gt;&lt;rec-number&gt;898&lt;/rec-number&gt;&lt;foreign-keys&gt;&lt;key app="EN" db-id="0padax098pd05hes52ep0statvdp2a2rr59a"&gt;898&lt;/key&gt;&lt;/foreign-keys&gt;&lt;ref-type name="Book"&gt;6&lt;/ref-type&gt;&lt;contributors&gt;&lt;authors&gt;&lt;author&gt;Garson, G.D.&lt;/author&gt;&lt;/authors&gt;&lt;/contributors&gt;&lt;titles&gt;&lt;title&gt;Generalized linear models and generalized estimating equations&lt;/title&gt;&lt;secondary-title&gt;Blue Book Series&lt;/secondary-title&gt;&lt;/titles&gt;&lt;dates&gt;&lt;year&gt;2012&lt;/year&gt;&lt;/dates&gt;&lt;pub-location&gt;Asheboro, N.C.&lt;/pub-location&gt;&lt;publisher&gt;Statistical Associates Publishing&lt;/publisher&gt;&lt;urls&gt;&lt;/urls&gt;&lt;/record&gt;&lt;/Cite&gt;&lt;/EndNote&gt;</w:instrText>
      </w:r>
      <w:r>
        <w:fldChar w:fldCharType="separate"/>
      </w:r>
      <w:r w:rsidR="00E43A89">
        <w:t>[3]</w:t>
      </w:r>
      <w:r>
        <w:fldChar w:fldCharType="end"/>
      </w:r>
      <w:r>
        <w:t xml:space="preserve">. At each analysis stage, ΔQICC values were calculated for each candidate model under consideration </w:t>
      </w:r>
      <w:r>
        <w:fldChar w:fldCharType="begin"/>
      </w:r>
      <w:r w:rsidR="00C70032">
        <w:instrText xml:space="preserve"> ADDIN EN.CITE &lt;EndNote&gt;&lt;Cite&gt;&lt;Author&gt;Burnham&lt;/Author&gt;&lt;Year&gt;2002&lt;/Year&gt;&lt;RecNum&gt;931&lt;/RecNum&gt;&lt;record&gt;&lt;rec-number&gt;931&lt;/rec-number&gt;&lt;foreign-keys&gt;&lt;key app="EN" db-id="0padax098pd05hes52ep0statvdp2a2rr59a"&gt;931&lt;/key&gt;&lt;/foreign-keys&gt;&lt;ref-type name="Book"&gt;6&lt;/ref-type&gt;&lt;contributors&gt;&lt;authors&gt;&lt;author&gt;Burnham, K.P.&lt;/author&gt;&lt;author&gt;Anderson, D.R.&lt;/author&gt;&lt;/authors&gt;&lt;/contributors&gt;&lt;titles&gt;&lt;title&gt;Model Selection and Multimodel Inference: A Practical Information-Theoretic Approach, second edition&lt;/title&gt;&lt;/titles&gt;&lt;dates&gt;&lt;year&gt;2002&lt;/year&gt;&lt;/dates&gt;&lt;pub-location&gt;New York&lt;/pub-location&gt;&lt;publisher&gt;Springer-Verlag&lt;/publisher&gt;&lt;urls&gt;&lt;/urls&gt;&lt;/record&gt;&lt;/Cite&gt;&lt;/EndNote&gt;</w:instrText>
      </w:r>
      <w:r>
        <w:fldChar w:fldCharType="separate"/>
      </w:r>
      <w:r w:rsidR="00E43A89">
        <w:t>[5]</w:t>
      </w:r>
      <w:r>
        <w:fldChar w:fldCharType="end"/>
      </w:r>
      <w:r>
        <w:t>:</w:t>
      </w:r>
    </w:p>
    <w:p w14:paraId="46A448D3" w14:textId="26DA5914" w:rsidR="0021236D" w:rsidRDefault="00B14540" w:rsidP="0021236D">
      <w:pPr>
        <w:spacing w:after="0" w:line="480" w:lineRule="auto"/>
        <w:jc w:val="center"/>
      </w:pPr>
      <w:r w:rsidRPr="00B14540">
        <w:rPr>
          <w:rFonts w:cs="Arial"/>
          <w:position w:val="-12"/>
        </w:rPr>
        <w:object w:dxaOrig="2760" w:dyaOrig="360" w14:anchorId="6035AF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21.75pt" o:ole="">
            <v:imagedata r:id="rId4" o:title=""/>
          </v:shape>
          <o:OLEObject Type="Embed" ProgID="Equation.DSMT4" ShapeID="_x0000_i1025" DrawAspect="Content" ObjectID="_1550925098" r:id="rId5"/>
        </w:object>
      </w:r>
    </w:p>
    <w:p w14:paraId="278AB207" w14:textId="129575AB" w:rsidR="0021236D" w:rsidRDefault="0021236D" w:rsidP="0021236D">
      <w:pPr>
        <w:spacing w:after="0" w:line="480" w:lineRule="auto"/>
      </w:pPr>
      <w:r>
        <w:t xml:space="preserve">Models with ΔQICC &lt;2 were deemed competitive with the best model </w:t>
      </w:r>
      <w:r>
        <w:fldChar w:fldCharType="begin"/>
      </w:r>
      <w:r w:rsidR="00C70032">
        <w:instrText xml:space="preserve"> ADDIN EN.CITE &lt;EndNote&gt;&lt;Cite&gt;&lt;Author&gt;Burnham&lt;/Author&gt;&lt;Year&gt;2002&lt;/Year&gt;&lt;RecNum&gt;931&lt;/RecNum&gt;&lt;record&gt;&lt;rec-number&gt;931&lt;/rec-number&gt;&lt;foreign-keys&gt;&lt;key app="EN" db-id="0padax098pd05hes52ep0statvdp2a2rr59a"&gt;931&lt;/key&gt;&lt;/foreign-keys&gt;&lt;ref-type name="Book"&gt;6&lt;/ref-type&gt;&lt;contributors&gt;&lt;authors&gt;&lt;author&gt;Burnham, K.P.&lt;/author&gt;&lt;author&gt;Anderson, D.R.&lt;/author&gt;&lt;/authors&gt;&lt;/contributors&gt;&lt;titles&gt;&lt;title&gt;Model Selection and Multimodel Inference: A Practical Information-Theoretic Approach, second edition&lt;/title&gt;&lt;/titles&gt;&lt;dates&gt;&lt;year&gt;2002&lt;/year&gt;&lt;/dates&gt;&lt;pub-location&gt;New York&lt;/pub-location&gt;&lt;publisher&gt;Springer-Verlag&lt;/publisher&gt;&lt;urls&gt;&lt;/urls&gt;&lt;/record&gt;&lt;/Cite&gt;&lt;/EndNote&gt;</w:instrText>
      </w:r>
      <w:r>
        <w:fldChar w:fldCharType="separate"/>
      </w:r>
      <w:r w:rsidR="00E43A89">
        <w:t>[5]</w:t>
      </w:r>
      <w:r>
        <w:fldChar w:fldCharType="end"/>
      </w:r>
      <w:r>
        <w:t xml:space="preserve">. In addition, Akaike weights, </w:t>
      </w:r>
      <w:r w:rsidRPr="004E050A">
        <w:rPr>
          <w:i/>
        </w:rPr>
        <w:t>w</w:t>
      </w:r>
      <w:r w:rsidRPr="004E050A">
        <w:rPr>
          <w:i/>
          <w:vertAlign w:val="subscript"/>
        </w:rPr>
        <w:t>i</w:t>
      </w:r>
      <w:r>
        <w:t xml:space="preserve">, were computed to indicate relative weight of evidence supporting an individual model as being the best approximating model within a set of </w:t>
      </w:r>
      <w:r w:rsidRPr="00D3026E">
        <w:rPr>
          <w:i/>
        </w:rPr>
        <w:t>R</w:t>
      </w:r>
      <w:r>
        <w:t xml:space="preserve"> competitive models (on the assumption that one of them is </w:t>
      </w:r>
      <w:r w:rsidR="001103C1">
        <w:t xml:space="preserve">indeed </w:t>
      </w:r>
      <w:r>
        <w:t xml:space="preserve">the best approximating model) </w:t>
      </w:r>
      <w:r>
        <w:fldChar w:fldCharType="begin"/>
      </w:r>
      <w:r w:rsidR="00C70032">
        <w:instrText xml:space="preserve"> ADDIN EN.CITE &lt;EndNote&gt;&lt;Cite&gt;&lt;Author&gt;Burnham&lt;/Author&gt;&lt;Year&gt;2002&lt;/Year&gt;&lt;RecNum&gt;931&lt;/RecNum&gt;&lt;record&gt;&lt;rec-number&gt;931&lt;/rec-number&gt;&lt;foreign-keys&gt;&lt;key app="EN" db-id="0padax098pd05hes52ep0statvdp2a2rr59a"&gt;931&lt;/key&gt;&lt;/foreign-keys&gt;&lt;ref-type name="Book"&gt;6&lt;/ref-type&gt;&lt;contributors&gt;&lt;authors&gt;&lt;author&gt;Burnham, K.P.&lt;/author&gt;&lt;author&gt;Anderson, D.R.&lt;/author&gt;&lt;/authors&gt;&lt;/contributors&gt;&lt;titles&gt;&lt;title&gt;Model Selection and Multimodel Inference: A Practical Information-Theoretic Approach, second edition&lt;/title&gt;&lt;/titles&gt;&lt;dates&gt;&lt;year&gt;2002&lt;/year&gt;&lt;/dates&gt;&lt;pub-location&gt;New York&lt;/pub-location&gt;&lt;publisher&gt;Springer-Verlag&lt;/publisher&gt;&lt;urls&gt;&lt;/urls&gt;&lt;/record&gt;&lt;/Cite&gt;&lt;/EndNote&gt;</w:instrText>
      </w:r>
      <w:r>
        <w:fldChar w:fldCharType="separate"/>
      </w:r>
      <w:r w:rsidR="00E43A89">
        <w:t>[5]</w:t>
      </w:r>
      <w:r>
        <w:fldChar w:fldCharType="end"/>
      </w:r>
      <w:r>
        <w:t>:</w:t>
      </w:r>
    </w:p>
    <w:p w14:paraId="0EDC7530" w14:textId="176C5D95" w:rsidR="0021236D" w:rsidRDefault="00B14540" w:rsidP="0021236D">
      <w:pPr>
        <w:spacing w:after="0" w:line="480" w:lineRule="auto"/>
        <w:jc w:val="center"/>
        <w:rPr>
          <w:rFonts w:cs="Arial"/>
        </w:rPr>
      </w:pPr>
      <w:r w:rsidRPr="00D3026E">
        <w:rPr>
          <w:rFonts w:cs="Arial"/>
          <w:position w:val="-60"/>
        </w:rPr>
        <w:object w:dxaOrig="2540" w:dyaOrig="1260" w14:anchorId="068A06CE">
          <v:shape id="_x0000_i1026" type="#_x0000_t75" style="width:129.75pt;height:64.5pt" o:ole="">
            <v:imagedata r:id="rId6" o:title=""/>
          </v:shape>
          <o:OLEObject Type="Embed" ProgID="Equation.DSMT4" ShapeID="_x0000_i1026" DrawAspect="Content" ObjectID="_1550925099" r:id="rId7"/>
        </w:object>
      </w:r>
    </w:p>
    <w:p w14:paraId="3A886038" w14:textId="7C308A2A" w:rsidR="0021236D" w:rsidRDefault="0021236D" w:rsidP="0021236D">
      <w:pPr>
        <w:spacing w:after="0" w:line="480" w:lineRule="auto"/>
      </w:pPr>
      <w:r>
        <w:t>Note that</w:t>
      </w:r>
      <w:r w:rsidR="00E43A89">
        <w:t>, therefore,</w:t>
      </w:r>
      <w:r>
        <w:t xml:space="preserve"> Akaike weights can be compared within </w:t>
      </w:r>
      <w:r w:rsidR="00E43A89">
        <w:t xml:space="preserve">a set of models that use the same tsetse catch data (e.g. that for males or females), and the same photoreceptor excitation values (e.g. those from screened or unscreened sensitivities), presented </w:t>
      </w:r>
      <w:r>
        <w:t xml:space="preserve">in the same table. They cannot be directly compared </w:t>
      </w:r>
      <w:r w:rsidR="00E43A89">
        <w:t xml:space="preserve">with models in </w:t>
      </w:r>
      <w:r>
        <w:t>different analysis blocks or results tables.</w:t>
      </w:r>
    </w:p>
    <w:p w14:paraId="5CD8E3E9" w14:textId="56C06D85" w:rsidR="000E01D3" w:rsidRPr="005B4983" w:rsidRDefault="00B75C04" w:rsidP="000E01D3">
      <w:pPr>
        <w:spacing w:after="0" w:line="480" w:lineRule="auto"/>
        <w:rPr>
          <w:b/>
        </w:rPr>
      </w:pPr>
      <w:r>
        <w:rPr>
          <w:b/>
        </w:rPr>
        <w:t xml:space="preserve">2. </w:t>
      </w:r>
      <w:r w:rsidR="000E01D3" w:rsidRPr="005B4983">
        <w:rPr>
          <w:b/>
        </w:rPr>
        <w:t>Model</w:t>
      </w:r>
      <w:r w:rsidR="00613A97">
        <w:rPr>
          <w:b/>
        </w:rPr>
        <w:t>s</w:t>
      </w:r>
      <w:r w:rsidR="000E01D3" w:rsidRPr="005B4983">
        <w:rPr>
          <w:b/>
        </w:rPr>
        <w:t xml:space="preserve"> based upon </w:t>
      </w:r>
      <w:r w:rsidR="000E01D3">
        <w:rPr>
          <w:b/>
        </w:rPr>
        <w:t xml:space="preserve">weighted </w:t>
      </w:r>
      <w:r w:rsidR="000E01D3" w:rsidRPr="005B4983">
        <w:rPr>
          <w:b/>
        </w:rPr>
        <w:t>photoreceptor excitations</w:t>
      </w:r>
    </w:p>
    <w:p w14:paraId="07AC39C4" w14:textId="2A94110E" w:rsidR="009D74AC" w:rsidRDefault="002764E4" w:rsidP="000E01D3">
      <w:pPr>
        <w:spacing w:after="0" w:line="480" w:lineRule="auto"/>
        <w:ind w:firstLine="720"/>
      </w:pPr>
      <w:r>
        <w:t xml:space="preserve">In the first stage of analysis </w:t>
      </w:r>
      <w:r w:rsidR="000E01D3">
        <w:t xml:space="preserve">a </w:t>
      </w:r>
      <w:r w:rsidR="009D74AC">
        <w:t xml:space="preserve">set of </w:t>
      </w:r>
      <w:r w:rsidR="000E01D3">
        <w:t xml:space="preserve">GEE models comprising </w:t>
      </w:r>
      <w:r w:rsidR="000E01D3" w:rsidRPr="00D271D5">
        <w:t xml:space="preserve">every possible combination of between </w:t>
      </w:r>
      <w:r w:rsidR="000E01D3">
        <w:t>one</w:t>
      </w:r>
      <w:r w:rsidR="000E01D3" w:rsidRPr="00D271D5">
        <w:t xml:space="preserve"> and </w:t>
      </w:r>
      <w:r w:rsidR="000E01D3">
        <w:t>five</w:t>
      </w:r>
      <w:r w:rsidR="000E01D3" w:rsidRPr="00D271D5">
        <w:t xml:space="preserve"> of the calculated photoreceptor excitation values as predictors</w:t>
      </w:r>
      <w:r w:rsidR="00BB3507">
        <w:t xml:space="preserve"> was evaluated</w:t>
      </w:r>
      <w:r w:rsidR="000E01D3">
        <w:t xml:space="preserve">. </w:t>
      </w:r>
      <w:r w:rsidR="009D74AC">
        <w:lastRenderedPageBreak/>
        <w:t xml:space="preserve">This was conducted separately for the </w:t>
      </w:r>
      <w:r w:rsidR="001103C1">
        <w:t xml:space="preserve">male and female catch datasets, and for the </w:t>
      </w:r>
      <w:r w:rsidR="009D74AC">
        <w:t xml:space="preserve">assumptions of screened </w:t>
      </w:r>
      <w:r w:rsidR="001103C1">
        <w:t xml:space="preserve">(Fig 1B) </w:t>
      </w:r>
      <w:r w:rsidR="009D74AC">
        <w:t>and unscreened</w:t>
      </w:r>
      <w:r w:rsidR="001103C1">
        <w:t xml:space="preserve"> (Fig 1C)</w:t>
      </w:r>
      <w:r w:rsidR="009D74AC">
        <w:t xml:space="preserve"> photoreceptor sensitivities.</w:t>
      </w:r>
    </w:p>
    <w:p w14:paraId="7530B8B1" w14:textId="7EC10D65" w:rsidR="009D74AC" w:rsidRDefault="009D74AC">
      <w:pPr>
        <w:spacing w:after="0" w:line="480" w:lineRule="auto"/>
        <w:ind w:firstLine="720"/>
      </w:pPr>
      <w:r>
        <w:t xml:space="preserve">Under the assumption of </w:t>
      </w:r>
      <w:r w:rsidR="00BB3507">
        <w:t xml:space="preserve">both </w:t>
      </w:r>
      <w:r>
        <w:t>screened and unscreened sensitivities</w:t>
      </w:r>
      <w:r w:rsidR="000E01D3" w:rsidRPr="00D271D5">
        <w:t xml:space="preserve">, more complex models provided better explanations for </w:t>
      </w:r>
      <w:r w:rsidR="000E01D3">
        <w:t>tsetse attraction</w:t>
      </w:r>
      <w:r w:rsidR="000E01D3" w:rsidRPr="00D271D5">
        <w:t>, and several models were deemed to have strong support via</w:t>
      </w:r>
      <w:r w:rsidR="000E01D3">
        <w:t xml:space="preserve"> low</w:t>
      </w:r>
      <w:r w:rsidR="000E01D3" w:rsidRPr="00D271D5">
        <w:t xml:space="preserve"> ΔQICC and</w:t>
      </w:r>
      <w:r w:rsidR="000E01D3">
        <w:t xml:space="preserve"> high</w:t>
      </w:r>
      <w:r w:rsidR="000E01D3" w:rsidRPr="00D271D5">
        <w:t xml:space="preserve"> </w:t>
      </w:r>
      <w:r w:rsidR="000E01D3" w:rsidRPr="002F717F">
        <w:rPr>
          <w:i/>
        </w:rPr>
        <w:t>w</w:t>
      </w:r>
      <w:r w:rsidR="000E01D3" w:rsidRPr="002F717F">
        <w:rPr>
          <w:i/>
          <w:vertAlign w:val="subscript"/>
        </w:rPr>
        <w:t>i</w:t>
      </w:r>
      <w:r w:rsidR="000E01D3">
        <w:t xml:space="preserve"> (Table</w:t>
      </w:r>
      <w:r w:rsidR="001103C1">
        <w:t>s A and B</w:t>
      </w:r>
      <w:r w:rsidR="000E01D3">
        <w:t>).</w:t>
      </w:r>
      <w:r w:rsidR="000E01D3" w:rsidRPr="00D271D5">
        <w:t xml:space="preserve"> </w:t>
      </w:r>
      <w:r>
        <w:t>When screened sensitivities were assumed, o</w:t>
      </w:r>
      <w:r w:rsidR="000E01D3" w:rsidRPr="00D271D5">
        <w:t xml:space="preserve">f the three models with strongest support only one was common to the male and female datasets, and that </w:t>
      </w:r>
      <w:r w:rsidR="000E01D3">
        <w:t xml:space="preserve">employed the excitations of R7y, R7p, and R8y as predictors (Table </w:t>
      </w:r>
      <w:r w:rsidR="001103C1">
        <w:t>A</w:t>
      </w:r>
      <w:r w:rsidR="000E01D3">
        <w:t>).</w:t>
      </w:r>
      <w:r w:rsidR="00650B9C">
        <w:t xml:space="preserve"> When unscreened sensitivities were assumed, there was only moderate support for the R7y, R7p, R8y model</w:t>
      </w:r>
      <w:r w:rsidRPr="00D271D5">
        <w:t xml:space="preserve"> and other three-predictor models that included the excitations of the three implicated photoreceptors</w:t>
      </w:r>
      <w:r>
        <w:t xml:space="preserve">. </w:t>
      </w:r>
      <w:r w:rsidR="00650B9C">
        <w:t>T</w:t>
      </w:r>
      <w:r w:rsidRPr="00D271D5">
        <w:t>he most strongly supported models were more complex (</w:t>
      </w:r>
      <w:r>
        <w:t>T</w:t>
      </w:r>
      <w:r w:rsidRPr="00D271D5">
        <w:t xml:space="preserve">able </w:t>
      </w:r>
      <w:r w:rsidR="001103C1">
        <w:t>B</w:t>
      </w:r>
      <w:r w:rsidRPr="00D271D5">
        <w:t xml:space="preserve">). </w:t>
      </w:r>
      <w:r w:rsidR="009516AA">
        <w:t>Of these, the best-</w:t>
      </w:r>
      <w:r>
        <w:t xml:space="preserve">supported model common to the male and female datasets included the excitations of R1-6, R7p, R8p, and R8y (Table </w:t>
      </w:r>
      <w:r w:rsidR="001103C1">
        <w:t>B</w:t>
      </w:r>
      <w:r>
        <w:t xml:space="preserve">). </w:t>
      </w:r>
    </w:p>
    <w:p w14:paraId="692A49BF" w14:textId="77777777" w:rsidR="00650B9C" w:rsidRDefault="00650B9C">
      <w:pPr>
        <w:spacing w:after="0" w:line="480" w:lineRule="auto"/>
        <w:ind w:firstLine="720"/>
      </w:pPr>
    </w:p>
    <w:p w14:paraId="165C1083" w14:textId="77777777" w:rsidR="00650B9C" w:rsidRDefault="00650B9C">
      <w:pPr>
        <w:spacing w:after="0" w:line="480" w:lineRule="auto"/>
        <w:ind w:firstLine="720"/>
      </w:pPr>
    </w:p>
    <w:p w14:paraId="64F2292F" w14:textId="77777777" w:rsidR="00650B9C" w:rsidRDefault="00650B9C">
      <w:pPr>
        <w:spacing w:after="0" w:line="480" w:lineRule="auto"/>
        <w:ind w:firstLine="720"/>
      </w:pPr>
    </w:p>
    <w:p w14:paraId="3922E7BC" w14:textId="77777777" w:rsidR="009D74AC" w:rsidRDefault="009D74AC" w:rsidP="000E01D3">
      <w:pPr>
        <w:spacing w:after="0" w:line="480" w:lineRule="auto"/>
        <w:ind w:firstLine="720"/>
      </w:pPr>
    </w:p>
    <w:p w14:paraId="0A457817" w14:textId="77777777" w:rsidR="00A476BA" w:rsidRDefault="00A476BA">
      <w:pPr>
        <w:rPr>
          <w:b/>
        </w:rPr>
      </w:pPr>
      <w:r>
        <w:rPr>
          <w:b/>
        </w:rPr>
        <w:br w:type="page"/>
      </w:r>
    </w:p>
    <w:p w14:paraId="261CADE0" w14:textId="2AFB68EE" w:rsidR="0099667A" w:rsidRPr="009E2FF3" w:rsidRDefault="0099667A" w:rsidP="0099667A">
      <w:pPr>
        <w:spacing w:after="0"/>
        <w:rPr>
          <w:b/>
        </w:rPr>
      </w:pPr>
      <w:r w:rsidRPr="009E2FF3">
        <w:rPr>
          <w:b/>
        </w:rPr>
        <w:lastRenderedPageBreak/>
        <w:t xml:space="preserve">Table </w:t>
      </w:r>
      <w:r w:rsidR="003C635A">
        <w:rPr>
          <w:b/>
        </w:rPr>
        <w:t>A</w:t>
      </w:r>
      <w:r w:rsidRPr="009E2FF3">
        <w:rPr>
          <w:b/>
        </w:rPr>
        <w:t>: Comparison of tsetse attraction models based upon photoreceptor excitation values calculated using screened sensitivity functions.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134"/>
        <w:gridCol w:w="1134"/>
      </w:tblGrid>
      <w:tr w:rsidR="0099667A" w:rsidRPr="00C25E97" w14:paraId="6778CAFF" w14:textId="77777777" w:rsidTr="004D280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72199" w14:textId="77777777" w:rsidR="0099667A" w:rsidRPr="00C25E97" w:rsidRDefault="0099667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0BF68" w14:textId="77777777" w:rsidR="0099667A" w:rsidRPr="00C25E97" w:rsidRDefault="0099667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E561E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A. Males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k=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0.054)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B9D92" w14:textId="77777777" w:rsidR="0099667A" w:rsidRPr="00C25E97" w:rsidRDefault="0099667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E561E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B. Females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k=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0.065)</w:t>
            </w:r>
          </w:p>
        </w:tc>
      </w:tr>
      <w:tr w:rsidR="0099667A" w:rsidRPr="00C25E97" w14:paraId="4F9473DE" w14:textId="77777777" w:rsidTr="004D280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7420" w14:textId="77777777" w:rsidR="0099667A" w:rsidRPr="00C25E97" w:rsidRDefault="0099667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C126" w14:textId="77777777" w:rsidR="0099667A" w:rsidRPr="00C25E97" w:rsidRDefault="0099667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9A41" w14:textId="77777777" w:rsidR="0099667A" w:rsidRPr="00C25E97" w:rsidRDefault="0099667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AC72" w14:textId="77777777" w:rsidR="0099667A" w:rsidRPr="00C25E97" w:rsidRDefault="0099667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w</w:t>
            </w: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  <w:lang w:eastAsia="en-GB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5C90" w14:textId="77777777" w:rsidR="0099667A" w:rsidRPr="00C25E97" w:rsidRDefault="0099667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07A3" w14:textId="77777777" w:rsidR="0099667A" w:rsidRPr="00C25E97" w:rsidRDefault="0099667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AD7D" w14:textId="77777777" w:rsidR="0099667A" w:rsidRPr="00C25E97" w:rsidRDefault="0099667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w</w:t>
            </w: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  <w:lang w:eastAsia="en-GB"/>
              </w:rPr>
              <w:t>i</w:t>
            </w:r>
          </w:p>
        </w:tc>
      </w:tr>
      <w:tr w:rsidR="0099667A" w:rsidRPr="00C25E97" w14:paraId="6EE16D82" w14:textId="77777777" w:rsidTr="004D280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F53A" w14:textId="77777777" w:rsidR="0099667A" w:rsidRPr="00C25E97" w:rsidRDefault="0099667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Intercept only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62E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175.606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E20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88.537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29A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A03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191.834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181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105.982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A1E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76BCB549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1195" w14:textId="77777777" w:rsidR="0099667A" w:rsidRPr="00C25E97" w:rsidRDefault="0099667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receptor models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56A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F54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13E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96B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8FE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E3C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99667A" w:rsidRPr="00C25E97" w14:paraId="01789958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9E9E" w14:textId="77777777" w:rsidR="0099667A" w:rsidRPr="00C25E97" w:rsidRDefault="00D617C3" w:rsidP="004D28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D8D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168.220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320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81.151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588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4EA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188.741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B42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102.889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4BE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16AA4F03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7B12" w14:textId="77777777" w:rsidR="0099667A" w:rsidRPr="00C25E97" w:rsidRDefault="00D617C3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1A9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109.321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CE0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22.252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D91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71E6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116.470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6B6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30.618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D40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3A7B2A47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F5BE" w14:textId="77777777" w:rsidR="0099667A" w:rsidRPr="00C25E97" w:rsidRDefault="00D617C3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30B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168.401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F39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81.332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8FA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97D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188.153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212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102.301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315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1DC17F64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C4CE" w14:textId="77777777" w:rsidR="0099667A" w:rsidRPr="00C25E97" w:rsidRDefault="00D617C3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D29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177.351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278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90.282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27C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FC6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193.668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5E86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107.816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29B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65BD5C28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E95C" w14:textId="77777777" w:rsidR="0099667A" w:rsidRPr="00C25E97" w:rsidRDefault="00D617C3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3396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139.157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A7B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52.088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96A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84F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161.126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108E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75.274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ECD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3F6E35E6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5920" w14:textId="77777777" w:rsidR="0099667A" w:rsidRPr="00C25E97" w:rsidRDefault="0099667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2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receptor models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FE5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F22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91A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627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6A0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D04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99667A" w:rsidRPr="00C25E97" w14:paraId="6E2A9A33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922C" w14:textId="77777777" w:rsidR="0099667A" w:rsidRPr="00C25E97" w:rsidRDefault="00D617C3" w:rsidP="004D28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5EC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111.201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D18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24.132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25F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685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115.075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DC3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29.223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51E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7FE42CA6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98D3" w14:textId="77777777" w:rsidR="0099667A" w:rsidRPr="00C25E97" w:rsidRDefault="00D617C3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D20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169.856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699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82.787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54B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E2C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191.507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4D1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105.655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CF1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295F03FB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E772" w14:textId="77777777" w:rsidR="0099667A" w:rsidRPr="00C25E97" w:rsidRDefault="00D617C3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E61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111.313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ECEE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24.244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218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30C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121.610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E14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35.758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E1C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24AEBFBE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7D9D" w14:textId="77777777" w:rsidR="0099667A" w:rsidRPr="00C25E97" w:rsidRDefault="00D617C3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CA2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108.938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E78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21.869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155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6DC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119.413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9C0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33.561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650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4658B347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9079" w14:textId="779EF000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517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102.994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18F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15.925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1BB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E5F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101.033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344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15.181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E4C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2A24DEB2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8B99" w14:textId="313DBBD4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607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107.342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C1E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20.273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85A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0246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108.694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054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22.842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A6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1FF309C1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193F" w14:textId="56CBF0DD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63C6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108.733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6D4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21.664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5E0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552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118.104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B97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32.252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492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7B7AB292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E783" w14:textId="17F7965B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617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143.890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A42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56.821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E27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7E5E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158.002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AA4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72.150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10C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1DA9D897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91E9" w14:textId="6190BDD4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6FA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135.508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76D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48.439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460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8DF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156.035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5BB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70.183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D95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0AB70B64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E79C" w14:textId="14CD79AC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FB7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108.859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4CD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21.790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AB1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8D6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119.189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ADA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33.337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44C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4BE1AC8A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BC4B" w14:textId="77777777" w:rsidR="0099667A" w:rsidRPr="00C25E97" w:rsidRDefault="0099667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receptor models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4F3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56F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FA2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554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1CD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962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99667A" w:rsidRPr="00C25E97" w14:paraId="4E3B386A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F776" w14:textId="463CD929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2EB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88.907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6CA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1.838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85C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FD1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85.852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ACE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022C" w14:textId="77777777" w:rsidR="0099667A" w:rsidRPr="00BF662F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  <w:t>0.217</w:t>
            </w:r>
          </w:p>
        </w:tc>
      </w:tr>
      <w:tr w:rsidR="0099667A" w:rsidRPr="00C25E97" w14:paraId="16CA85FD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109A" w14:textId="05E6E1EE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B27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91.719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8D3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4.650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7F3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A9E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94.607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2D1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8.755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458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0.003</w:t>
            </w:r>
          </w:p>
        </w:tc>
      </w:tr>
      <w:tr w:rsidR="0099667A" w:rsidRPr="00C25E97" w14:paraId="6758F5E5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F4C1" w14:textId="5B957273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72A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87.197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F86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BCA4" w14:textId="77777777" w:rsidR="0099667A" w:rsidRPr="00BF662F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  <w:t>0.188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AEC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89.298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E1E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3.446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646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0.039</w:t>
            </w:r>
          </w:p>
        </w:tc>
      </w:tr>
      <w:tr w:rsidR="0099667A" w:rsidRPr="00C25E97" w14:paraId="70B145C3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45A8" w14:textId="1BD4DC98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145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100.066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7DC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12.997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7D1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316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108.976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FA6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23.124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89D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468881C3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3450" w14:textId="786E04DC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BF4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92.207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BA1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5.138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D4E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85D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101.113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A1B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15.261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C96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01801D51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F8E4" w14:textId="7A12B9FE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47F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110.914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131E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23.845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42D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E20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121.146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16C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35.294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61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0F0389D2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684C" w14:textId="2C471722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E41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94.430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C38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7.361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E5F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42D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88.287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BE8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2.435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4A4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0.064</w:t>
            </w:r>
          </w:p>
        </w:tc>
      </w:tr>
      <w:tr w:rsidR="0099667A" w:rsidRPr="00C25E97" w14:paraId="301299E4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F2B7" w14:textId="6A57EA48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1D8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87.069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0BE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34B3" w14:textId="77777777" w:rsidR="0099667A" w:rsidRPr="00BF662F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u w:val="single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u w:val="single"/>
                <w:lang w:eastAsia="en-GB"/>
              </w:rPr>
              <w:t>0.200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9A76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85.951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55C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232F" w14:textId="77777777" w:rsidR="0099667A" w:rsidRPr="00BF662F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u w:val="single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u w:val="single"/>
                <w:lang w:eastAsia="en-GB"/>
              </w:rPr>
              <w:t>0.207</w:t>
            </w:r>
          </w:p>
        </w:tc>
      </w:tr>
      <w:tr w:rsidR="0099667A" w:rsidRPr="00C25E97" w14:paraId="55DA061F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952C" w14:textId="1CF3B8C0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8E8E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88.533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A1B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1.464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07C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162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91.107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1DE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5.255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F0AE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0.016</w:t>
            </w:r>
          </w:p>
        </w:tc>
      </w:tr>
      <w:tr w:rsidR="0099667A" w:rsidRPr="00C25E97" w14:paraId="02345378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B4F8" w14:textId="52CA9E5C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628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95.082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16D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8.013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D26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6CA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103.707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BF4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17.855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E00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652CC7C6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D28D" w14:textId="77777777" w:rsidR="0099667A" w:rsidRPr="00C25E97" w:rsidRDefault="0099667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4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receptor models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284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9126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38B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C37C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4151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8F0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99667A" w:rsidRPr="00C25E97" w14:paraId="6D577ED9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D4AB" w14:textId="594C42C6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608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90.781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6AD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3.712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98F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3A0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87.539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7AF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1.687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B1C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0.094</w:t>
            </w:r>
          </w:p>
        </w:tc>
      </w:tr>
      <w:tr w:rsidR="0099667A" w:rsidRPr="00C25E97" w14:paraId="1D5099D5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3228" w14:textId="46806785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14F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88.883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A81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1.814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215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31BE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87.698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1AC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1.846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BBC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0.086</w:t>
            </w:r>
          </w:p>
        </w:tc>
      </w:tr>
      <w:tr w:rsidR="0099667A" w:rsidRPr="00C25E97" w14:paraId="77F17F10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3521" w14:textId="2A176F3C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080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87.897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FAF6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AA54" w14:textId="77777777" w:rsidR="0099667A" w:rsidRPr="00BF662F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  <w:t>0.132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0EC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90.028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3C2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4.176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CB4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0.027</w:t>
            </w:r>
          </w:p>
        </w:tc>
      </w:tr>
      <w:tr w:rsidR="0099667A" w:rsidRPr="00C25E97" w14:paraId="15762BDF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82BA" w14:textId="3C378D3A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BB10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93.969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361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6.900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21A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2BEA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103.180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74D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17.328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3FB7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99667A" w:rsidRPr="00C25E97" w14:paraId="771A7044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BC10" w14:textId="5BAD7929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988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89.056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C12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1.987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8323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9A7F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86.585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F099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FE2A" w14:textId="77777777" w:rsidR="0099667A" w:rsidRPr="00BF662F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  <w:t>0.151</w:t>
            </w:r>
          </w:p>
        </w:tc>
      </w:tr>
      <w:tr w:rsidR="0099667A" w:rsidRPr="00C25E97" w14:paraId="58A369DF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C6D4" w14:textId="77777777" w:rsidR="0099667A" w:rsidRPr="00C25E97" w:rsidRDefault="0099667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5 photoreceptor model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A30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58F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439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8FA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43A5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EC3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99667A" w:rsidRPr="00C25E97" w14:paraId="75F2941A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67D5" w14:textId="469AA1E9" w:rsidR="0099667A" w:rsidRPr="00C25E97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99667A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99667A"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99667A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055B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89.280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6FFD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2.211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2788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7874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87.476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D122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1.624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DAC6" w14:textId="77777777" w:rsidR="0099667A" w:rsidRPr="00C25E97" w:rsidRDefault="0099667A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0.096</w:t>
            </w:r>
          </w:p>
        </w:tc>
      </w:tr>
    </w:tbl>
    <w:p w14:paraId="11A56538" w14:textId="353B1AC8" w:rsidR="00A476BA" w:rsidRDefault="0099667A" w:rsidP="003D64A6">
      <w:pPr>
        <w:spacing w:after="0" w:line="240" w:lineRule="auto"/>
        <w:rPr>
          <w:b/>
        </w:rPr>
      </w:pPr>
      <w:r w:rsidRPr="00AA68F7">
        <w:rPr>
          <w:i/>
        </w:rPr>
        <w:t xml:space="preserve">Spectral sensitivity functions </w:t>
      </w:r>
      <w:r w:rsidR="00AA68F7" w:rsidRPr="00AA68F7">
        <w:rPr>
          <w:i/>
        </w:rPr>
        <w:t>shown in</w:t>
      </w:r>
      <w:r w:rsidRPr="00AA68F7">
        <w:rPr>
          <w:i/>
        </w:rPr>
        <w:t xml:space="preserve"> Fig 1B; k i</w:t>
      </w:r>
      <w:r w:rsidR="00AA68F7">
        <w:rPr>
          <w:i/>
        </w:rPr>
        <w:t>s</w:t>
      </w:r>
      <w:r w:rsidRPr="00AA68F7">
        <w:rPr>
          <w:i/>
        </w:rPr>
        <w:t xml:space="preserve"> the dispersion parameter of the negative binomial distribution estimated for the saturated model. Lower QICC</w:t>
      </w:r>
      <w:r w:rsidR="00AA68F7" w:rsidRPr="00AA68F7">
        <w:rPr>
          <w:i/>
        </w:rPr>
        <w:t xml:space="preserve"> </w:t>
      </w:r>
      <w:r w:rsidRPr="00AA68F7">
        <w:rPr>
          <w:i/>
        </w:rPr>
        <w:t xml:space="preserve">and </w:t>
      </w:r>
      <w:r w:rsidRPr="00AA68F7">
        <w:rPr>
          <w:rFonts w:ascii="Calibri" w:eastAsia="Times New Roman" w:hAnsi="Calibri" w:cs="Times New Roman"/>
          <w:i/>
          <w:color w:val="000000"/>
          <w:lang w:eastAsia="en-GB"/>
        </w:rPr>
        <w:t xml:space="preserve">ΔQICC </w:t>
      </w:r>
      <w:r w:rsidR="00AA68F7" w:rsidRPr="00AA68F7">
        <w:rPr>
          <w:rFonts w:ascii="Calibri" w:eastAsia="Times New Roman" w:hAnsi="Calibri" w:cs="Times New Roman"/>
          <w:i/>
          <w:color w:val="000000"/>
          <w:lang w:eastAsia="en-GB"/>
        </w:rPr>
        <w:t>indicate better fit to the data</w:t>
      </w:r>
      <w:r w:rsidRPr="00AA68F7">
        <w:rPr>
          <w:rFonts w:ascii="Calibri" w:eastAsia="Times New Roman" w:hAnsi="Calibri" w:cs="Times New Roman"/>
          <w:i/>
          <w:color w:val="000000"/>
          <w:lang w:eastAsia="en-GB"/>
        </w:rPr>
        <w:t>. Akaike weights (w</w:t>
      </w:r>
      <w:r w:rsidRPr="00AA68F7">
        <w:rPr>
          <w:rFonts w:ascii="Calibri" w:eastAsia="Times New Roman" w:hAnsi="Calibri" w:cs="Times New Roman"/>
          <w:i/>
          <w:color w:val="000000"/>
          <w:vertAlign w:val="subscript"/>
          <w:lang w:eastAsia="en-GB"/>
        </w:rPr>
        <w:t>i</w:t>
      </w:r>
      <w:r w:rsidRPr="00AA68F7">
        <w:rPr>
          <w:rFonts w:ascii="Calibri" w:eastAsia="Times New Roman" w:hAnsi="Calibri" w:cs="Times New Roman"/>
          <w:i/>
          <w:color w:val="000000"/>
          <w:lang w:eastAsia="en-GB"/>
        </w:rPr>
        <w:t xml:space="preserve">) quantify relative weight of evidence for each model in the </w:t>
      </w:r>
      <w:r w:rsidR="00AA68F7" w:rsidRPr="00AA68F7">
        <w:rPr>
          <w:rFonts w:ascii="Calibri" w:eastAsia="Times New Roman" w:hAnsi="Calibri" w:cs="Times New Roman"/>
          <w:i/>
          <w:color w:val="000000"/>
          <w:lang w:eastAsia="en-GB"/>
        </w:rPr>
        <w:t>table</w:t>
      </w:r>
      <w:r w:rsidRPr="00AA68F7">
        <w:rPr>
          <w:rFonts w:ascii="Calibri" w:eastAsia="Times New Roman" w:hAnsi="Calibri" w:cs="Times New Roman"/>
          <w:i/>
          <w:color w:val="000000"/>
          <w:lang w:eastAsia="en-GB"/>
        </w:rPr>
        <w:t xml:space="preserve">. </w:t>
      </w:r>
      <w:r w:rsidR="00AA68F7">
        <w:rPr>
          <w:rFonts w:ascii="Calibri" w:eastAsia="Times New Roman" w:hAnsi="Calibri" w:cs="Times New Roman"/>
          <w:i/>
          <w:color w:val="000000"/>
          <w:lang w:eastAsia="en-GB"/>
        </w:rPr>
        <w:t xml:space="preserve">Strongest supported models </w:t>
      </w:r>
      <w:r w:rsidRPr="00AA68F7">
        <w:rPr>
          <w:rFonts w:ascii="Calibri" w:eastAsia="Times New Roman" w:hAnsi="Calibri" w:cs="Times New Roman"/>
          <w:i/>
          <w:color w:val="000000"/>
          <w:lang w:eastAsia="en-GB"/>
        </w:rPr>
        <w:t xml:space="preserve">indicated </w:t>
      </w:r>
      <w:r w:rsidR="00AA68F7">
        <w:rPr>
          <w:rFonts w:ascii="Calibri" w:eastAsia="Times New Roman" w:hAnsi="Calibri" w:cs="Times New Roman"/>
          <w:i/>
          <w:color w:val="000000"/>
          <w:lang w:eastAsia="en-GB"/>
        </w:rPr>
        <w:t>by</w:t>
      </w:r>
      <w:r w:rsidRPr="00AA68F7">
        <w:rPr>
          <w:rFonts w:ascii="Calibri" w:eastAsia="Times New Roman" w:hAnsi="Calibri" w:cs="Times New Roman"/>
          <w:i/>
          <w:color w:val="000000"/>
          <w:lang w:eastAsia="en-GB"/>
        </w:rPr>
        <w:t xml:space="preserve"> bold type</w:t>
      </w:r>
      <w:r w:rsidR="00AA68F7" w:rsidRPr="00AA68F7">
        <w:rPr>
          <w:rFonts w:ascii="Calibri" w:eastAsia="Times New Roman" w:hAnsi="Calibri" w:cs="Times New Roman"/>
          <w:i/>
          <w:color w:val="000000"/>
          <w:lang w:eastAsia="en-GB"/>
        </w:rPr>
        <w:t xml:space="preserve">; that </w:t>
      </w:r>
      <w:r w:rsidRPr="00AA68F7">
        <w:rPr>
          <w:rFonts w:ascii="Calibri" w:eastAsia="Times New Roman" w:hAnsi="Calibri" w:cs="Times New Roman"/>
          <w:i/>
          <w:color w:val="000000"/>
          <w:lang w:eastAsia="en-GB"/>
        </w:rPr>
        <w:t>common to males and females underlined.</w:t>
      </w:r>
      <w:r w:rsidR="00A476BA">
        <w:rPr>
          <w:b/>
        </w:rPr>
        <w:br w:type="page"/>
      </w:r>
    </w:p>
    <w:p w14:paraId="1128BFFB" w14:textId="09F53C32" w:rsidR="00A476BA" w:rsidRPr="009E2FF3" w:rsidRDefault="00A476BA" w:rsidP="00A476BA">
      <w:pPr>
        <w:spacing w:after="0"/>
        <w:rPr>
          <w:b/>
        </w:rPr>
      </w:pPr>
      <w:r w:rsidRPr="009E2FF3">
        <w:rPr>
          <w:b/>
        </w:rPr>
        <w:lastRenderedPageBreak/>
        <w:t xml:space="preserve">Table </w:t>
      </w:r>
      <w:r w:rsidR="003C635A">
        <w:rPr>
          <w:b/>
        </w:rPr>
        <w:t>B</w:t>
      </w:r>
      <w:r w:rsidRPr="009E2FF3">
        <w:rPr>
          <w:b/>
        </w:rPr>
        <w:t>: Comparison of tsetse attraction models based upon photoreceptor excitation values calculated using unscreened sensitivity functions.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134"/>
        <w:gridCol w:w="1134"/>
      </w:tblGrid>
      <w:tr w:rsidR="00A476BA" w:rsidRPr="00C25E97" w14:paraId="30897A9A" w14:textId="77777777" w:rsidTr="004D280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9C138" w14:textId="77777777" w:rsidR="00A476BA" w:rsidRPr="00C25E97" w:rsidRDefault="00A476B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674AA" w14:textId="77777777" w:rsidR="00A476BA" w:rsidRPr="00C25E97" w:rsidRDefault="00A476B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E561E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A. Males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k=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0.050)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63FC6" w14:textId="77777777" w:rsidR="00A476BA" w:rsidRPr="00C25E97" w:rsidRDefault="00A476B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E561E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B. Females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k=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0.060)</w:t>
            </w:r>
          </w:p>
        </w:tc>
      </w:tr>
      <w:tr w:rsidR="00A476BA" w:rsidRPr="00C25E97" w14:paraId="5FF832F0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4076" w14:textId="77777777" w:rsidR="00A476BA" w:rsidRPr="00C25E97" w:rsidRDefault="00A476BA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B286" w14:textId="77777777" w:rsidR="00A476BA" w:rsidRPr="00C25E97" w:rsidRDefault="00A476B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BFB5" w14:textId="77777777" w:rsidR="00A476BA" w:rsidRPr="00C25E97" w:rsidRDefault="00A476B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5481" w14:textId="77777777" w:rsidR="00A476BA" w:rsidRPr="00C25E97" w:rsidRDefault="00A476B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w</w:t>
            </w: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  <w:lang w:eastAsia="en-GB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92DC" w14:textId="77777777" w:rsidR="00A476BA" w:rsidRPr="00C25E97" w:rsidRDefault="00A476B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CC07" w14:textId="77777777" w:rsidR="00A476BA" w:rsidRPr="00C25E97" w:rsidRDefault="00A476B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F4AB" w14:textId="77777777" w:rsidR="00A476BA" w:rsidRPr="00C25E97" w:rsidRDefault="00A476BA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w</w:t>
            </w: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  <w:lang w:eastAsia="en-GB"/>
              </w:rPr>
              <w:t>i</w:t>
            </w:r>
          </w:p>
        </w:tc>
      </w:tr>
      <w:tr w:rsidR="00EA342D" w:rsidRPr="00C25E97" w14:paraId="4793F031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13E7" w14:textId="2012F374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Intercept only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624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187.498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241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99.443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9E0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5EE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205.877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436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119.528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6F5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55684E4E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647E" w14:textId="4A55B43A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receptor models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DD55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027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2B9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D97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222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A75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EA342D" w:rsidRPr="00C25E97" w14:paraId="5A793700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EBCB" w14:textId="54EFF367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92F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179.493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5E8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91.438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505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030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202.420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1330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116.071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E4A4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33A6911D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E984" w14:textId="1459AA8F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6A15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116.523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8EA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28.468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938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98F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124.775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665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38.426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2E64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27F37220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D6C3" w14:textId="4EF0F841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A66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187.104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3DD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99.049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912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8CA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207.450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32A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121.101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86D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3B06970F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050D" w14:textId="0D70BA52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8BE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189.226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0D8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101.171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F4B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DFA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207.699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360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121.350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4F4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7A7879C8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F7E3" w14:textId="38A89410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865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172.194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D7B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84.139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DAC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E6D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196.341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010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109.992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0AE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291C3021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ED42" w14:textId="398534E8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2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receptor models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E3B4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4B6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890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0274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CA00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1BC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EA342D" w:rsidRPr="00C25E97" w14:paraId="010D308E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3A7B" w14:textId="4DE52510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480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118.376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984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30.321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632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2E0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123.086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BDD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36.737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ED60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6F4C5B5D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5F4C" w14:textId="1637683A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CAC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163.787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873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75.732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2F0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2EE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184.901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59E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98.552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0AC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0DD4B728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E30A" w14:textId="73F3214D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D1F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118.494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010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30.439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D6B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1A05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130.129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03D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43.780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0B2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64F178EA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20DF" w14:textId="4D05DDDE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CC5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144.947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5B2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56.892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EBC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918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164.105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C11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77.756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544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2D5AA06A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A7B7" w14:textId="7B6134A7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D0E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111.018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0075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22.963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759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5A6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110.611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09F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24.262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4B4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2C1DEFB5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DB60" w14:textId="5A2CBB12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B5B0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114.236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E32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26.181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FEB5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128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116.218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E99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29.869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1AE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0889A4A5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C507" w14:textId="089EEBE4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61F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119.043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A14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30.988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561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868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126.407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982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40.058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B37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235371E7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0670" w14:textId="2FE015FF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CEE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171.986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5F8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83.931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D84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E1C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192.761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5BC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106.412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661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4CF4992A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7F10" w14:textId="049F3529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61F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156.491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938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68.436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93F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CF0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177.419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77B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91.070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9374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57EED428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D0CC" w14:textId="5504B9DE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1B9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127.147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7460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39.092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538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34E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140.494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CAC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54.145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F37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48C9DD5B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E2E5" w14:textId="0942A0B2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receptor models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0EE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B2F4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117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898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E4D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31E4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EA342D" w:rsidRPr="00C25E97" w14:paraId="2DE0E4A2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CAB2" w14:textId="79776F6E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D1F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93.658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357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5.603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ED1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B96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92.307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C960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5.958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73D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0.026</w:t>
            </w:r>
          </w:p>
        </w:tc>
      </w:tr>
      <w:tr w:rsidR="00EA342D" w:rsidRPr="00C25E97" w14:paraId="5D4D2581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F97D" w14:textId="53BE73C8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F3B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97.404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D1D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9.349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580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21D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100.952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32E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14.603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C76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3304254C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AEFC" w14:textId="616C903D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F3A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90.145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370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2.090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A338" w14:textId="77777777" w:rsidR="00EA342D" w:rsidRPr="00BF662F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  <w:t>0.150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8FB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90.738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EFF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4.389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AF12" w14:textId="77777777" w:rsidR="00EA342D" w:rsidRPr="00BF662F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  <w:t>0.058</w:t>
            </w:r>
          </w:p>
        </w:tc>
      </w:tr>
      <w:tr w:rsidR="00EA342D" w:rsidRPr="00C25E97" w14:paraId="311EA29B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B3B2" w14:textId="0CFC5080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7A65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109.673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608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21.618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6A0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E390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121.080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F4A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34.731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E03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7483DE0D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DB1D" w14:textId="3A22EB60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DA5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113.239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867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25.184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FED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55F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132.158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F3F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45.809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82B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2F73A384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99AE" w14:textId="04EA0D2B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4C8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115.804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9AB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27.749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032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B56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126.691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054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40.342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7A1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4332BACD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CCA8" w14:textId="63AC4AFF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0A5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97.089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A0F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9.034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65B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CBF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90.584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815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4.235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C790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0.063</w:t>
            </w:r>
          </w:p>
        </w:tc>
      </w:tr>
      <w:tr w:rsidR="00EA342D" w:rsidRPr="00C25E97" w14:paraId="3D42DC72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1C00" w14:textId="688B1657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D11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92.411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35D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4.356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AAC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81D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91.590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041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5.241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4D3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0.038</w:t>
            </w:r>
          </w:p>
        </w:tc>
      </w:tr>
      <w:tr w:rsidR="00EA342D" w:rsidRPr="00C25E97" w14:paraId="5364EB2E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D45C" w14:textId="1F7414C8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AA2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94.321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A1F8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6.266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794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EFA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97.030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0AA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10.681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839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0.002</w:t>
            </w:r>
          </w:p>
        </w:tc>
      </w:tr>
      <w:tr w:rsidR="00EA342D" w:rsidRPr="00C25E97" w14:paraId="71E5B148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2DCF" w14:textId="7A4DDC28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3FD5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107.394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9BD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19.339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F35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B8E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119.311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933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32.962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5C8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4332AD3A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1C3B" w14:textId="226BD716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4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receptor models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CDB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B30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ED9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13C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2D8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A67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EA342D" w:rsidRPr="00C25E97" w14:paraId="4AFF1BEC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5D2B" w14:textId="2BD3F630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FEF4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95.330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C9A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7.275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04E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E7D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91.435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C9D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5.086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5FE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0.041</w:t>
            </w:r>
          </w:p>
        </w:tc>
      </w:tr>
      <w:tr w:rsidR="00EA342D" w:rsidRPr="00C25E97" w14:paraId="46193C6D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F6C4" w14:textId="22B430F1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825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91.047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F65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2.992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19D6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0E97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93.239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AD9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6.890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5C6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0.017</w:t>
            </w:r>
          </w:p>
        </w:tc>
      </w:tr>
      <w:tr w:rsidR="00EA342D" w:rsidRPr="00C25E97" w14:paraId="466FE52E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0D6B" w14:textId="5150361B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AA5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88.055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ED9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D573" w14:textId="77777777" w:rsidR="00EA342D" w:rsidRPr="00BF662F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u w:val="single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u w:val="single"/>
                <w:lang w:eastAsia="en-GB"/>
              </w:rPr>
              <w:t>0.426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8DB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86.349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B54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9B1F" w14:textId="77777777" w:rsidR="00EA342D" w:rsidRPr="00BF662F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u w:val="single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u w:val="single"/>
                <w:lang w:eastAsia="en-GB"/>
              </w:rPr>
              <w:t>0.521</w:t>
            </w:r>
          </w:p>
        </w:tc>
      </w:tr>
      <w:tr w:rsidR="00EA342D" w:rsidRPr="00C25E97" w14:paraId="2D12AC61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E549" w14:textId="1748A992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F79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106.068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1090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18.013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B259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5A41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120.242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785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33.893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27EE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0.000</w:t>
            </w:r>
          </w:p>
        </w:tc>
      </w:tr>
      <w:tr w:rsidR="00EA342D" w:rsidRPr="00C25E97" w14:paraId="1957B98E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D3B0" w14:textId="540375AB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E79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94.151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9832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6.096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982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99E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90.772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70BD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4.423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F9DF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0.057</w:t>
            </w:r>
          </w:p>
        </w:tc>
      </w:tr>
      <w:tr w:rsidR="00EA342D" w:rsidRPr="00C25E97" w14:paraId="045CFF57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3262" w14:textId="23C5FB69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5 photoreceptor model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C37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EC0C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623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1033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4DE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FE9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 </w:t>
            </w:r>
          </w:p>
        </w:tc>
      </w:tr>
      <w:tr w:rsidR="00EA342D" w:rsidRPr="00C25E97" w14:paraId="529CD643" w14:textId="77777777" w:rsidTr="004D280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5237" w14:textId="08627EB3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0F3B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89.620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F8AA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1.565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6E5E" w14:textId="77777777" w:rsidR="00EA342D" w:rsidRPr="00BF662F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  <w:t>0.195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F979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88.511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4AF5" w14:textId="77777777" w:rsidR="00EA342D" w:rsidRPr="00C25E97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2.162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7517" w14:textId="77777777" w:rsidR="00EA342D" w:rsidRPr="00BF662F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</w:pPr>
            <w:r w:rsidRPr="00BF662F">
              <w:rPr>
                <w:rFonts w:ascii="Calibri" w:eastAsia="Times New Roman" w:hAnsi="Calibri" w:cs="Times New Roman"/>
                <w:b/>
                <w:i/>
                <w:iCs/>
                <w:color w:val="000000"/>
                <w:lang w:eastAsia="en-GB"/>
              </w:rPr>
              <w:t>0.177</w:t>
            </w:r>
          </w:p>
        </w:tc>
      </w:tr>
    </w:tbl>
    <w:p w14:paraId="65D4992F" w14:textId="2BFDEE96" w:rsidR="00A476BA" w:rsidRDefault="00A476BA" w:rsidP="00A476BA">
      <w:pPr>
        <w:spacing w:after="0" w:line="480" w:lineRule="auto"/>
      </w:pPr>
      <w:r w:rsidRPr="002F717F">
        <w:rPr>
          <w:i/>
        </w:rPr>
        <w:t xml:space="preserve">Spectral sensitivity functions </w:t>
      </w:r>
      <w:r w:rsidR="003D64A6">
        <w:rPr>
          <w:i/>
        </w:rPr>
        <w:t xml:space="preserve">shown in </w:t>
      </w:r>
      <w:r>
        <w:rPr>
          <w:i/>
        </w:rPr>
        <w:t>Fig</w:t>
      </w:r>
      <w:r w:rsidRPr="002F717F">
        <w:rPr>
          <w:i/>
        </w:rPr>
        <w:t xml:space="preserve"> 1</w:t>
      </w:r>
      <w:r>
        <w:rPr>
          <w:i/>
        </w:rPr>
        <w:t>C</w:t>
      </w:r>
      <w:r w:rsidRPr="002F717F">
        <w:rPr>
          <w:i/>
        </w:rPr>
        <w:t xml:space="preserve">; </w:t>
      </w:r>
      <w:r>
        <w:rPr>
          <w:i/>
        </w:rPr>
        <w:t xml:space="preserve">Other conventions as in Table </w:t>
      </w:r>
      <w:r w:rsidR="001103C1">
        <w:rPr>
          <w:i/>
        </w:rPr>
        <w:t>A</w:t>
      </w:r>
      <w:r w:rsidRPr="002F717F">
        <w:rPr>
          <w:rFonts w:ascii="Calibri" w:eastAsia="Times New Roman" w:hAnsi="Calibri" w:cs="Times New Roman"/>
          <w:i/>
          <w:color w:val="000000"/>
          <w:lang w:eastAsia="en-GB"/>
        </w:rPr>
        <w:t>.</w:t>
      </w:r>
    </w:p>
    <w:p w14:paraId="28059FE7" w14:textId="77777777" w:rsidR="00A476BA" w:rsidRPr="00D271D5" w:rsidRDefault="00A476BA" w:rsidP="00A476BA">
      <w:pPr>
        <w:spacing w:after="0" w:line="480" w:lineRule="auto"/>
      </w:pPr>
    </w:p>
    <w:p w14:paraId="7AD4361C" w14:textId="209B45FA" w:rsidR="00EE78CE" w:rsidRPr="005B4983" w:rsidRDefault="00B75C04" w:rsidP="00EE78CE">
      <w:pPr>
        <w:spacing w:after="0" w:line="480" w:lineRule="auto"/>
        <w:rPr>
          <w:b/>
        </w:rPr>
      </w:pPr>
      <w:r>
        <w:rPr>
          <w:b/>
        </w:rPr>
        <w:lastRenderedPageBreak/>
        <w:t xml:space="preserve">3. </w:t>
      </w:r>
      <w:r w:rsidR="00650B9C">
        <w:rPr>
          <w:b/>
        </w:rPr>
        <w:t>A</w:t>
      </w:r>
      <w:r w:rsidR="00EE78CE" w:rsidRPr="005B4983">
        <w:rPr>
          <w:b/>
        </w:rPr>
        <w:t xml:space="preserve">lternative </w:t>
      </w:r>
      <w:r w:rsidR="00EE78CE">
        <w:rPr>
          <w:b/>
        </w:rPr>
        <w:t>models of fly colour vision</w:t>
      </w:r>
    </w:p>
    <w:p w14:paraId="3A2CBE2B" w14:textId="524F9250" w:rsidR="0048183B" w:rsidRDefault="0048183B" w:rsidP="0048183B">
      <w:pPr>
        <w:spacing w:after="0" w:line="480" w:lineRule="auto"/>
        <w:ind w:firstLine="720"/>
        <w:rPr>
          <w:rFonts w:cs="Arial"/>
        </w:rPr>
      </w:pPr>
      <w:r>
        <w:rPr>
          <w:rFonts w:cs="Arial"/>
        </w:rPr>
        <w:t xml:space="preserve">In order to represent the categorical encoding of colour within separate opponent mechanisms for the ‘y’ and ‘p’ type ommatidia (c.f. </w:t>
      </w:r>
      <w:r>
        <w:rPr>
          <w:rFonts w:cs="Arial"/>
        </w:rPr>
        <w:fldChar w:fldCharType="begin"/>
      </w:r>
      <w:r w:rsidR="00C70032">
        <w:rPr>
          <w:rFonts w:cs="Arial"/>
        </w:rPr>
        <w:instrText xml:space="preserve"> ADDIN EN.CITE &lt;EndNote&gt;&lt;Cite&gt;&lt;Author&gt;Troje&lt;/Author&gt;&lt;Year&gt;1993&lt;/Year&gt;&lt;RecNum&gt;870&lt;/RecNum&gt;&lt;record&gt;&lt;rec-number&gt;870&lt;/rec-number&gt;&lt;foreign-keys&gt;&lt;key app="EN" db-id="0padax098pd05hes52ep0statvdp2a2rr59a"&gt;870&lt;/key&gt;&lt;/foreign-keys&gt;&lt;ref-type name="Journal Article"&gt;17&lt;/ref-type&gt;&lt;contributors&gt;&lt;authors&gt;&lt;author&gt;Troje, N.&lt;/author&gt;&lt;/authors&gt;&lt;/contributors&gt;&lt;titles&gt;&lt;title&gt;Spectral categories in the learning behaviour of blowflies&lt;/title&gt;&lt;secondary-title&gt;Z. Naturforsch.&lt;/secondary-title&gt;&lt;/titles&gt;&lt;periodical&gt;&lt;full-title&gt;Z. Naturforsch.&lt;/full-title&gt;&lt;/periodical&gt;&lt;pages&gt;96-104&lt;/pages&gt;&lt;volume&gt;48&lt;/volume&gt;&lt;dates&gt;&lt;year&gt;1993&lt;/year&gt;&lt;/dates&gt;&lt;urls&gt;&lt;/urls&gt;&lt;/record&gt;&lt;/Cite&gt;&lt;/EndNote&gt;</w:instrText>
      </w:r>
      <w:r>
        <w:rPr>
          <w:rFonts w:cs="Arial"/>
        </w:rPr>
        <w:fldChar w:fldCharType="separate"/>
      </w:r>
      <w:r w:rsidR="00E43A89">
        <w:rPr>
          <w:rFonts w:cs="Arial"/>
        </w:rPr>
        <w:t>[6]</w:t>
      </w:r>
      <w:r>
        <w:rPr>
          <w:rFonts w:cs="Arial"/>
        </w:rPr>
        <w:fldChar w:fldCharType="end"/>
      </w:r>
      <w:r>
        <w:rPr>
          <w:rFonts w:cs="Arial"/>
        </w:rPr>
        <w:t xml:space="preserve">), </w:t>
      </w:r>
      <w:r w:rsidR="007D0A66">
        <w:rPr>
          <w:rFonts w:cs="Arial"/>
        </w:rPr>
        <w:t xml:space="preserve">categorical predictors were calculated </w:t>
      </w:r>
      <w:r w:rsidR="005607C1">
        <w:rPr>
          <w:rFonts w:cs="Arial"/>
        </w:rPr>
        <w:t xml:space="preserve">for each ommatidium type. These relate to the </w:t>
      </w:r>
      <w:r w:rsidR="005607C1" w:rsidRPr="00692FD3">
        <w:rPr>
          <w:rFonts w:cs="Arial"/>
          <w:i/>
        </w:rPr>
        <w:t>Opp</w:t>
      </w:r>
      <w:r w:rsidR="005607C1" w:rsidRPr="00692FD3">
        <w:rPr>
          <w:rFonts w:cs="Arial"/>
          <w:i/>
          <w:vertAlign w:val="subscript"/>
        </w:rPr>
        <w:t>s</w:t>
      </w:r>
      <w:r w:rsidR="005607C1">
        <w:rPr>
          <w:rFonts w:cs="Arial"/>
        </w:rPr>
        <w:t xml:space="preserve"> index (E</w:t>
      </w:r>
      <w:r w:rsidR="005607C1" w:rsidRPr="00692FD3">
        <w:rPr>
          <w:rFonts w:cs="Arial"/>
          <w:vertAlign w:val="subscript"/>
        </w:rPr>
        <w:t>R7</w:t>
      </w:r>
      <w:r w:rsidR="005607C1" w:rsidRPr="00692FD3">
        <w:rPr>
          <w:rFonts w:cs="Arial"/>
          <w:i/>
          <w:vertAlign w:val="subscript"/>
        </w:rPr>
        <w:t>s</w:t>
      </w:r>
      <w:r w:rsidR="005607C1">
        <w:rPr>
          <w:rFonts w:cs="Arial"/>
        </w:rPr>
        <w:t>/E</w:t>
      </w:r>
      <w:r w:rsidR="005607C1" w:rsidRPr="00692FD3">
        <w:rPr>
          <w:rFonts w:cs="Arial"/>
          <w:vertAlign w:val="subscript"/>
        </w:rPr>
        <w:t>R8</w:t>
      </w:r>
      <w:r w:rsidR="005607C1" w:rsidRPr="00692FD3">
        <w:rPr>
          <w:rFonts w:cs="Arial"/>
          <w:i/>
          <w:vertAlign w:val="subscript"/>
        </w:rPr>
        <w:t>s</w:t>
      </w:r>
      <w:r w:rsidR="005607C1">
        <w:rPr>
          <w:rFonts w:cs="Arial"/>
        </w:rPr>
        <w:t>) reported in main text as follows</w:t>
      </w:r>
      <w:r>
        <w:rPr>
          <w:rFonts w:cs="Arial"/>
        </w:rPr>
        <w:t>:</w:t>
      </w:r>
    </w:p>
    <w:p w14:paraId="618843F9" w14:textId="304B78A3" w:rsidR="0048183B" w:rsidRDefault="00AA68F7" w:rsidP="0048183B">
      <w:pPr>
        <w:spacing w:after="0" w:line="480" w:lineRule="auto"/>
        <w:jc w:val="center"/>
        <w:rPr>
          <w:rFonts w:cs="Arial"/>
        </w:rPr>
      </w:pPr>
      <w:r w:rsidRPr="00692FD3">
        <w:rPr>
          <w:rFonts w:cs="Arial"/>
          <w:position w:val="-30"/>
        </w:rPr>
        <w:object w:dxaOrig="2700" w:dyaOrig="720" w14:anchorId="7833C853">
          <v:shape id="_x0000_i1027" type="#_x0000_t75" style="width:136.5pt;height:36pt" o:ole="">
            <v:imagedata r:id="rId8" o:title=""/>
          </v:shape>
          <o:OLEObject Type="Embed" ProgID="Equation.DSMT4" ShapeID="_x0000_i1027" DrawAspect="Content" ObjectID="_1550925100" r:id="rId9"/>
        </w:object>
      </w:r>
    </w:p>
    <w:p w14:paraId="43A484D1" w14:textId="1EF07EAD" w:rsidR="0048183B" w:rsidRDefault="005607C1" w:rsidP="0048183B">
      <w:pPr>
        <w:spacing w:after="0" w:line="480" w:lineRule="auto"/>
        <w:rPr>
          <w:rFonts w:cs="Arial"/>
        </w:rPr>
      </w:pPr>
      <w:r>
        <w:rPr>
          <w:rFonts w:cs="Arial"/>
        </w:rPr>
        <w:t>Here</w:t>
      </w:r>
      <w:r w:rsidR="004B0AA5">
        <w:rPr>
          <w:rFonts w:cs="Arial"/>
        </w:rPr>
        <w:t>,</w:t>
      </w:r>
      <w:r>
        <w:rPr>
          <w:rFonts w:cs="Arial"/>
        </w:rPr>
        <w:t xml:space="preserve"> </w:t>
      </w:r>
      <w:r w:rsidRPr="00692FD3">
        <w:rPr>
          <w:rFonts w:cs="Arial"/>
          <w:i/>
        </w:rPr>
        <w:t>s</w:t>
      </w:r>
      <w:r>
        <w:rPr>
          <w:rFonts w:cs="Arial"/>
        </w:rPr>
        <w:t xml:space="preserve"> denotes the </w:t>
      </w:r>
      <w:r w:rsidR="00B75C04">
        <w:rPr>
          <w:rFonts w:cs="Arial"/>
        </w:rPr>
        <w:t>‘</w:t>
      </w:r>
      <w:r>
        <w:rPr>
          <w:rFonts w:cs="Arial"/>
        </w:rPr>
        <w:t>y</w:t>
      </w:r>
      <w:r w:rsidR="00B75C04">
        <w:rPr>
          <w:rFonts w:cs="Arial"/>
        </w:rPr>
        <w:t>’</w:t>
      </w:r>
      <w:r>
        <w:rPr>
          <w:rFonts w:cs="Arial"/>
        </w:rPr>
        <w:t xml:space="preserve"> or </w:t>
      </w:r>
      <w:r w:rsidR="00B75C04">
        <w:rPr>
          <w:rFonts w:cs="Arial"/>
        </w:rPr>
        <w:t>‘</w:t>
      </w:r>
      <w:r>
        <w:rPr>
          <w:rFonts w:cs="Arial"/>
        </w:rPr>
        <w:t>p</w:t>
      </w:r>
      <w:r w:rsidR="00B75C04">
        <w:rPr>
          <w:rFonts w:cs="Arial"/>
        </w:rPr>
        <w:t>’</w:t>
      </w:r>
      <w:r>
        <w:rPr>
          <w:rFonts w:cs="Arial"/>
        </w:rPr>
        <w:t xml:space="preserve"> opponent systems. </w:t>
      </w:r>
      <w:r w:rsidR="0048183B">
        <w:rPr>
          <w:rFonts w:cs="Arial"/>
        </w:rPr>
        <w:t>In addition, the resulting four colour categories (</w:t>
      </w:r>
      <w:r>
        <w:rPr>
          <w:rFonts w:cs="Arial"/>
        </w:rPr>
        <w:t>C</w:t>
      </w:r>
      <w:r w:rsidR="0048183B">
        <w:rPr>
          <w:rFonts w:cs="Arial"/>
        </w:rPr>
        <w:t>at</w:t>
      </w:r>
      <w:r w:rsidR="0048183B">
        <w:rPr>
          <w:rFonts w:cs="Arial"/>
          <w:vertAlign w:val="subscript"/>
        </w:rPr>
        <w:t>y</w:t>
      </w:r>
      <w:r w:rsidR="0048183B">
        <w:rPr>
          <w:rFonts w:cs="Arial"/>
        </w:rPr>
        <w:t xml:space="preserve">=1, </w:t>
      </w:r>
      <w:r>
        <w:rPr>
          <w:rFonts w:cs="Arial"/>
        </w:rPr>
        <w:t>C</w:t>
      </w:r>
      <w:r w:rsidR="0048183B">
        <w:rPr>
          <w:rFonts w:cs="Arial"/>
        </w:rPr>
        <w:t>at</w:t>
      </w:r>
      <w:r w:rsidR="0048183B" w:rsidRPr="00EE7FC2">
        <w:rPr>
          <w:rFonts w:cs="Arial"/>
          <w:vertAlign w:val="subscript"/>
        </w:rPr>
        <w:t>p</w:t>
      </w:r>
      <w:r w:rsidR="0048183B">
        <w:rPr>
          <w:rFonts w:cs="Arial"/>
        </w:rPr>
        <w:t xml:space="preserve">=1; </w:t>
      </w:r>
      <w:r>
        <w:rPr>
          <w:rFonts w:cs="Arial"/>
        </w:rPr>
        <w:t>C</w:t>
      </w:r>
      <w:r w:rsidR="0048183B">
        <w:rPr>
          <w:rFonts w:cs="Arial"/>
        </w:rPr>
        <w:t>at</w:t>
      </w:r>
      <w:r w:rsidR="0048183B">
        <w:rPr>
          <w:rFonts w:cs="Arial"/>
          <w:vertAlign w:val="subscript"/>
        </w:rPr>
        <w:t>y</w:t>
      </w:r>
      <w:r w:rsidR="0048183B">
        <w:rPr>
          <w:rFonts w:cs="Arial"/>
        </w:rPr>
        <w:t xml:space="preserve">=1, </w:t>
      </w:r>
      <w:r>
        <w:rPr>
          <w:rFonts w:cs="Arial"/>
        </w:rPr>
        <w:t>C</w:t>
      </w:r>
      <w:r w:rsidR="0048183B">
        <w:rPr>
          <w:rFonts w:cs="Arial"/>
        </w:rPr>
        <w:t>at</w:t>
      </w:r>
      <w:r w:rsidR="0048183B" w:rsidRPr="00EE7FC2">
        <w:rPr>
          <w:rFonts w:cs="Arial"/>
          <w:vertAlign w:val="subscript"/>
        </w:rPr>
        <w:t>p</w:t>
      </w:r>
      <w:r w:rsidR="0048183B">
        <w:rPr>
          <w:rFonts w:cs="Arial"/>
        </w:rPr>
        <w:t xml:space="preserve">=0; </w:t>
      </w:r>
      <w:r>
        <w:rPr>
          <w:rFonts w:cs="Arial"/>
        </w:rPr>
        <w:t>C</w:t>
      </w:r>
      <w:r w:rsidR="0048183B">
        <w:rPr>
          <w:rFonts w:cs="Arial"/>
        </w:rPr>
        <w:t>at</w:t>
      </w:r>
      <w:r w:rsidR="0048183B">
        <w:rPr>
          <w:rFonts w:cs="Arial"/>
          <w:vertAlign w:val="subscript"/>
        </w:rPr>
        <w:t>y</w:t>
      </w:r>
      <w:r w:rsidR="0048183B">
        <w:rPr>
          <w:rFonts w:cs="Arial"/>
        </w:rPr>
        <w:t xml:space="preserve">=0, </w:t>
      </w:r>
      <w:r>
        <w:rPr>
          <w:rFonts w:cs="Arial"/>
        </w:rPr>
        <w:t>C</w:t>
      </w:r>
      <w:r w:rsidR="0048183B">
        <w:rPr>
          <w:rFonts w:cs="Arial"/>
        </w:rPr>
        <w:t>at</w:t>
      </w:r>
      <w:r w:rsidR="0048183B" w:rsidRPr="00EE7FC2">
        <w:rPr>
          <w:rFonts w:cs="Arial"/>
          <w:vertAlign w:val="subscript"/>
        </w:rPr>
        <w:t>p</w:t>
      </w:r>
      <w:r w:rsidR="0048183B">
        <w:rPr>
          <w:rFonts w:cs="Arial"/>
        </w:rPr>
        <w:t xml:space="preserve">=1; and </w:t>
      </w:r>
      <w:r>
        <w:rPr>
          <w:rFonts w:cs="Arial"/>
        </w:rPr>
        <w:t>C</w:t>
      </w:r>
      <w:r w:rsidR="0048183B">
        <w:rPr>
          <w:rFonts w:cs="Arial"/>
        </w:rPr>
        <w:t>at</w:t>
      </w:r>
      <w:r w:rsidR="0048183B">
        <w:rPr>
          <w:rFonts w:cs="Arial"/>
          <w:vertAlign w:val="subscript"/>
        </w:rPr>
        <w:t>y</w:t>
      </w:r>
      <w:r w:rsidR="0048183B">
        <w:rPr>
          <w:rFonts w:cs="Arial"/>
        </w:rPr>
        <w:t xml:space="preserve">=0, </w:t>
      </w:r>
      <w:r>
        <w:rPr>
          <w:rFonts w:cs="Arial"/>
        </w:rPr>
        <w:t>C</w:t>
      </w:r>
      <w:r w:rsidR="0048183B">
        <w:rPr>
          <w:rFonts w:cs="Arial"/>
        </w:rPr>
        <w:t>at</w:t>
      </w:r>
      <w:r w:rsidR="0048183B" w:rsidRPr="00EE7FC2">
        <w:rPr>
          <w:rFonts w:cs="Arial"/>
          <w:vertAlign w:val="subscript"/>
        </w:rPr>
        <w:t>p</w:t>
      </w:r>
      <w:r w:rsidR="0048183B">
        <w:rPr>
          <w:rFonts w:cs="Arial"/>
        </w:rPr>
        <w:t xml:space="preserve">=0) were entered into the analysis as separate nominal variables, and </w:t>
      </w:r>
      <w:r>
        <w:rPr>
          <w:rFonts w:cs="Arial"/>
        </w:rPr>
        <w:t>C</w:t>
      </w:r>
      <w:r w:rsidR="0048183B">
        <w:rPr>
          <w:rFonts w:cs="Arial"/>
        </w:rPr>
        <w:t>at</w:t>
      </w:r>
      <w:r w:rsidR="0048183B">
        <w:rPr>
          <w:rFonts w:cs="Arial"/>
          <w:vertAlign w:val="subscript"/>
        </w:rPr>
        <w:t>y&amp;p</w:t>
      </w:r>
      <w:r w:rsidR="0048183B">
        <w:rPr>
          <w:rFonts w:cs="Arial"/>
        </w:rPr>
        <w:t xml:space="preserve"> is used as shorthand for this set. </w:t>
      </w:r>
    </w:p>
    <w:p w14:paraId="18149E69" w14:textId="52D4392F" w:rsidR="00EE78CE" w:rsidRDefault="00BB3507">
      <w:pPr>
        <w:spacing w:after="0" w:line="480" w:lineRule="auto"/>
        <w:ind w:firstLine="720"/>
      </w:pPr>
      <w:r>
        <w:t xml:space="preserve">Models </w:t>
      </w:r>
      <w:r w:rsidR="005607C1">
        <w:t xml:space="preserve">using </w:t>
      </w:r>
      <w:r>
        <w:t>c</w:t>
      </w:r>
      <w:r w:rsidR="00650B9C">
        <w:t xml:space="preserve">ategorical predictors </w:t>
      </w:r>
      <w:r w:rsidR="005607C1">
        <w:t xml:space="preserve">for </w:t>
      </w:r>
      <w:r w:rsidR="00B75C04">
        <w:t>‘</w:t>
      </w:r>
      <w:r w:rsidR="005607C1">
        <w:t>y</w:t>
      </w:r>
      <w:r w:rsidR="00B75C04">
        <w:t>’</w:t>
      </w:r>
      <w:r w:rsidR="005607C1">
        <w:t xml:space="preserve"> and </w:t>
      </w:r>
      <w:r w:rsidR="00B75C04">
        <w:t>‘</w:t>
      </w:r>
      <w:r w:rsidR="005607C1">
        <w:t>p</w:t>
      </w:r>
      <w:r w:rsidR="00B75C04">
        <w:t>’</w:t>
      </w:r>
      <w:r w:rsidR="005607C1">
        <w:t xml:space="preserve"> opponent systems</w:t>
      </w:r>
      <w:r w:rsidR="00650B9C">
        <w:t xml:space="preserve"> provided poor explanations for combined catch data for </w:t>
      </w:r>
      <w:r w:rsidR="00EE78CE">
        <w:t>the male and female datasets, and for analyses based on screened and unscreened photoreceptor sensitivity functions</w:t>
      </w:r>
      <w:r w:rsidR="00650B9C">
        <w:t xml:space="preserve"> (</w:t>
      </w:r>
      <w:r w:rsidR="001103C1">
        <w:t>T</w:t>
      </w:r>
      <w:r w:rsidR="00650B9C">
        <w:t xml:space="preserve">able </w:t>
      </w:r>
      <w:r w:rsidR="001103C1">
        <w:t>C</w:t>
      </w:r>
      <w:r w:rsidR="00650B9C">
        <w:t>). In all cases</w:t>
      </w:r>
      <w:r w:rsidR="00EE78CE">
        <w:t>, t</w:t>
      </w:r>
      <w:r w:rsidR="00EE78CE" w:rsidRPr="00D271D5">
        <w:t xml:space="preserve">he addition of the </w:t>
      </w:r>
      <w:r w:rsidR="005607C1">
        <w:t>E</w:t>
      </w:r>
      <w:r w:rsidR="00EE78CE" w:rsidRPr="00692FD3">
        <w:rPr>
          <w:vertAlign w:val="subscript"/>
        </w:rPr>
        <w:t>R1-6</w:t>
      </w:r>
      <w:r w:rsidR="00EE78CE" w:rsidRPr="00D271D5">
        <w:t xml:space="preserve"> </w:t>
      </w:r>
      <w:r w:rsidR="00EE78CE">
        <w:t>predictor</w:t>
      </w:r>
      <w:r w:rsidR="005607C1">
        <w:t xml:space="preserve"> to represent the separate evaluation of luminance</w:t>
      </w:r>
      <w:r w:rsidR="00EE78CE" w:rsidRPr="00D271D5">
        <w:t xml:space="preserve"> substantially improved </w:t>
      </w:r>
      <w:r w:rsidR="005607C1">
        <w:t>model</w:t>
      </w:r>
      <w:r w:rsidR="005607C1" w:rsidRPr="00D271D5">
        <w:t xml:space="preserve"> </w:t>
      </w:r>
      <w:r w:rsidR="00EE78CE" w:rsidRPr="00D271D5">
        <w:t>fit to the data</w:t>
      </w:r>
      <w:r>
        <w:t xml:space="preserve"> (indicated by a decrease in QICC and </w:t>
      </w:r>
      <w:r>
        <w:rPr>
          <w:rFonts w:ascii="Calibri" w:eastAsia="Times New Roman" w:hAnsi="Calibri" w:cs="Times New Roman"/>
          <w:color w:val="000000"/>
          <w:lang w:eastAsia="en-GB"/>
        </w:rPr>
        <w:t>Δ</w:t>
      </w:r>
      <w:r w:rsidRPr="002345C6">
        <w:rPr>
          <w:rFonts w:ascii="Calibri" w:eastAsia="Times New Roman" w:hAnsi="Calibri" w:cs="Times New Roman"/>
          <w:color w:val="000000"/>
          <w:lang w:eastAsia="en-GB"/>
        </w:rPr>
        <w:t>QICC</w:t>
      </w:r>
      <w:r>
        <w:rPr>
          <w:rFonts w:ascii="Calibri" w:eastAsia="Times New Roman" w:hAnsi="Calibri" w:cs="Times New Roman"/>
          <w:color w:val="000000"/>
          <w:lang w:eastAsia="en-GB"/>
        </w:rPr>
        <w:t>)</w:t>
      </w:r>
      <w:r w:rsidR="005607C1">
        <w:rPr>
          <w:rFonts w:ascii="Calibri" w:eastAsia="Times New Roman" w:hAnsi="Calibri" w:cs="Times New Roman"/>
          <w:color w:val="000000"/>
          <w:lang w:eastAsia="en-GB"/>
        </w:rPr>
        <w:t>. Despite this</w:t>
      </w:r>
      <w:r w:rsidR="00EE78CE" w:rsidRPr="00D271D5">
        <w:t xml:space="preserve">, none of these models was competitive with the previously described </w:t>
      </w:r>
      <w:r w:rsidR="009516AA">
        <w:t>weighted photoreceptor excitation</w:t>
      </w:r>
      <w:r w:rsidR="00EE78CE">
        <w:t xml:space="preserve"> </w:t>
      </w:r>
      <w:r w:rsidR="00EE78CE" w:rsidRPr="00D271D5">
        <w:t>models</w:t>
      </w:r>
      <w:r w:rsidR="00EE78CE">
        <w:t xml:space="preserve"> when evaluated using ΔQICC or </w:t>
      </w:r>
      <w:r w:rsidR="00EE78CE" w:rsidRPr="0069024E">
        <w:rPr>
          <w:i/>
        </w:rPr>
        <w:t>w</w:t>
      </w:r>
      <w:r w:rsidR="00EE78CE" w:rsidRPr="0069024E">
        <w:rPr>
          <w:i/>
          <w:vertAlign w:val="subscript"/>
        </w:rPr>
        <w:t>i</w:t>
      </w:r>
      <w:r w:rsidR="00EE78CE" w:rsidRPr="00D271D5">
        <w:t xml:space="preserve"> (</w:t>
      </w:r>
      <w:r w:rsidR="00EE78CE">
        <w:t>T</w:t>
      </w:r>
      <w:r w:rsidR="00EE78CE" w:rsidRPr="00D271D5">
        <w:t xml:space="preserve">able </w:t>
      </w:r>
      <w:r w:rsidR="001103C1">
        <w:t>C</w:t>
      </w:r>
      <w:r w:rsidR="00EE78CE">
        <w:t>)</w:t>
      </w:r>
      <w:r w:rsidR="00EE78CE" w:rsidRPr="00D271D5">
        <w:t xml:space="preserve">. </w:t>
      </w:r>
    </w:p>
    <w:p w14:paraId="30AEFC17" w14:textId="0EC9D452" w:rsidR="00EE78CE" w:rsidRDefault="00EE78CE" w:rsidP="00EE78CE">
      <w:pPr>
        <w:rPr>
          <w:b/>
        </w:rPr>
      </w:pPr>
    </w:p>
    <w:p w14:paraId="4409C0F8" w14:textId="77777777" w:rsidR="005607C1" w:rsidRDefault="005607C1">
      <w:pPr>
        <w:rPr>
          <w:b/>
        </w:rPr>
      </w:pPr>
      <w:r>
        <w:rPr>
          <w:b/>
        </w:rPr>
        <w:br w:type="page"/>
      </w:r>
    </w:p>
    <w:p w14:paraId="453CAFED" w14:textId="6FE304C9" w:rsidR="00EE78CE" w:rsidRPr="009E2FF3" w:rsidRDefault="00EE78CE" w:rsidP="00EE78CE">
      <w:pPr>
        <w:spacing w:after="0"/>
        <w:rPr>
          <w:b/>
        </w:rPr>
      </w:pPr>
      <w:r w:rsidRPr="009E2FF3">
        <w:rPr>
          <w:b/>
        </w:rPr>
        <w:lastRenderedPageBreak/>
        <w:t xml:space="preserve">Table </w:t>
      </w:r>
      <w:r w:rsidR="003C635A">
        <w:rPr>
          <w:b/>
        </w:rPr>
        <w:t>C</w:t>
      </w:r>
      <w:r w:rsidRPr="009E2FF3">
        <w:rPr>
          <w:b/>
        </w:rPr>
        <w:t>: Evaluation of models explaining tsetse attraction using categorical colour predictors, with or without excitation of R1-6 as an additional predictor.</w:t>
      </w:r>
    </w:p>
    <w:tbl>
      <w:tblPr>
        <w:tblW w:w="96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1134"/>
        <w:gridCol w:w="1134"/>
        <w:gridCol w:w="1134"/>
        <w:gridCol w:w="1134"/>
      </w:tblGrid>
      <w:tr w:rsidR="00EE78CE" w:rsidRPr="00AF6541" w14:paraId="0D64CE4D" w14:textId="77777777" w:rsidTr="004D2805">
        <w:trPr>
          <w:trHeight w:val="300"/>
        </w:trPr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4435FC07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402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61265B8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21B8E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A. Males</w:t>
            </w:r>
          </w:p>
        </w:tc>
        <w:tc>
          <w:tcPr>
            <w:tcW w:w="3402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AD52121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21B8E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B. Females</w:t>
            </w:r>
          </w:p>
        </w:tc>
      </w:tr>
      <w:tr w:rsidR="00EE78CE" w:rsidRPr="00AF6541" w14:paraId="64CCB974" w14:textId="77777777" w:rsidTr="004D2805">
        <w:trPr>
          <w:trHeight w:val="300"/>
        </w:trPr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4B153E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21B8E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(i) Screened sensitivities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7AF159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(k=0.054)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89A6B1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(k=0.065)</w:t>
            </w:r>
          </w:p>
        </w:tc>
      </w:tr>
      <w:tr w:rsidR="00EE78CE" w:rsidRPr="00AF6541" w14:paraId="4B023489" w14:textId="77777777" w:rsidTr="004D2805">
        <w:trPr>
          <w:trHeight w:val="30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F37939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7E50A1" w14:textId="77777777" w:rsidR="00EE78CE" w:rsidRPr="00AF6541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E810EB" w14:textId="77777777" w:rsidR="00EE78CE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DDFECE" w14:textId="77777777" w:rsidR="00EE78CE" w:rsidRPr="00792EED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</w:pPr>
            <w:r w:rsidRPr="00792EED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w</w:t>
            </w:r>
            <w:r w:rsidRPr="00792EED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eastAsia="en-GB"/>
              </w:rPr>
              <w:t>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851335" w14:textId="77777777" w:rsidR="00EE78CE" w:rsidRPr="00AF6541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3EA116" w14:textId="77777777" w:rsidR="00EE78CE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B691BF" w14:textId="77777777" w:rsidR="00EE78CE" w:rsidRPr="00792EED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</w:pPr>
            <w:r w:rsidRPr="00792EED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w</w:t>
            </w:r>
            <w:r w:rsidRPr="00792EED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eastAsia="en-GB"/>
              </w:rPr>
              <w:t>i</w:t>
            </w:r>
          </w:p>
        </w:tc>
      </w:tr>
      <w:tr w:rsidR="00EE78CE" w:rsidRPr="00AF6541" w14:paraId="69D86E6F" w14:textId="77777777" w:rsidTr="004D2805">
        <w:trPr>
          <w:trHeight w:val="300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580B" w14:textId="189ED073" w:rsidR="00EE78CE" w:rsidRPr="00AF6541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638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87.069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2177" w14:textId="77777777" w:rsidR="00EE78CE" w:rsidRPr="002345C6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8988" w14:textId="77777777" w:rsidR="00EE78CE" w:rsidRPr="002345C6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0.502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DBD5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85.951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416A" w14:textId="77777777" w:rsidR="00EE78CE" w:rsidRPr="002345C6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45FB" w14:textId="77777777" w:rsidR="00EE78CE" w:rsidRPr="002345C6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0.626</w:t>
            </w:r>
          </w:p>
        </w:tc>
      </w:tr>
      <w:tr w:rsidR="00EE78CE" w:rsidRPr="00AF6541" w14:paraId="73B13450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F117C05" w14:textId="217449A0" w:rsidR="00EE78CE" w:rsidRPr="00AF6541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CF85F6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87.897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53066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0.828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29AE0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0.332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06321D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90.028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BD47C5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4.077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77241D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0.082</w:t>
            </w:r>
          </w:p>
        </w:tc>
      </w:tr>
      <w:tr w:rsidR="00EE78CE" w:rsidRPr="00AF6541" w14:paraId="2F4FB496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030E1B6" w14:textId="2177A4A1" w:rsidR="00EE78CE" w:rsidRPr="00AF6541" w:rsidRDefault="00EA342D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4FFEAD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89.280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E9FA8D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2.211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3DECE9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0.166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B65986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87.476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9529F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1.525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77E317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0.292</w:t>
            </w:r>
          </w:p>
        </w:tc>
      </w:tr>
      <w:tr w:rsidR="00EE78CE" w:rsidRPr="00AF6541" w14:paraId="5E296388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FCFA00F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3C1073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500409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B7BBA3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A64B6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A7C3E7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1336C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</w:tr>
      <w:tr w:rsidR="00EE78CE" w:rsidRPr="00AF6541" w14:paraId="29FE01AE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4DC402E" w14:textId="0515D6B9" w:rsidR="00EE78CE" w:rsidRPr="00AF6541" w:rsidRDefault="005607C1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971481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161.366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FA7300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74.297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1AB48B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8D27EA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162.665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119AC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76.714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8290E9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E78CE" w:rsidRPr="00AF6541" w14:paraId="7BF1568B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0934230" w14:textId="350B834C" w:rsidR="00EE78CE" w:rsidRPr="00AF6541" w:rsidRDefault="005607C1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 w:rsidR="00EA342D"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5ED3F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135.044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F6DB8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47.975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51F091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86A891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138.518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FD9DDD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52.567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9E034C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E78CE" w:rsidRPr="00AF6541" w14:paraId="31C5CE4E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4920DD3" w14:textId="2D9713AA" w:rsidR="00EE78CE" w:rsidRPr="00AF6541" w:rsidRDefault="005607C1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="00EE78CE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&amp;p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295742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160.797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053F5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73.728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5BC792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03F325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165.203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93BABD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79.252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6FDEDE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E78CE" w:rsidRPr="00AF6541" w14:paraId="1952C07A" w14:textId="77777777" w:rsidTr="004D2805">
        <w:trPr>
          <w:trHeight w:val="300"/>
        </w:trPr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88504B" w14:textId="7D03B054" w:rsidR="00EE78CE" w:rsidRPr="00AF6541" w:rsidRDefault="005607C1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="00EE78CE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&amp;p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 w:rsidR="00EA342D"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7D0B6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136.647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2C9863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49.578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DED97E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4A9436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143.056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524A27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57.105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7ADBE6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E78CE" w:rsidRPr="00AF6541" w14:paraId="54BFC0F6" w14:textId="77777777" w:rsidTr="004D2805">
        <w:trPr>
          <w:trHeight w:val="30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AECB75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21B8E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 (ii) Unscreened sensitivities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AC017C0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(k=0.050)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65C0F32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(k=0.060)</w:t>
            </w:r>
          </w:p>
        </w:tc>
      </w:tr>
      <w:tr w:rsidR="00EE78CE" w:rsidRPr="00AF6541" w14:paraId="713DD03D" w14:textId="77777777" w:rsidTr="004D2805">
        <w:trPr>
          <w:trHeight w:val="30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5A885D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2E4050" w14:textId="77777777" w:rsidR="00EE78CE" w:rsidRPr="00AF6541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65FF72" w14:textId="77777777" w:rsidR="00EE78CE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C05B611" w14:textId="77777777" w:rsidR="00EE78CE" w:rsidRPr="00792EED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</w:pPr>
            <w:r w:rsidRPr="00792EED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w</w:t>
            </w:r>
            <w:r w:rsidRPr="00792EED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eastAsia="en-GB"/>
              </w:rPr>
              <w:t>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2269B8C" w14:textId="77777777" w:rsidR="00EE78CE" w:rsidRPr="00AF6541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29F698" w14:textId="77777777" w:rsidR="00EE78CE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AE5E98E" w14:textId="77777777" w:rsidR="00EE78CE" w:rsidRPr="00792EED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</w:pPr>
            <w:r w:rsidRPr="00792EED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w</w:t>
            </w:r>
            <w:r w:rsidRPr="00792EED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eastAsia="en-GB"/>
              </w:rPr>
              <w:t>i</w:t>
            </w:r>
          </w:p>
        </w:tc>
      </w:tr>
      <w:tr w:rsidR="00EA342D" w:rsidRPr="00AF6541" w14:paraId="35DAF8EC" w14:textId="77777777" w:rsidTr="004D2805">
        <w:trPr>
          <w:trHeight w:val="300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A453" w14:textId="4F557686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013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92.411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2E3D" w14:textId="77777777" w:rsidR="00EA342D" w:rsidRPr="002345C6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4.356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A7DB" w14:textId="77777777" w:rsidR="00EA342D" w:rsidRPr="002345C6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0.072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8AA0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91.59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DE96" w14:textId="77777777" w:rsidR="00EA342D" w:rsidRPr="002345C6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5.241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FEC1" w14:textId="77777777" w:rsidR="00EA342D" w:rsidRPr="002345C6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0.052</w:t>
            </w:r>
          </w:p>
        </w:tc>
      </w:tr>
      <w:tr w:rsidR="00EA342D" w:rsidRPr="00AF6541" w14:paraId="268B2861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C8C422A" w14:textId="7671EEB5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D3033A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88.055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2F83DE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E28D2C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0.637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4ED3A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86.349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1ACBD7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0AE1F3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0.708</w:t>
            </w:r>
          </w:p>
        </w:tc>
      </w:tr>
      <w:tr w:rsidR="00EA342D" w:rsidRPr="00AF6541" w14:paraId="230BD347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398E9E1" w14:textId="7E889311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513201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89.620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F8455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1.565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886FC0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0.291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33D01F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88.511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C41805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2.162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DA3ABA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0.240</w:t>
            </w:r>
          </w:p>
        </w:tc>
      </w:tr>
      <w:tr w:rsidR="00EA342D" w:rsidRPr="00AF6541" w14:paraId="58B18A3C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7B51F3D" w14:textId="587EECA2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7C35D6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2A21F1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64F42B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F7D26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F05B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9B30F2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</w:tr>
      <w:tr w:rsidR="00EA342D" w:rsidRPr="00AF6541" w14:paraId="3726F1B3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E10F3DE" w14:textId="1A870871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685DD8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173.144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E50B46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85.089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EE542B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1FEA5C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175.286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6EA51C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88.937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C10D46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AF6541" w14:paraId="78F1A719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132D80" w14:textId="24A78452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C580A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145.070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E5A24B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57.015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8FFB5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AA78F2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149.657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EEC03F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63.308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51ECAF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AF6541" w14:paraId="58B5E694" w14:textId="77777777" w:rsidTr="004D2805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9A46CC2" w14:textId="62D1239C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y&amp;p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ED3700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173.933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63E3C1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85.878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25140A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7EB4E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177.357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EFB425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91.008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DEFDA7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AF6541" w14:paraId="1E7225AA" w14:textId="77777777" w:rsidTr="004D2805">
        <w:trPr>
          <w:trHeight w:val="300"/>
        </w:trPr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5B9FCB" w14:textId="08A9B60B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y&amp;p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0E1B65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147.150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33DB3B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59.095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23DB3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9D396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152.503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B0D4C7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66.154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BDFA96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</w:tbl>
    <w:p w14:paraId="1C1BB769" w14:textId="7D2D01D8" w:rsidR="00EE78CE" w:rsidRPr="0035501C" w:rsidRDefault="00EE78CE" w:rsidP="00EE78CE">
      <w:pPr>
        <w:spacing w:after="0"/>
        <w:rPr>
          <w:i/>
        </w:rPr>
      </w:pPr>
      <w:r w:rsidRPr="0035501C">
        <w:rPr>
          <w:i/>
        </w:rPr>
        <w:t xml:space="preserve">Conventions as in </w:t>
      </w:r>
      <w:r>
        <w:rPr>
          <w:i/>
        </w:rPr>
        <w:t>T</w:t>
      </w:r>
      <w:r w:rsidRPr="0035501C">
        <w:rPr>
          <w:i/>
        </w:rPr>
        <w:t xml:space="preserve">able </w:t>
      </w:r>
      <w:r w:rsidR="001103C1">
        <w:rPr>
          <w:i/>
        </w:rPr>
        <w:t>A</w:t>
      </w:r>
      <w:r w:rsidRPr="0035501C">
        <w:rPr>
          <w:i/>
        </w:rPr>
        <w:t>.</w:t>
      </w:r>
    </w:p>
    <w:p w14:paraId="6E580A03" w14:textId="77777777" w:rsidR="00EE78CE" w:rsidRDefault="00EE78CE" w:rsidP="00EE78CE">
      <w:pPr>
        <w:spacing w:after="0"/>
      </w:pPr>
    </w:p>
    <w:p w14:paraId="4285113F" w14:textId="77777777" w:rsidR="00650B9C" w:rsidRDefault="00650B9C">
      <w:r>
        <w:br w:type="page"/>
      </w:r>
    </w:p>
    <w:p w14:paraId="05F376FB" w14:textId="77777777" w:rsidR="00EE78CE" w:rsidRDefault="00EE78CE" w:rsidP="00EE78CE">
      <w:pPr>
        <w:spacing w:after="0" w:line="480" w:lineRule="auto"/>
      </w:pPr>
    </w:p>
    <w:p w14:paraId="6ECAC034" w14:textId="0BB6C07C" w:rsidR="00251CF9" w:rsidRDefault="00BB3507" w:rsidP="00F116AE">
      <w:pPr>
        <w:spacing w:after="0" w:line="480" w:lineRule="auto"/>
        <w:ind w:firstLine="720"/>
      </w:pPr>
      <w:r>
        <w:t>A range of additional models were considered in which predictors were computed from R7 and R8 photoreceptor excitations to represent the evaluation of colour information separated from luminance</w:t>
      </w:r>
      <w:r w:rsidR="005607C1">
        <w:t>, but without categorical coding of their outputs</w:t>
      </w:r>
      <w:r>
        <w:t xml:space="preserve">. For all such models, the fit to the data was poor unless the </w:t>
      </w:r>
      <w:r w:rsidR="005607C1">
        <w:t>E</w:t>
      </w:r>
      <w:r w:rsidR="00EE78CE" w:rsidRPr="00692FD3">
        <w:rPr>
          <w:vertAlign w:val="subscript"/>
        </w:rPr>
        <w:t>R1-6</w:t>
      </w:r>
      <w:r w:rsidR="00EE78CE" w:rsidRPr="00D271D5">
        <w:t xml:space="preserve"> photoreceptor response </w:t>
      </w:r>
      <w:r>
        <w:t xml:space="preserve">was added in representation of </w:t>
      </w:r>
      <w:r w:rsidR="00EE78CE" w:rsidRPr="00D271D5">
        <w:t>a separate luminance channel (</w:t>
      </w:r>
      <w:r w:rsidR="00EE78CE">
        <w:t>T</w:t>
      </w:r>
      <w:r w:rsidR="00EE78CE" w:rsidRPr="00D271D5">
        <w:t xml:space="preserve">able </w:t>
      </w:r>
      <w:r w:rsidR="001103C1">
        <w:t>D</w:t>
      </w:r>
      <w:r w:rsidR="00EE78CE" w:rsidRPr="00D271D5">
        <w:t xml:space="preserve">). Based upon ΔQICC and </w:t>
      </w:r>
      <w:r w:rsidR="00EE78CE" w:rsidRPr="0035501C">
        <w:rPr>
          <w:i/>
        </w:rPr>
        <w:t>w</w:t>
      </w:r>
      <w:r w:rsidR="00EE78CE" w:rsidRPr="0035501C">
        <w:rPr>
          <w:i/>
          <w:vertAlign w:val="subscript"/>
        </w:rPr>
        <w:t>i</w:t>
      </w:r>
      <w:r w:rsidR="00EE78CE" w:rsidRPr="00D271D5">
        <w:t>, the fit of these models to the data was improved versus the earlier</w:t>
      </w:r>
      <w:r w:rsidR="009516AA">
        <w:t>-</w:t>
      </w:r>
      <w:r w:rsidR="00EE78CE" w:rsidRPr="00D271D5">
        <w:t xml:space="preserve">generated </w:t>
      </w:r>
      <w:r w:rsidR="009516AA">
        <w:t>weighted photoreceptor excitation</w:t>
      </w:r>
      <w:r w:rsidR="00EE78CE">
        <w:t xml:space="preserve"> models</w:t>
      </w:r>
      <w:r w:rsidR="00EE78CE" w:rsidRPr="00D271D5">
        <w:t xml:space="preserve"> and </w:t>
      </w:r>
      <w:r w:rsidR="00EE78CE">
        <w:t xml:space="preserve">colour </w:t>
      </w:r>
      <w:r w:rsidR="00EE78CE" w:rsidRPr="00D271D5">
        <w:t xml:space="preserve">categorical models, </w:t>
      </w:r>
      <w:r w:rsidR="00251CF9">
        <w:t xml:space="preserve">for male and female datasets and under </w:t>
      </w:r>
      <w:r w:rsidR="00EE78CE" w:rsidRPr="00D271D5">
        <w:t>the assumption of either screened or unscreened photoreceptor sensitivities</w:t>
      </w:r>
      <w:r w:rsidR="00EE78CE">
        <w:t xml:space="preserve"> (Table </w:t>
      </w:r>
      <w:r w:rsidR="001103C1">
        <w:t>D</w:t>
      </w:r>
      <w:r w:rsidR="00EE78CE">
        <w:t>)</w:t>
      </w:r>
      <w:r w:rsidR="00251CF9">
        <w:t xml:space="preserve">. For the male dataset, a model based upon </w:t>
      </w:r>
      <w:r w:rsidR="00B75C04">
        <w:t>‘</w:t>
      </w:r>
      <w:r w:rsidR="00251CF9">
        <w:t>y</w:t>
      </w:r>
      <w:r w:rsidR="00B75C04">
        <w:t>’</w:t>
      </w:r>
      <w:r w:rsidR="00251CF9">
        <w:t xml:space="preserve"> and </w:t>
      </w:r>
      <w:r w:rsidR="00B75C04">
        <w:t>‘</w:t>
      </w:r>
      <w:r w:rsidR="00251CF9">
        <w:t>p</w:t>
      </w:r>
      <w:r w:rsidR="00B75C04">
        <w:t>’</w:t>
      </w:r>
      <w:r w:rsidR="00251CF9">
        <w:t xml:space="preserve"> opponent systems was strongest supported, although there was also strong support for the generic colour model (</w:t>
      </w:r>
      <w:r w:rsidR="001103C1">
        <w:t>T</w:t>
      </w:r>
      <w:r w:rsidR="00251CF9">
        <w:t xml:space="preserve">able </w:t>
      </w:r>
      <w:r w:rsidR="001103C1">
        <w:t>D</w:t>
      </w:r>
      <w:r w:rsidR="00251CF9">
        <w:t>). For the female dataset that pattern was reversed, with the generic colour model the strongest supported</w:t>
      </w:r>
      <w:r w:rsidR="001103C1">
        <w:t xml:space="preserve"> (Table D)</w:t>
      </w:r>
      <w:r w:rsidR="00F116AE">
        <w:t xml:space="preserve">. </w:t>
      </w:r>
    </w:p>
    <w:p w14:paraId="733C79DB" w14:textId="7742BBAB" w:rsidR="00F116AE" w:rsidRPr="00D271D5" w:rsidRDefault="00251CF9" w:rsidP="00F116AE">
      <w:pPr>
        <w:spacing w:after="0" w:line="480" w:lineRule="auto"/>
        <w:ind w:firstLine="720"/>
      </w:pPr>
      <w:r>
        <w:t>Note that despite the identification of best</w:t>
      </w:r>
      <w:r w:rsidR="009516AA">
        <w:t>-</w:t>
      </w:r>
      <w:r>
        <w:t>supported models</w:t>
      </w:r>
      <w:r w:rsidR="00B75C04">
        <w:t xml:space="preserve"> in this analysis</w:t>
      </w:r>
      <w:r>
        <w:t xml:space="preserve"> </w:t>
      </w:r>
      <w:r w:rsidR="00F116AE" w:rsidRPr="00D271D5">
        <w:t xml:space="preserve">several other candidate models </w:t>
      </w:r>
      <w:r w:rsidR="00F116AE">
        <w:t>could not</w:t>
      </w:r>
      <w:r w:rsidR="00F116AE" w:rsidRPr="00D271D5">
        <w:t xml:space="preserve"> be ruled out and a degree of variation in the ‘best’ model </w:t>
      </w:r>
      <w:r w:rsidR="00F116AE">
        <w:t>w</w:t>
      </w:r>
      <w:r w:rsidR="00F116AE" w:rsidRPr="00D271D5">
        <w:t xml:space="preserve">ould be expected from sample to sample. This </w:t>
      </w:r>
      <w:r w:rsidR="00F116AE">
        <w:t>variation is</w:t>
      </w:r>
      <w:r w:rsidR="00F116AE" w:rsidRPr="00D271D5">
        <w:t xml:space="preserve"> perhaps not surprising given that </w:t>
      </w:r>
      <w:r w:rsidR="00F116AE">
        <w:t xml:space="preserve">excitations calculated for different photoreceptor types were often </w:t>
      </w:r>
      <w:r w:rsidR="00F116AE" w:rsidRPr="00D271D5">
        <w:t>strongly correlated</w:t>
      </w:r>
      <w:r w:rsidR="00F116AE">
        <w:t xml:space="preserve"> across the complete set of fabrics examined</w:t>
      </w:r>
      <w:r w:rsidR="00F116AE" w:rsidRPr="00D271D5">
        <w:t xml:space="preserve"> (</w:t>
      </w:r>
      <w:r w:rsidR="00F116AE">
        <w:t>T</w:t>
      </w:r>
      <w:r w:rsidR="00F116AE" w:rsidRPr="00D271D5">
        <w:t>able</w:t>
      </w:r>
      <w:r w:rsidR="001103C1">
        <w:t>s</w:t>
      </w:r>
      <w:r w:rsidR="00F116AE" w:rsidRPr="00D271D5">
        <w:t xml:space="preserve"> </w:t>
      </w:r>
      <w:r w:rsidR="00F116AE">
        <w:t>1</w:t>
      </w:r>
      <w:r w:rsidR="001103C1">
        <w:t xml:space="preserve"> and 2</w:t>
      </w:r>
      <w:r w:rsidR="00F116AE" w:rsidRPr="00D271D5">
        <w:t>).</w:t>
      </w:r>
    </w:p>
    <w:p w14:paraId="721BC735" w14:textId="77777777" w:rsidR="00EE78CE" w:rsidRDefault="00EE78CE" w:rsidP="00EE78CE">
      <w:pPr>
        <w:spacing w:after="0" w:line="480" w:lineRule="auto"/>
      </w:pPr>
    </w:p>
    <w:p w14:paraId="2EB637D0" w14:textId="77777777" w:rsidR="00EE78CE" w:rsidRDefault="00EE78CE" w:rsidP="00EE78CE">
      <w:pPr>
        <w:spacing w:after="0" w:line="480" w:lineRule="auto"/>
      </w:pPr>
    </w:p>
    <w:p w14:paraId="1F87EE45" w14:textId="77777777" w:rsidR="00EE78CE" w:rsidRDefault="00EE78CE" w:rsidP="00EE78CE">
      <w:pPr>
        <w:rPr>
          <w:b/>
        </w:rPr>
      </w:pPr>
      <w:r>
        <w:rPr>
          <w:b/>
        </w:rPr>
        <w:br w:type="page"/>
      </w:r>
    </w:p>
    <w:p w14:paraId="3CCCA063" w14:textId="152A6346" w:rsidR="00EE78CE" w:rsidRPr="009E2FF3" w:rsidRDefault="00EE78CE" w:rsidP="00EE78CE">
      <w:pPr>
        <w:spacing w:after="0"/>
        <w:rPr>
          <w:b/>
        </w:rPr>
      </w:pPr>
      <w:r w:rsidRPr="009E2FF3">
        <w:rPr>
          <w:b/>
        </w:rPr>
        <w:lastRenderedPageBreak/>
        <w:t xml:space="preserve">Table </w:t>
      </w:r>
      <w:r w:rsidR="003C635A">
        <w:rPr>
          <w:b/>
        </w:rPr>
        <w:t>D</w:t>
      </w:r>
      <w:r w:rsidRPr="009E2FF3">
        <w:rPr>
          <w:b/>
        </w:rPr>
        <w:t xml:space="preserve">: Evaluation of models explaining tsetse attraction using R7-8 photoreceptor excitations combined into two opponent channels, or represented </w:t>
      </w:r>
      <w:r w:rsidR="00B75C04">
        <w:rPr>
          <w:b/>
        </w:rPr>
        <w:t>relative to one another</w:t>
      </w:r>
      <w:r w:rsidRPr="009E2FF3">
        <w:rPr>
          <w:b/>
        </w:rPr>
        <w:t>, with or without excitation of R1-6 as an additional predictor.</w:t>
      </w:r>
    </w:p>
    <w:tbl>
      <w:tblPr>
        <w:tblW w:w="10206" w:type="dxa"/>
        <w:tblInd w:w="93" w:type="dxa"/>
        <w:tblLook w:val="04A0" w:firstRow="1" w:lastRow="0" w:firstColumn="1" w:lastColumn="0" w:noHBand="0" w:noVBand="1"/>
      </w:tblPr>
      <w:tblGrid>
        <w:gridCol w:w="3276"/>
        <w:gridCol w:w="1134"/>
        <w:gridCol w:w="1134"/>
        <w:gridCol w:w="1134"/>
        <w:gridCol w:w="1134"/>
        <w:gridCol w:w="1134"/>
        <w:gridCol w:w="1260"/>
      </w:tblGrid>
      <w:tr w:rsidR="00EE78CE" w:rsidRPr="00AF6541" w14:paraId="6AE6B900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CF35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6E48B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33EDF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A. Males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A7C7E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33EDF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B. Females</w:t>
            </w:r>
          </w:p>
        </w:tc>
      </w:tr>
      <w:tr w:rsidR="00EE78CE" w:rsidRPr="00AF6541" w14:paraId="1CEFCDD0" w14:textId="77777777" w:rsidTr="0048183B">
        <w:trPr>
          <w:trHeight w:val="300"/>
        </w:trPr>
        <w:tc>
          <w:tcPr>
            <w:tcW w:w="3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41CED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21B8E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(i) Screened sensitivities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878A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(k=0.054)</w:t>
            </w:r>
          </w:p>
        </w:tc>
        <w:tc>
          <w:tcPr>
            <w:tcW w:w="352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A9200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(k=0.065)</w:t>
            </w:r>
          </w:p>
        </w:tc>
      </w:tr>
      <w:tr w:rsidR="00EE78CE" w:rsidRPr="00AF6541" w14:paraId="4D358E14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66CD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8FD4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8B2F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7BBE" w14:textId="77777777" w:rsidR="00EE78CE" w:rsidRPr="00792EED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</w:pPr>
            <w:r w:rsidRPr="00792EED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w</w:t>
            </w:r>
            <w:r w:rsidRPr="00792EED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eastAsia="en-GB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F08E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4AD5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9FA6" w14:textId="77777777" w:rsidR="00EE78CE" w:rsidRPr="00792EED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</w:pPr>
            <w:r w:rsidRPr="00792EED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w</w:t>
            </w:r>
            <w:r w:rsidRPr="00792EED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eastAsia="en-GB"/>
              </w:rPr>
              <w:t>i</w:t>
            </w:r>
          </w:p>
        </w:tc>
      </w:tr>
      <w:tr w:rsidR="00EA342D" w:rsidRPr="00AF6541" w14:paraId="2071DF35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68E3" w14:textId="4C0CC022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9B36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87.069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6325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8.785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7E4C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0D30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85.951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D3A3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10.165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EEF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0.004</w:t>
            </w:r>
          </w:p>
        </w:tc>
      </w:tr>
      <w:tr w:rsidR="00EA342D" w:rsidRPr="00AF6541" w14:paraId="2B5E97DC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C28E" w14:textId="3D74E12B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944E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87.897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628F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9.613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C2EB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8958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90.028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96F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14.242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2D3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</w:tr>
      <w:tr w:rsidR="00EA342D" w:rsidRPr="00AF6541" w14:paraId="5E239198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9694" w14:textId="7F3DD615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ACCB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89.280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B95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10.996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376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C9A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87.476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D43B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11.690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A1D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</w:tr>
      <w:tr w:rsidR="00EE78CE" w:rsidRPr="00AF6541" w14:paraId="4F2F88B9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6D28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5174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9247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7E0A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3414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B311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57D0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EE78CE" w:rsidRPr="00AF6541" w14:paraId="5CDF27FE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09F4" w14:textId="3772B9AF" w:rsidR="00EE78CE" w:rsidRPr="00AF6541" w:rsidRDefault="0048183B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D34C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122.441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D59E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44.157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BB0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EBD0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120.765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81B4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44.979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8287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E78CE" w:rsidRPr="00AF6541" w14:paraId="3812B54C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28E4" w14:textId="0A77608D" w:rsidR="00EE78CE" w:rsidRPr="00AF6541" w:rsidRDefault="0048183B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 w:rsidR="00EA342D"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A910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88.777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BCE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10.493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C270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2391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89.694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6C8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13.908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7F97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</w:tr>
      <w:tr w:rsidR="00EE78CE" w:rsidRPr="00AF6541" w14:paraId="489FBB0E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FE99" w14:textId="7C55DA52" w:rsidR="00EE78CE" w:rsidRPr="00AF6541" w:rsidRDefault="0048183B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1330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101.596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0FF2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23.312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AC54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DE31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101.633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E92C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25.847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21FC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E78CE" w:rsidRPr="00AF6541" w14:paraId="3760718A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E154" w14:textId="1A2F7AB3" w:rsidR="00EE78CE" w:rsidRPr="00AF6541" w:rsidRDefault="0048183B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</w:t>
            </w:r>
            <w:r w:rsidR="00C75274"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C75274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C75274"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="00C75274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="00C75274"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="00C75274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 w:rsidR="00C7527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</w:t>
            </w:r>
            <w:r w:rsidR="00C75274"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C75274"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 w:rsidR="00C75274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 w:rsidR="00C75274"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="00C75274"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 w:rsidR="00C75274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 w:rsidR="00C75274"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="00C75274"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 w:rsidR="00C75274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 w:rsidR="00C7527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 w:rsidR="00EA342D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13CE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80.365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99D4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2.081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4B9C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613C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79.526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1229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3.740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A727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0.110</w:t>
            </w:r>
          </w:p>
        </w:tc>
      </w:tr>
      <w:tr w:rsidR="00EE78CE" w:rsidRPr="00AF6541" w14:paraId="08EF6B95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840B" w14:textId="3B147B15" w:rsidR="00EE78CE" w:rsidRPr="00AF6541" w:rsidRDefault="0048183B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435B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110.865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DE16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32.581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DEB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DB76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112.165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148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36.379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91DB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E78CE" w:rsidRPr="00AF6541" w14:paraId="74CF8904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F19E" w14:textId="7AC5B5BA" w:rsidR="00EE78CE" w:rsidRPr="00AF6541" w:rsidRDefault="0048183B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="00EE78C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 w:rsidR="00EA342D"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26F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78.284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D97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E270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9B8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78.620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919E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2.834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3DFA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0.172</w:t>
            </w:r>
          </w:p>
        </w:tc>
      </w:tr>
      <w:tr w:rsidR="00EE78CE" w:rsidRPr="00AF6541" w14:paraId="3369844A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5F8E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A33B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BD58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8135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967B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F0C9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0B7D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EE78CE" w:rsidRPr="00AF6541" w14:paraId="5D7BCDBC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E877" w14:textId="50B513A7" w:rsidR="00EE78CE" w:rsidRPr="00AF6541" w:rsidRDefault="0048183B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7y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8p</w:t>
            </w:r>
            <w:r w:rsidR="00EE78CE"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y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186A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102.922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65A9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24.638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E55A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892F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99.066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A199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23.280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360A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E78CE" w:rsidRPr="00AF6541" w14:paraId="749F8C6D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96A9" w14:textId="68721641" w:rsidR="00EE78CE" w:rsidRPr="007775E8" w:rsidRDefault="0048183B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7y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8p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y</w:t>
            </w:r>
            <w:r w:rsidR="00EE78CE" w:rsidRPr="007775E8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 w:rsidR="00EA342D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E</w:t>
            </w:r>
            <w:r w:rsidR="00EE78CE" w:rsidRPr="00692FD3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CAC7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79.913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1805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1.629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6EF3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5949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75.786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2CD9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46D0" w14:textId="77777777" w:rsidR="00EE78CE" w:rsidRPr="00AF6541" w:rsidRDefault="00EE78CE" w:rsidP="004D28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0.711</w:t>
            </w:r>
          </w:p>
        </w:tc>
      </w:tr>
      <w:tr w:rsidR="00EE78CE" w:rsidRPr="00AF6541" w14:paraId="5DBBAE20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1CF9" w14:textId="4ADFBB24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bookmarkStart w:id="0" w:name="_GoBack"/>
            <w:bookmarkEnd w:id="0"/>
            <w:r w:rsidRPr="00921B8E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(ii) Unscreened sensitivities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33B2D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(k=0.050)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1E219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(k=0.060)</w:t>
            </w:r>
          </w:p>
        </w:tc>
      </w:tr>
      <w:tr w:rsidR="00EE78CE" w:rsidRPr="00AF6541" w14:paraId="4D6CCB91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E1B0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CB2C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0D3D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7DC0" w14:textId="77777777" w:rsidR="00EE78CE" w:rsidRPr="00792EED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</w:pPr>
            <w:r w:rsidRPr="00792EED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w</w:t>
            </w:r>
            <w:r w:rsidRPr="00792EED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eastAsia="en-GB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2F79" w14:textId="77777777" w:rsidR="00EE78CE" w:rsidRPr="00AF6541" w:rsidRDefault="00EE78CE" w:rsidP="004D2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378F" w14:textId="77777777" w:rsidR="00EE78CE" w:rsidRPr="002345C6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336D" w14:textId="77777777" w:rsidR="00EE78CE" w:rsidRPr="00792EED" w:rsidRDefault="00EE78CE" w:rsidP="004D2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</w:pPr>
            <w:r w:rsidRPr="00792EED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w</w:t>
            </w:r>
            <w:r w:rsidRPr="00792EED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eastAsia="en-GB"/>
              </w:rPr>
              <w:t>i</w:t>
            </w:r>
          </w:p>
        </w:tc>
      </w:tr>
      <w:tr w:rsidR="00EA342D" w:rsidRPr="00AF6541" w14:paraId="7E457140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53F6" w14:textId="26A1ADA3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FFDA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92.411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0EDB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9.233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DE65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A5D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91.590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8763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11.705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C4D7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</w:tr>
      <w:tr w:rsidR="00EA342D" w:rsidRPr="00AF6541" w14:paraId="31A535D8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9BE9" w14:textId="28C62617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16A2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88.055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084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4.877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C4A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A58A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86.349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706E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6.464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08E0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0.031</w:t>
            </w:r>
          </w:p>
        </w:tc>
      </w:tr>
      <w:tr w:rsidR="00EA342D" w:rsidRPr="00AF6541" w14:paraId="6E19A143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695A" w14:textId="5D871471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58EB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89.620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0431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6.442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96F5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EF9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88.511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9C11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8.626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300F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</w:tr>
      <w:tr w:rsidR="00EA342D" w:rsidRPr="00AF6541" w14:paraId="22EE3859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843E" w14:textId="22282E76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36EF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44B2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1A4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3026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DC2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70EE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EA342D" w:rsidRPr="00AF6541" w14:paraId="07582570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78AA" w14:textId="2E1AD40F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]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CC6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130.938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540F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47.760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6A7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093E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129.101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3C1C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49.216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B493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AF6541" w14:paraId="59B39490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F418" w14:textId="13C049F5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19F8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94.243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07C6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11.065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181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DA90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95.462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B1D6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15.577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2B66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AF6541" w14:paraId="0C5EC8C9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2E1B" w14:textId="79C88EC5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9AD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112.705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6266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29.527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C36A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8F1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110.853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B660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30.968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5EFC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AF6541" w14:paraId="6F0ACF21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7554" w14:textId="2EB9DC1C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D4BC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85.402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F322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2.224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3A18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5CEC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84.529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9808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4.644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63FE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0.076</w:t>
            </w:r>
          </w:p>
        </w:tc>
      </w:tr>
      <w:tr w:rsidR="00EA342D" w:rsidRPr="00AF6541" w14:paraId="56F9E07E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0640" w14:textId="430CCDAC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, 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700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126.400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D83E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43.222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AD9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8FB7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125.860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1DC0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45.975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000E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AF6541" w14:paraId="47A10169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1F95" w14:textId="1981E94A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, 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80DB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83.178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1058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086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9B82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83.823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8B45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3.938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A7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0.108</w:t>
            </w:r>
          </w:p>
        </w:tc>
      </w:tr>
      <w:tr w:rsidR="00EA342D" w:rsidRPr="00AF6541" w14:paraId="463DA3C7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04D2" w14:textId="27DF7282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A071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D2B7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6AC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4C42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2C0A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279E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EA342D" w:rsidRPr="00AF6541" w14:paraId="256715CF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D8CB" w14:textId="13B08AF7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7y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8p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y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B2E0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113.258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E7A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30.080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FF48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5289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107.272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2265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27.387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413F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AF6541" w14:paraId="11A1FE22" w14:textId="77777777" w:rsidTr="0048183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6CDA" w14:textId="2673458E" w:rsidR="00EA342D" w:rsidRPr="007775E8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7y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8p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y</w:t>
            </w:r>
            <w:r w:rsidRPr="007775E8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F26A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84.217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92DD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1.039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17A1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5255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79.885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4E5C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0434" w14:textId="77777777" w:rsidR="00EA342D" w:rsidRPr="00AF6541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0.773</w:t>
            </w:r>
          </w:p>
        </w:tc>
      </w:tr>
    </w:tbl>
    <w:p w14:paraId="0E9F1D85" w14:textId="42ACAF02" w:rsidR="00EE78CE" w:rsidRPr="0035501C" w:rsidRDefault="00EE78CE" w:rsidP="00EE78CE">
      <w:pPr>
        <w:spacing w:after="0"/>
        <w:rPr>
          <w:i/>
        </w:rPr>
      </w:pPr>
      <w:r w:rsidRPr="0035501C">
        <w:rPr>
          <w:i/>
        </w:rPr>
        <w:t xml:space="preserve">Conventions as in </w:t>
      </w:r>
      <w:r>
        <w:rPr>
          <w:i/>
        </w:rPr>
        <w:t>T</w:t>
      </w:r>
      <w:r w:rsidRPr="0035501C">
        <w:rPr>
          <w:i/>
        </w:rPr>
        <w:t xml:space="preserve">able </w:t>
      </w:r>
      <w:r w:rsidR="003D64A6">
        <w:rPr>
          <w:i/>
        </w:rPr>
        <w:t>A</w:t>
      </w:r>
      <w:r w:rsidRPr="0035501C">
        <w:rPr>
          <w:i/>
        </w:rPr>
        <w:t>.</w:t>
      </w:r>
      <w:r>
        <w:rPr>
          <w:i/>
        </w:rPr>
        <w:t xml:space="preserve"> </w:t>
      </w:r>
      <w:r w:rsidR="005607C1">
        <w:rPr>
          <w:i/>
        </w:rPr>
        <w:t>Opp</w:t>
      </w:r>
      <w:r w:rsidR="005607C1" w:rsidRPr="00692FD3">
        <w:rPr>
          <w:i/>
          <w:vertAlign w:val="subscript"/>
        </w:rPr>
        <w:t>s</w:t>
      </w:r>
      <w:r w:rsidR="005607C1">
        <w:rPr>
          <w:i/>
        </w:rPr>
        <w:t xml:space="preserve"> and Rel</w:t>
      </w:r>
      <w:r w:rsidR="00B14540">
        <w:rPr>
          <w:i/>
          <w:vertAlign w:val="subscript"/>
        </w:rPr>
        <w:t>r</w:t>
      </w:r>
      <w:r w:rsidR="005607C1">
        <w:rPr>
          <w:i/>
        </w:rPr>
        <w:t xml:space="preserve"> indices are as defined in main text</w:t>
      </w:r>
      <w:r w:rsidR="00C27F59">
        <w:rPr>
          <w:i/>
        </w:rPr>
        <w:t>; predictors in square brackets are alternative</w:t>
      </w:r>
      <w:r w:rsidR="003D64A6">
        <w:rPr>
          <w:i/>
        </w:rPr>
        <w:t xml:space="preserve"> computations to represent processing of photoreceptor responses within ‘y’ and ‘p’ opponent systems</w:t>
      </w:r>
      <w:r w:rsidR="00C27F59">
        <w:rPr>
          <w:i/>
        </w:rPr>
        <w:t>.</w:t>
      </w:r>
    </w:p>
    <w:p w14:paraId="0335FC39" w14:textId="77777777" w:rsidR="00654231" w:rsidRDefault="00654231">
      <w:pPr>
        <w:rPr>
          <w:i/>
        </w:rPr>
      </w:pPr>
    </w:p>
    <w:p w14:paraId="4919D532" w14:textId="77777777" w:rsidR="00654231" w:rsidRDefault="00654231">
      <w:pPr>
        <w:rPr>
          <w:i/>
        </w:rPr>
      </w:pPr>
      <w:r>
        <w:rPr>
          <w:i/>
        </w:rPr>
        <w:br w:type="page"/>
      </w:r>
    </w:p>
    <w:p w14:paraId="5F97479E" w14:textId="4B29DE03" w:rsidR="001103C1" w:rsidRDefault="00B75C04" w:rsidP="00B75C04">
      <w:pPr>
        <w:spacing w:line="480" w:lineRule="auto"/>
        <w:rPr>
          <w:b/>
        </w:rPr>
      </w:pPr>
      <w:r>
        <w:rPr>
          <w:b/>
        </w:rPr>
        <w:lastRenderedPageBreak/>
        <w:t xml:space="preserve">4. </w:t>
      </w:r>
      <w:r w:rsidR="001103C1">
        <w:rPr>
          <w:b/>
        </w:rPr>
        <w:t xml:space="preserve">Robustness of </w:t>
      </w:r>
      <w:r w:rsidR="005F16CA">
        <w:rPr>
          <w:b/>
        </w:rPr>
        <w:t>model selection</w:t>
      </w:r>
      <w:r w:rsidR="001103C1">
        <w:rPr>
          <w:b/>
        </w:rPr>
        <w:t xml:space="preserve"> to the assumed R1-6 sensitivity function</w:t>
      </w:r>
    </w:p>
    <w:p w14:paraId="465FA915" w14:textId="62902D92" w:rsidR="001103C1" w:rsidRPr="00692FD3" w:rsidRDefault="005F16CA" w:rsidP="00B75C04">
      <w:pPr>
        <w:spacing w:line="480" w:lineRule="auto"/>
      </w:pPr>
      <w:r>
        <w:t xml:space="preserve">The model selection procedures described above used an R1-6 sensitivity function based on that recorded electrophysiologically from </w:t>
      </w:r>
      <w:r w:rsidRPr="00692FD3">
        <w:rPr>
          <w:i/>
        </w:rPr>
        <w:t>G. m. morsitans</w:t>
      </w:r>
      <w:r>
        <w:t xml:space="preserve">, regardless of whether screened or unscreened functions for R7-8 were used. Model selection was also conducted using screened R7-8 sensitivity functions (Fig 1B) and the R1-6 sensitivity function characteristic of </w:t>
      </w:r>
      <w:r w:rsidRPr="00692FD3">
        <w:rPr>
          <w:i/>
        </w:rPr>
        <w:t>Musca</w:t>
      </w:r>
      <w:r>
        <w:t xml:space="preserve"> and </w:t>
      </w:r>
      <w:r w:rsidRPr="00692FD3">
        <w:rPr>
          <w:i/>
        </w:rPr>
        <w:t>Calliphora</w:t>
      </w:r>
      <w:r>
        <w:t xml:space="preserve"> (Fig 1A). Model selection in this way yielded similar results to the analyses presented above using screened photoreceptor sensitivities (Table E).</w:t>
      </w:r>
      <w:r w:rsidR="001103C1" w:rsidRPr="00692FD3">
        <w:br w:type="page"/>
      </w:r>
    </w:p>
    <w:p w14:paraId="311C2165" w14:textId="025CCEC5" w:rsidR="001103C1" w:rsidRPr="00807B2E" w:rsidRDefault="001103C1" w:rsidP="001103C1">
      <w:pPr>
        <w:rPr>
          <w:b/>
        </w:rPr>
      </w:pPr>
      <w:r w:rsidRPr="00807B2E">
        <w:rPr>
          <w:b/>
        </w:rPr>
        <w:lastRenderedPageBreak/>
        <w:t>Table</w:t>
      </w:r>
      <w:r>
        <w:rPr>
          <w:b/>
        </w:rPr>
        <w:t xml:space="preserve"> E</w:t>
      </w:r>
      <w:r w:rsidRPr="00807B2E">
        <w:rPr>
          <w:b/>
        </w:rPr>
        <w:t xml:space="preserve">. </w:t>
      </w:r>
      <w:r>
        <w:rPr>
          <w:b/>
        </w:rPr>
        <w:t>E</w:t>
      </w:r>
      <w:r w:rsidRPr="00807B2E">
        <w:rPr>
          <w:b/>
        </w:rPr>
        <w:t xml:space="preserve">valuation of </w:t>
      </w:r>
      <w:r>
        <w:rPr>
          <w:b/>
        </w:rPr>
        <w:t>photo</w:t>
      </w:r>
      <w:r w:rsidRPr="00807B2E">
        <w:rPr>
          <w:b/>
        </w:rPr>
        <w:t xml:space="preserve">receptor-based models of tsetse attraction assuming screened R7-8 sensitivity functions (Fig 1B) and </w:t>
      </w:r>
      <w:r w:rsidR="007926F8">
        <w:rPr>
          <w:b/>
        </w:rPr>
        <w:t>generic</w:t>
      </w:r>
      <w:r w:rsidRPr="00807B2E">
        <w:rPr>
          <w:b/>
        </w:rPr>
        <w:t xml:space="preserve"> R1-6 sensitivity function (Fig 1A).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1014"/>
        <w:gridCol w:w="1014"/>
        <w:gridCol w:w="1014"/>
        <w:gridCol w:w="1014"/>
        <w:gridCol w:w="1014"/>
        <w:gridCol w:w="1014"/>
      </w:tblGrid>
      <w:tr w:rsidR="001103C1" w:rsidRPr="001A4A54" w14:paraId="7A9D7EDE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</w:tcPr>
          <w:p w14:paraId="1F39EF0B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042" w:type="dxa"/>
            <w:gridSpan w:val="3"/>
            <w:shd w:val="clear" w:color="auto" w:fill="auto"/>
            <w:noWrap/>
            <w:vAlign w:val="bottom"/>
          </w:tcPr>
          <w:p w14:paraId="0C943A30" w14:textId="77777777" w:rsidR="001103C1" w:rsidRPr="002345C6" w:rsidRDefault="001103C1" w:rsidP="00EA34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05C76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 xml:space="preserve">A. Males </w:t>
            </w:r>
            <w:r w:rsidRPr="00705C76">
              <w:rPr>
                <w:rFonts w:ascii="Calibri" w:eastAsia="Times New Roman" w:hAnsi="Calibri" w:cs="Times New Roman"/>
                <w:color w:val="000000"/>
                <w:lang w:eastAsia="en-GB"/>
              </w:rPr>
              <w:t>(k=0.054)</w:t>
            </w:r>
          </w:p>
        </w:tc>
        <w:tc>
          <w:tcPr>
            <w:tcW w:w="3042" w:type="dxa"/>
            <w:gridSpan w:val="3"/>
            <w:shd w:val="clear" w:color="auto" w:fill="auto"/>
            <w:noWrap/>
            <w:vAlign w:val="bottom"/>
          </w:tcPr>
          <w:p w14:paraId="2D88F7F7" w14:textId="77777777" w:rsidR="001103C1" w:rsidRPr="002345C6" w:rsidRDefault="001103C1" w:rsidP="00EA34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05C76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 xml:space="preserve">B. Females </w:t>
            </w:r>
            <w:r w:rsidRPr="00705C76">
              <w:rPr>
                <w:rFonts w:ascii="Calibri" w:eastAsia="Times New Roman" w:hAnsi="Calibri" w:cs="Times New Roman"/>
                <w:color w:val="000000"/>
                <w:lang w:eastAsia="en-GB"/>
              </w:rPr>
              <w:t>(k=0.060)</w:t>
            </w:r>
          </w:p>
        </w:tc>
      </w:tr>
      <w:tr w:rsidR="001103C1" w:rsidRPr="001A4A54" w14:paraId="1341C3E6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0718F713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3CB4115" w14:textId="77777777" w:rsidR="001103C1" w:rsidRPr="00AF6541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78CB0C7" w14:textId="77777777" w:rsidR="001103C1" w:rsidRPr="002345C6" w:rsidRDefault="001103C1" w:rsidP="00EA34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B667638" w14:textId="77777777" w:rsidR="001103C1" w:rsidRPr="002345C6" w:rsidRDefault="001103C1" w:rsidP="00EA34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w</w:t>
            </w:r>
            <w:r w:rsidRPr="002345C6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i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4D21776" w14:textId="77777777" w:rsidR="001103C1" w:rsidRPr="00AF6541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ADAF0E4" w14:textId="77777777" w:rsidR="001103C1" w:rsidRPr="002345C6" w:rsidRDefault="001103C1" w:rsidP="00EA34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Δ</w:t>
            </w: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QICC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C5851A9" w14:textId="77777777" w:rsidR="001103C1" w:rsidRPr="002345C6" w:rsidRDefault="001103C1" w:rsidP="00EA34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45C6">
              <w:rPr>
                <w:rFonts w:ascii="Calibri" w:eastAsia="Times New Roman" w:hAnsi="Calibri" w:cs="Times New Roman"/>
                <w:color w:val="000000"/>
                <w:lang w:eastAsia="en-GB"/>
              </w:rPr>
              <w:t>w</w:t>
            </w:r>
            <w:r w:rsidRPr="002345C6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i</w:t>
            </w:r>
          </w:p>
        </w:tc>
      </w:tr>
      <w:tr w:rsidR="00EA342D" w:rsidRPr="001A4A54" w14:paraId="7C1E28AC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5D04F9A3" w14:textId="5BE251CD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Intercept only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E9CD1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175.606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E6CB96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98.460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C116F0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3DDF5E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205.877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52F70E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124.385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80AA9B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34F416CA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2C0B421A" w14:textId="0C37C938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receptor models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6F39D69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AEAA74E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7210CDD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9F75698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0C1FD08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14E077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EA342D" w:rsidRPr="001A4A54" w14:paraId="60E1E3EB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131B09E5" w14:textId="4F8BABD1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F5746C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172.159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41DBD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95.013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39B816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FC00C0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205.651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59A70E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124.159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0EA8AF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75AA73EB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54F1A56E" w14:textId="3051E96F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5645ED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109.321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697AEA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32.175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1343BD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21A56B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124.775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77CA48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43.283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3BFF1C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5CCF473B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272DF369" w14:textId="165DB03C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8DFD27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168.401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D9B135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91.255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141320B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D29902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201.788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E8B54C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120.296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240036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716C2D74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16EC80D9" w14:textId="345930A1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A17B33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177.351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A43092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100.205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8C3755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793F5B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207.699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F805B1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126.207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A33D48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61BFD8D0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5E18BE1D" w14:textId="35A81ADF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6424BD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139.157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864EAE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62.011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2953BF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22A89F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172.809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4FA84C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91.317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9C550F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416FCE40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17ED8F89" w14:textId="27B35DFE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2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receptor models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FA84ACC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64A2749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5D1F7AF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317B817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FFDF0B8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C089CB0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EA342D" w:rsidRPr="001A4A54" w14:paraId="60ED950A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79483D92" w14:textId="12AC5AC7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36EFF7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110.217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44AD0E5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33.071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53CAD2B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3CC2B8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120.858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AADC86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39.366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7ED2D3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7B3D68F2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157B81AB" w14:textId="52A8E561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E2A393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169.355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4E1C06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92.209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39E3B6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85ABDE8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203.726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C344A0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122.234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095CE4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23ED4D39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7DF00F1C" w14:textId="2B01DDA3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D80A778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110.127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BA5A20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32.981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C44BA2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3A585E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130.974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00F3A7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49.482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34407D5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1EED8FBB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61B84B30" w14:textId="46D2CEA9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629553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109.101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AB7049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31.955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A37ADA8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50DE49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127.379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07578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45.887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1B6051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51B36E84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1AAFCD01" w14:textId="01233699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558718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102.994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D095EC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25.848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B84E9DB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50C44E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107.990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2BD5E8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26.498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5DFB1C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24F3971A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6BA38E46" w14:textId="68C949DA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C9608D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107.342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DE123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30.196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C6DE0C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E545A5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116.218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51A18E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34.726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53A9F0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4E064497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2FF885D5" w14:textId="76F7585F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C32F77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108.733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A4DA90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31.587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05ABFAD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77F7A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126.398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963ED0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44.906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987E91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45D523BE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61822CE5" w14:textId="1314A8BA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A01377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143.890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BB8B34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66.744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7C1B035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C91DB2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169.166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291A21D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87.674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80513C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0E23BBE4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1CC9176D" w14:textId="60C2DBA4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9947D8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135.508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0A1529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58.362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7EAC99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5458CE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167.159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83BBC2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85.667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6AD370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6BB1F454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0BEBD8D9" w14:textId="5CF7E630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1EAA71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108.859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219084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31.713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55F6D6D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8F5BC1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127.533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63CF7B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46.041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BF75CD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5594F27F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24F73241" w14:textId="2E63EACD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receptor models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A4FA548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C848171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668E11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364D6A0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E8A97A8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5E8F894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EA342D" w:rsidRPr="001A4A54" w14:paraId="0AED0A9E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4E27DCD6" w14:textId="3D4256F5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A4FCA64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89.770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214579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12.624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170051B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180B5D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92.512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1CC316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11.020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18FF66B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</w:tr>
      <w:tr w:rsidR="00EA342D" w:rsidRPr="001A4A54" w14:paraId="31D7001C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42BCF52A" w14:textId="7266064F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616203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91.928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9DEB8F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14.782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069E305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9371F3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102.641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2B475B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21.149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013C77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258DAC31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202C05A5" w14:textId="6A9257D9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3E14BC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87.550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524098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10.404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28E2E6C" w14:textId="77777777" w:rsidR="00EA342D" w:rsidRPr="00CE4F6A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CE4F6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0.004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397CFC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95.161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20B10B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13.669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D8DD768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</w:tr>
      <w:tr w:rsidR="00EA342D" w:rsidRPr="001A4A54" w14:paraId="0DDE3FDA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47138D7F" w14:textId="0DE49C8E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42815BB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99.410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0D6838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22.264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08158D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D39244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117.906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43206F8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36.414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E423B0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010C17AF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2244414C" w14:textId="07F226C4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F89D5C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93.540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5DC077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16.394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51752F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AD5EB4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107.493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BAFC2D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26.001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0D3310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13199243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47F55503" w14:textId="4C5DE7D9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9CB360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110.816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3E452A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33.670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942CB2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278309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129.829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7EC1A9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48.337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7C6077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1B4BC19C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570CDDFE" w14:textId="543AE0B6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3AD485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94.430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9BC2C9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17.284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30826B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AC18C8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94.173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E39C9C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12.681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9FF898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</w:tr>
      <w:tr w:rsidR="00EA342D" w:rsidRPr="001A4A54" w14:paraId="6094A50F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444F2EAD" w14:textId="0A2B3934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CBE74B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87.069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1918B5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9.923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79A8AA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  <w:t>0.005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EC5F58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91.658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B69BD45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10.166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8EEFDD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  <w:t>0.004</w:t>
            </w:r>
          </w:p>
        </w:tc>
      </w:tr>
      <w:tr w:rsidR="00EA342D" w:rsidRPr="001A4A54" w14:paraId="5CC98240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418D1DFF" w14:textId="192550D5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DC4888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88.533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7B70C38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11.387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45CA46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1ABD2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97.198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9D78FE8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15.706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DB89218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6F35A7FD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3996C1DE" w14:textId="5485FAF8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7983BB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95.082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6379BB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17.936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E5CC8B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88BFDA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110.735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D8EB0D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29.243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6239C7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68701CD7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787A884C" w14:textId="5F16F595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4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photo</w:t>
            </w:r>
            <w:r w:rsidRPr="00C25E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receptor models 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FCBC153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6C44E6B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011A5E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95D442B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A0CEC0E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CC8A508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EA342D" w:rsidRPr="001A4A54" w14:paraId="07B16192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300F448A" w14:textId="0E6A37A7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4C53334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91.279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C4A404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14.133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790132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D3C47B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94.477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C9905C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12.985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580C27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</w:tr>
      <w:tr w:rsidR="00EA342D" w:rsidRPr="001A4A54" w14:paraId="033D4B0D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3AF8C7B3" w14:textId="48ECE312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511F79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88.962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5351D6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11.816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07768C5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FFB01D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93.457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B83733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11.965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CE90A4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</w:tr>
      <w:tr w:rsidR="00EA342D" w:rsidRPr="001A4A54" w14:paraId="6B92A35C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6174D6BC" w14:textId="46CBF128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A5EE02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87.960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CA6B0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10.814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4788EC2" w14:textId="77777777" w:rsidR="00EA342D" w:rsidRPr="00CE4F6A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CE4F6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0.003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009908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92.279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9FB5688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10.787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A3342B4" w14:textId="77777777" w:rsidR="00EA342D" w:rsidRPr="00CE4F6A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CE4F6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0.003</w:t>
            </w:r>
          </w:p>
        </w:tc>
      </w:tr>
      <w:tr w:rsidR="00EA342D" w:rsidRPr="001A4A54" w14:paraId="17444BE9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7392025D" w14:textId="51D5CE6D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371A0D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95.293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934706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18.147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BCA36B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7A266B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108.401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C4A8E8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26.909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349F4E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05BCD642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3220D9E6" w14:textId="7ABD0615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154257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89.056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42F43EB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11.910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44D4C7D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47C2124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92.192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91031BA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10.700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D5089A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0.003</w:t>
            </w:r>
          </w:p>
        </w:tc>
      </w:tr>
      <w:tr w:rsidR="00EA342D" w:rsidRPr="001A4A54" w14:paraId="1DB8F698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3874639D" w14:textId="2022D92B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5 photoreceptor model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41E5C5E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BCA7649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128BD31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2EEBF38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C2A8696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679E7A8" w14:textId="77777777" w:rsidR="00EA342D" w:rsidRPr="001A4A54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EA342D" w:rsidRPr="001A4A54" w14:paraId="4544B35E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5BD8E189" w14:textId="2C2BF8A5" w:rsidR="00EA342D" w:rsidRPr="00C25E97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R8p</w:t>
            </w:r>
            <w:r w:rsidRPr="00C25E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A512714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88.890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654E9BC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11.744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2977F0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8F01B9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88.859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E5E20C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7.367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C1B7AD8" w14:textId="77777777" w:rsidR="00EA342D" w:rsidRPr="00CE4F6A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CE4F6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0.015</w:t>
            </w:r>
          </w:p>
        </w:tc>
      </w:tr>
      <w:tr w:rsidR="001103C1" w:rsidRPr="001A4A54" w14:paraId="02A02477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77A20393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Categorical colour models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D7003DC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D50C04C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DEE1859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228E82C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65FB1A8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02F536D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103C1" w:rsidRPr="001A4A54" w14:paraId="535721FD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54A38E9E" w14:textId="262D6773" w:rsidR="001103C1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="001103C1"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="001103C1"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1A335BE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161.366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D518B8D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84.220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C634551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766E487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174.254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15A0069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92.762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4CE8F2B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1103C1" w:rsidRPr="001A4A54" w14:paraId="4BBD8176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50BFB7AF" w14:textId="09C26216" w:rsidR="001103C1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="001103C1"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="001103C1" w:rsidRPr="00E740ED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1103C1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5F68711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140.325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DA896DB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63.179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7B016D2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9681FCE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153.768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A98C712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72.276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21A084E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1103C1" w:rsidRPr="001A4A54" w14:paraId="7731A97B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401C5FA3" w14:textId="17F58276" w:rsidR="001103C1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C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="001103C1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y&amp;p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B8DCCE7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160.797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9FA87D8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83.651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B3A3FB7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4AB0594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176.837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001DE26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95.345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2B43A6A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1103C1" w:rsidRPr="001A4A54" w14:paraId="22977D1E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473FBDA2" w14:textId="0F8E99E7" w:rsidR="001103C1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  <w:r w:rsidR="001103C1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y&amp;p</w:t>
            </w:r>
            <w:r w:rsidR="001103C1"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="001103C1" w:rsidRPr="00692FD3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35AC3B2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141.732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C126751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64.586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9127EBE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59523A8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158.480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5859556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76.988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0BECBA6" w14:textId="77777777" w:rsidR="001103C1" w:rsidRPr="001A4A54" w:rsidRDefault="001103C1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1103C1" w:rsidRPr="001A4A54" w14:paraId="219DBFFB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28A7AB43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Colour system models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361E821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E131C12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E28AF76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9E0224C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690B50D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87E555D" w14:textId="77777777" w:rsidR="001103C1" w:rsidRPr="001A4A54" w:rsidRDefault="001103C1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8521B3" w:rsidRPr="001A4A54" w14:paraId="6B3BA72B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3BDAC8F1" w14:textId="4D58D986" w:rsidR="008521B3" w:rsidRPr="00AF6541" w:rsidRDefault="008521B3" w:rsidP="008521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]  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35B8756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122.441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963DA83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45.295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6C2BF7E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838E776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129.188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A149DE4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47.696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3FA0FC4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8521B3" w:rsidRPr="001A4A54" w14:paraId="04997A6C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6A891C12" w14:textId="1634FC29" w:rsidR="008521B3" w:rsidRPr="00AF6541" w:rsidRDefault="008521B3" w:rsidP="008521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]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906DDB2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88.286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773B282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11.140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C93EB95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1C1A279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95.529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C82D2CD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14.037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DDC9F5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</w:tr>
      <w:tr w:rsidR="008521B3" w:rsidRPr="001A4A54" w14:paraId="5457B743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0EFA407A" w14:textId="665D253D" w:rsidR="008521B3" w:rsidRPr="00AF6541" w:rsidRDefault="008521B3" w:rsidP="008521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188477C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101.596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42B3E9B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24.450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A0DA2FE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832A638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108.610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A1F71CE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27.118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35DE645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8521B3" w:rsidRPr="001A4A54" w14:paraId="473E5528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441E6925" w14:textId="33400CB8" w:rsidR="008521B3" w:rsidRPr="00AF6541" w:rsidRDefault="008521B3" w:rsidP="008521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[E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)], [E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/(E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+E</w:t>
            </w:r>
            <w:r w:rsidRPr="009C1B5A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)]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R1-6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DB4882E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79.927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1D94172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2.781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6B0B278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  <w:t>0.161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3BB6968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84.768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7C77D05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3.276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B13F22B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  <w:t>0.113</w:t>
            </w:r>
          </w:p>
        </w:tc>
      </w:tr>
      <w:tr w:rsidR="008521B3" w:rsidRPr="001A4A54" w14:paraId="70F0C1B4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3D55AAFC" w14:textId="5F28907A" w:rsidR="008521B3" w:rsidRPr="00AF6541" w:rsidRDefault="008521B3" w:rsidP="008521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, 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A8D5C04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110.865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C0FD075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33.719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5BCEB86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BA45768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119.928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ABA27EA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38.436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29A3505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8521B3" w:rsidRPr="001A4A54" w14:paraId="73758CD2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5F43FBC5" w14:textId="2442808C" w:rsidR="008521B3" w:rsidRPr="00AF6541" w:rsidRDefault="008521B3" w:rsidP="008521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y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, Opp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p</w:t>
            </w:r>
            <w:r w:rsidRPr="00AF654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R1-6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E1E9C31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77.146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075AE5A9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5294069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  <w:t>0.646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A98E8F0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82.987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72D3580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1.495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C6A4212" w14:textId="77777777" w:rsidR="008521B3" w:rsidRPr="001A4A54" w:rsidRDefault="008521B3" w:rsidP="008521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  <w:t>0.275</w:t>
            </w:r>
          </w:p>
        </w:tc>
      </w:tr>
      <w:tr w:rsidR="00EA342D" w:rsidRPr="001A4A54" w14:paraId="05D8401A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7FA83DC9" w14:textId="3411339D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7y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8p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y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4573EA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102.922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20A950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25.776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7B03449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76A5C85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105.701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566C3F3E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24.209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1C32111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</w:tr>
      <w:tr w:rsidR="00EA342D" w:rsidRPr="001A4A54" w14:paraId="3DF61C27" w14:textId="77777777" w:rsidTr="00EA342D">
        <w:trPr>
          <w:trHeight w:val="300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14:paraId="541FDE64" w14:textId="3B34ABD6" w:rsidR="00EA342D" w:rsidRPr="00AF6541" w:rsidRDefault="00EA342D" w:rsidP="00EA34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R7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7y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8p</w:t>
            </w:r>
            <w:r w:rsidRPr="00AF6541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Rel</w:t>
            </w:r>
            <w:r w:rsidRPr="00162BD8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R8</w:t>
            </w:r>
            <w:r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y</w:t>
            </w:r>
            <w:r w:rsidRPr="007775E8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, </w:t>
            </w:r>
            <w:r w:rsidR="008521B3"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s-ES" w:eastAsia="en-GB"/>
              </w:rPr>
              <w:t>E</w:t>
            </w:r>
            <w:r w:rsidRPr="007649E2">
              <w:rPr>
                <w:rFonts w:ascii="Calibri" w:eastAsia="Times New Roman" w:hAnsi="Calibri" w:cs="Times New Roman"/>
                <w:color w:val="000000"/>
                <w:vertAlign w:val="subscript"/>
                <w:lang w:val="es-ES" w:eastAsia="en-GB"/>
              </w:rPr>
              <w:t>R1-6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65A37DF7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79.821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4C244C30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2.675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78BB703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  <w:t>0.170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35F8C54F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81.492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23B62BA9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14:paraId="1EB5C292" w14:textId="77777777" w:rsidR="00EA342D" w:rsidRPr="001A4A54" w:rsidRDefault="00EA342D" w:rsidP="00EA34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</w:pPr>
            <w:r w:rsidRPr="001A4A54">
              <w:rPr>
                <w:rFonts w:ascii="Calibri" w:eastAsia="Times New Roman" w:hAnsi="Calibri" w:cs="Times New Roman"/>
                <w:b/>
                <w:color w:val="000000"/>
                <w:u w:val="single"/>
                <w:lang w:eastAsia="en-GB"/>
              </w:rPr>
              <w:t>0.581</w:t>
            </w:r>
          </w:p>
        </w:tc>
      </w:tr>
    </w:tbl>
    <w:p w14:paraId="25A2D817" w14:textId="13F9FBCF" w:rsidR="001103C1" w:rsidRDefault="001103C1" w:rsidP="001103C1">
      <w:r w:rsidRPr="002F717F">
        <w:rPr>
          <w:i/>
        </w:rPr>
        <w:t xml:space="preserve">Spectral sensitivity functions </w:t>
      </w:r>
      <w:r w:rsidR="003D64A6">
        <w:rPr>
          <w:i/>
        </w:rPr>
        <w:t xml:space="preserve">shown in </w:t>
      </w:r>
      <w:r>
        <w:rPr>
          <w:i/>
        </w:rPr>
        <w:t>Fig</w:t>
      </w:r>
      <w:r w:rsidRPr="002F717F">
        <w:rPr>
          <w:i/>
        </w:rPr>
        <w:t xml:space="preserve"> 1</w:t>
      </w:r>
      <w:r>
        <w:rPr>
          <w:i/>
        </w:rPr>
        <w:t>A and 1B</w:t>
      </w:r>
      <w:r w:rsidRPr="002F717F">
        <w:rPr>
          <w:i/>
        </w:rPr>
        <w:t xml:space="preserve">; </w:t>
      </w:r>
      <w:r w:rsidR="003D64A6">
        <w:rPr>
          <w:i/>
        </w:rPr>
        <w:t>Conventions as in Table A</w:t>
      </w:r>
      <w:r w:rsidRPr="002F717F">
        <w:rPr>
          <w:rFonts w:ascii="Calibri" w:eastAsia="Times New Roman" w:hAnsi="Calibri" w:cs="Times New Roman"/>
          <w:i/>
          <w:color w:val="000000"/>
          <w:lang w:eastAsia="en-GB"/>
        </w:rPr>
        <w:t>.</w:t>
      </w:r>
    </w:p>
    <w:p w14:paraId="539BA6C7" w14:textId="77777777" w:rsidR="00E43A89" w:rsidRDefault="00E43A89"/>
    <w:p w14:paraId="4BFD2C71" w14:textId="77777777" w:rsidR="00C70032" w:rsidRDefault="00C70032">
      <w:pPr>
        <w:rPr>
          <w:b/>
        </w:rPr>
      </w:pPr>
      <w:r>
        <w:rPr>
          <w:b/>
        </w:rPr>
        <w:br w:type="page"/>
      </w:r>
    </w:p>
    <w:p w14:paraId="3725C44D" w14:textId="1DF7F19F" w:rsidR="00E43A89" w:rsidRPr="00B75C04" w:rsidRDefault="00B75C04" w:rsidP="00B75C04">
      <w:pPr>
        <w:spacing w:line="480" w:lineRule="auto"/>
        <w:rPr>
          <w:b/>
        </w:rPr>
      </w:pPr>
      <w:r w:rsidRPr="00B75C04">
        <w:rPr>
          <w:b/>
        </w:rPr>
        <w:lastRenderedPageBreak/>
        <w:t>References</w:t>
      </w:r>
    </w:p>
    <w:p w14:paraId="05BF68A9" w14:textId="77777777" w:rsidR="00C70032" w:rsidRPr="00C70032" w:rsidRDefault="00E43A89" w:rsidP="00C70032">
      <w:pPr>
        <w:spacing w:after="0" w:line="480" w:lineRule="auto"/>
        <w:ind w:left="720" w:hanging="720"/>
        <w:rPr>
          <w:rFonts w:ascii="Calibri" w:hAnsi="Calibri"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C70032" w:rsidRPr="00C70032">
        <w:rPr>
          <w:rFonts w:ascii="Calibri" w:hAnsi="Calibri"/>
        </w:rPr>
        <w:t xml:space="preserve">1. Lindh JM, Goswami P, Blackburn R, Arnold SEJ, Vale GA, et al. (2012) Optimizing the colour and fabric of targets for the control of the tsetse fly </w:t>
      </w:r>
      <w:r w:rsidR="00C70032" w:rsidRPr="00C70032">
        <w:rPr>
          <w:rFonts w:ascii="Calibri" w:hAnsi="Calibri"/>
          <w:i/>
        </w:rPr>
        <w:t>Glossina fuscipes fuscipes</w:t>
      </w:r>
      <w:r w:rsidR="00C70032" w:rsidRPr="00C70032">
        <w:rPr>
          <w:rFonts w:ascii="Calibri" w:hAnsi="Calibri"/>
        </w:rPr>
        <w:t>. PLoS Negl Trop Dis 6: e1661.</w:t>
      </w:r>
    </w:p>
    <w:p w14:paraId="2AADFC60" w14:textId="77777777" w:rsidR="00C70032" w:rsidRPr="00C70032" w:rsidRDefault="00C70032" w:rsidP="00C70032">
      <w:pPr>
        <w:spacing w:after="0" w:line="480" w:lineRule="auto"/>
        <w:ind w:left="720" w:hanging="720"/>
        <w:rPr>
          <w:rFonts w:ascii="Calibri" w:hAnsi="Calibri"/>
        </w:rPr>
      </w:pPr>
      <w:r w:rsidRPr="00C70032">
        <w:rPr>
          <w:rFonts w:ascii="Calibri" w:hAnsi="Calibri"/>
        </w:rPr>
        <w:t>2. Pan W (2001) Akaike's information criterion in generalized estimating equations. Biometrics 57: 120-125.</w:t>
      </w:r>
    </w:p>
    <w:p w14:paraId="737A4140" w14:textId="77777777" w:rsidR="00C70032" w:rsidRPr="00C70032" w:rsidRDefault="00C70032" w:rsidP="00C70032">
      <w:pPr>
        <w:spacing w:after="0" w:line="480" w:lineRule="auto"/>
        <w:ind w:left="720" w:hanging="720"/>
        <w:rPr>
          <w:rFonts w:ascii="Calibri" w:hAnsi="Calibri"/>
        </w:rPr>
      </w:pPr>
      <w:r w:rsidRPr="00C70032">
        <w:rPr>
          <w:rFonts w:ascii="Calibri" w:hAnsi="Calibri"/>
        </w:rPr>
        <w:t>3. Garson GD (2012) Generalized linear models and generalized estimating equations. Asheboro, N.C.: Statistical Associates Publishing.</w:t>
      </w:r>
    </w:p>
    <w:p w14:paraId="7AA99F3A" w14:textId="77777777" w:rsidR="00C70032" w:rsidRPr="00C70032" w:rsidRDefault="00C70032" w:rsidP="00C70032">
      <w:pPr>
        <w:spacing w:after="0" w:line="480" w:lineRule="auto"/>
        <w:ind w:left="720" w:hanging="720"/>
        <w:rPr>
          <w:rFonts w:ascii="Calibri" w:hAnsi="Calibri"/>
        </w:rPr>
      </w:pPr>
      <w:r w:rsidRPr="00C70032">
        <w:rPr>
          <w:rFonts w:ascii="Calibri" w:hAnsi="Calibri"/>
        </w:rPr>
        <w:t>4. Hardin JW, Hilbe JM (2012) Generalized Estimating Equations, second edition. Boca Raton: CRC Press.</w:t>
      </w:r>
    </w:p>
    <w:p w14:paraId="54CF732D" w14:textId="77777777" w:rsidR="00C70032" w:rsidRPr="00C70032" w:rsidRDefault="00C70032" w:rsidP="00C70032">
      <w:pPr>
        <w:spacing w:after="0" w:line="480" w:lineRule="auto"/>
        <w:ind w:left="720" w:hanging="720"/>
        <w:rPr>
          <w:rFonts w:ascii="Calibri" w:hAnsi="Calibri"/>
        </w:rPr>
      </w:pPr>
      <w:r w:rsidRPr="00C70032">
        <w:rPr>
          <w:rFonts w:ascii="Calibri" w:hAnsi="Calibri"/>
        </w:rPr>
        <w:t>5. Burnham KP, Anderson DR (2002) Model Selection and Multimodel Inference: A Practical Information-Theoretic Approach, second edition. New York: Springer-Verlag.</w:t>
      </w:r>
    </w:p>
    <w:p w14:paraId="0835B60E" w14:textId="77777777" w:rsidR="00C70032" w:rsidRPr="00C70032" w:rsidRDefault="00C70032" w:rsidP="00C70032">
      <w:pPr>
        <w:spacing w:after="0" w:line="480" w:lineRule="auto"/>
        <w:ind w:left="720" w:hanging="720"/>
        <w:rPr>
          <w:rFonts w:ascii="Calibri" w:hAnsi="Calibri"/>
        </w:rPr>
      </w:pPr>
      <w:r w:rsidRPr="00C70032">
        <w:rPr>
          <w:rFonts w:ascii="Calibri" w:hAnsi="Calibri"/>
        </w:rPr>
        <w:t>6. Troje N (1993) Spectral categories in the learning behaviour of blowflies. Z Naturforsch 48: 96-104.</w:t>
      </w:r>
    </w:p>
    <w:p w14:paraId="378A1D85" w14:textId="66849ADB" w:rsidR="00C70032" w:rsidRDefault="00C70032" w:rsidP="00C70032">
      <w:pPr>
        <w:spacing w:after="0" w:line="480" w:lineRule="auto"/>
        <w:ind w:left="720" w:hanging="720"/>
        <w:rPr>
          <w:rFonts w:ascii="Calibri" w:hAnsi="Calibri"/>
        </w:rPr>
      </w:pPr>
    </w:p>
    <w:p w14:paraId="6521E406" w14:textId="307E5254" w:rsidR="00A476BA" w:rsidRDefault="00E43A89" w:rsidP="00C70032">
      <w:pPr>
        <w:spacing w:line="480" w:lineRule="auto"/>
      </w:pPr>
      <w:r>
        <w:fldChar w:fldCharType="end"/>
      </w:r>
    </w:p>
    <w:sectPr w:rsidR="00A476BA" w:rsidSect="00E043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ibraries" w:val="&lt;ENLibraries&gt;&lt;Libraries&gt;&lt;item&gt;Roger12oct06-Converted.enl&lt;/item&gt;&lt;/Libraries&gt;&lt;/ENLibraries&gt;"/>
  </w:docVars>
  <w:rsids>
    <w:rsidRoot w:val="0099667A"/>
    <w:rsid w:val="00084552"/>
    <w:rsid w:val="000E01D3"/>
    <w:rsid w:val="001103C1"/>
    <w:rsid w:val="0021236D"/>
    <w:rsid w:val="00251CF9"/>
    <w:rsid w:val="002764E4"/>
    <w:rsid w:val="003C635A"/>
    <w:rsid w:val="003D64A6"/>
    <w:rsid w:val="00424A4E"/>
    <w:rsid w:val="0048183B"/>
    <w:rsid w:val="004B0AA5"/>
    <w:rsid w:val="004D2805"/>
    <w:rsid w:val="005501C1"/>
    <w:rsid w:val="005607C1"/>
    <w:rsid w:val="005F16CA"/>
    <w:rsid w:val="00613A97"/>
    <w:rsid w:val="00650B9C"/>
    <w:rsid w:val="00654231"/>
    <w:rsid w:val="00692FD3"/>
    <w:rsid w:val="006C1FDA"/>
    <w:rsid w:val="00784DB5"/>
    <w:rsid w:val="007926F8"/>
    <w:rsid w:val="007D0A66"/>
    <w:rsid w:val="008521B3"/>
    <w:rsid w:val="009516AA"/>
    <w:rsid w:val="0099667A"/>
    <w:rsid w:val="009D74AC"/>
    <w:rsid w:val="00A10BCC"/>
    <w:rsid w:val="00A476BA"/>
    <w:rsid w:val="00AA68F7"/>
    <w:rsid w:val="00B14540"/>
    <w:rsid w:val="00B75C04"/>
    <w:rsid w:val="00BB3507"/>
    <w:rsid w:val="00C27F59"/>
    <w:rsid w:val="00C70032"/>
    <w:rsid w:val="00C75274"/>
    <w:rsid w:val="00D617C3"/>
    <w:rsid w:val="00DB1057"/>
    <w:rsid w:val="00DD09E1"/>
    <w:rsid w:val="00E04384"/>
    <w:rsid w:val="00E43A89"/>
    <w:rsid w:val="00EA342D"/>
    <w:rsid w:val="00EE78CE"/>
    <w:rsid w:val="00F1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3E8C5"/>
  <w15:chartTrackingRefBased/>
  <w15:docId w15:val="{70DCFC62-9EAF-409E-82C1-926290EC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4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8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7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8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8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8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8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78CE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EE78CE"/>
  </w:style>
  <w:style w:type="paragraph" w:styleId="Header">
    <w:name w:val="header"/>
    <w:basedOn w:val="Normal"/>
    <w:link w:val="HeaderChar"/>
    <w:uiPriority w:val="99"/>
    <w:unhideWhenUsed/>
    <w:rsid w:val="00EE78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8CE"/>
  </w:style>
  <w:style w:type="paragraph" w:styleId="Footer">
    <w:name w:val="footer"/>
    <w:basedOn w:val="Normal"/>
    <w:link w:val="FooterChar"/>
    <w:uiPriority w:val="99"/>
    <w:unhideWhenUsed/>
    <w:rsid w:val="00EE78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12</Pages>
  <Words>3670</Words>
  <Characters>20923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Santer [rds5]</dc:creator>
  <cp:keywords/>
  <dc:description/>
  <cp:lastModifiedBy>Roger Santer [rds5]</cp:lastModifiedBy>
  <cp:revision>23</cp:revision>
  <dcterms:created xsi:type="dcterms:W3CDTF">2017-02-02T11:40:00Z</dcterms:created>
  <dcterms:modified xsi:type="dcterms:W3CDTF">2017-03-13T15:45:00Z</dcterms:modified>
</cp:coreProperties>
</file>