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97" w:rsidRPr="00BD0736" w:rsidRDefault="00D74C97" w:rsidP="00D74C97">
      <w:pPr>
        <w:keepNext/>
        <w:widowControl w:val="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</w:t>
      </w:r>
      <w:r w:rsidR="005310FB">
        <w:rPr>
          <w:rFonts w:ascii="Calibri" w:hAnsi="Calibri"/>
          <w:b/>
          <w:sz w:val="22"/>
          <w:szCs w:val="22"/>
        </w:rPr>
        <w:t>1 Text</w:t>
      </w:r>
      <w:r w:rsidRPr="00BD0736">
        <w:rPr>
          <w:rFonts w:ascii="Calibri" w:hAnsi="Calibri"/>
          <w:sz w:val="22"/>
          <w:szCs w:val="22"/>
        </w:rPr>
        <w:t xml:space="preserve">: The assumption that the seasonality of </w:t>
      </w:r>
      <w:r w:rsidRPr="00BD0736">
        <w:rPr>
          <w:rFonts w:ascii="Calibri" w:hAnsi="Calibri"/>
          <w:i/>
          <w:sz w:val="22"/>
          <w:szCs w:val="22"/>
        </w:rPr>
        <w:t>P falciparum</w:t>
      </w:r>
      <w:r w:rsidRPr="00BD0736">
        <w:rPr>
          <w:rFonts w:ascii="Calibri" w:hAnsi="Calibri"/>
          <w:sz w:val="22"/>
          <w:szCs w:val="22"/>
        </w:rPr>
        <w:t xml:space="preserve"> infections can represent the seasonality of </w:t>
      </w:r>
      <w:r w:rsidRPr="00BD0736">
        <w:rPr>
          <w:rFonts w:ascii="Calibri" w:hAnsi="Calibri"/>
          <w:i/>
          <w:sz w:val="22"/>
          <w:szCs w:val="22"/>
        </w:rPr>
        <w:t xml:space="preserve">P </w:t>
      </w:r>
      <w:proofErr w:type="spellStart"/>
      <w:r w:rsidRPr="00BD0736">
        <w:rPr>
          <w:rFonts w:ascii="Calibri" w:hAnsi="Calibri"/>
          <w:i/>
          <w:sz w:val="22"/>
          <w:szCs w:val="22"/>
        </w:rPr>
        <w:t>vivax</w:t>
      </w:r>
      <w:proofErr w:type="spellEnd"/>
      <w:r w:rsidRPr="00BD0736">
        <w:rPr>
          <w:rFonts w:ascii="Calibri" w:hAnsi="Calibri"/>
          <w:sz w:val="22"/>
          <w:szCs w:val="22"/>
        </w:rPr>
        <w:t xml:space="preserve"> primary infections</w:t>
      </w:r>
    </w:p>
    <w:p w:rsidR="00D74C97" w:rsidRDefault="00D74C97" w:rsidP="00D74C97">
      <w:pPr>
        <w:keepNext/>
        <w:widowControl w:val="0"/>
        <w:rPr>
          <w:rFonts w:ascii="Calibri" w:hAnsi="Calibri"/>
          <w:sz w:val="22"/>
          <w:szCs w:val="22"/>
        </w:rPr>
      </w:pPr>
    </w:p>
    <w:p w:rsidR="00D74C97" w:rsidRPr="00BD0736" w:rsidRDefault="00D74C97" w:rsidP="00D74C97">
      <w:pPr>
        <w:keepNext/>
        <w:widowControl w:val="0"/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We investigated the assumption that the seasonality of </w:t>
      </w:r>
      <w:r w:rsidRPr="00321AAE">
        <w:rPr>
          <w:rFonts w:ascii="Calibri" w:hAnsi="Calibri"/>
          <w:i/>
          <w:sz w:val="22"/>
          <w:szCs w:val="22"/>
        </w:rPr>
        <w:t>P falciparum</w:t>
      </w:r>
      <w:r>
        <w:rPr>
          <w:rFonts w:ascii="Calibri" w:hAnsi="Calibri"/>
          <w:sz w:val="22"/>
          <w:szCs w:val="22"/>
        </w:rPr>
        <w:t xml:space="preserve"> and </w:t>
      </w:r>
      <w:r w:rsidRPr="00321AAE">
        <w:rPr>
          <w:rFonts w:ascii="Calibri" w:hAnsi="Calibri"/>
          <w:i/>
          <w:sz w:val="22"/>
          <w:szCs w:val="22"/>
        </w:rPr>
        <w:t xml:space="preserve">P </w:t>
      </w:r>
      <w:proofErr w:type="spellStart"/>
      <w:r w:rsidRPr="00321AAE">
        <w:rPr>
          <w:rFonts w:ascii="Calibri" w:hAnsi="Calibri"/>
          <w:i/>
          <w:sz w:val="22"/>
          <w:szCs w:val="22"/>
        </w:rPr>
        <w:t>vivax</w:t>
      </w:r>
      <w:proofErr w:type="spellEnd"/>
      <w:r>
        <w:rPr>
          <w:rFonts w:ascii="Calibri" w:hAnsi="Calibri"/>
          <w:sz w:val="22"/>
          <w:szCs w:val="22"/>
        </w:rPr>
        <w:t xml:space="preserve"> primary infections are the similar using data from entomology surveys in the </w:t>
      </w:r>
      <w:proofErr w:type="spellStart"/>
      <w:r>
        <w:rPr>
          <w:rFonts w:ascii="Calibri" w:hAnsi="Calibri"/>
          <w:sz w:val="22"/>
          <w:szCs w:val="22"/>
        </w:rPr>
        <w:t>Wosera</w:t>
      </w:r>
      <w:proofErr w:type="spellEnd"/>
      <w:r>
        <w:rPr>
          <w:rFonts w:ascii="Calibri" w:hAnsi="Calibri"/>
          <w:sz w:val="22"/>
          <w:szCs w:val="22"/>
        </w:rPr>
        <w:t>, Papua New Guinea. Monthly m</w:t>
      </w:r>
      <w:r w:rsidRPr="00BD0736">
        <w:rPr>
          <w:rFonts w:ascii="Calibri" w:hAnsi="Calibri"/>
          <w:sz w:val="22"/>
          <w:szCs w:val="22"/>
        </w:rPr>
        <w:t xml:space="preserve">osquito collections were carried out </w:t>
      </w:r>
      <w:r>
        <w:rPr>
          <w:rFonts w:ascii="Calibri" w:hAnsi="Calibri"/>
          <w:sz w:val="22"/>
          <w:szCs w:val="22"/>
        </w:rPr>
        <w:t xml:space="preserve">consistently </w:t>
      </w:r>
      <w:r w:rsidRPr="00BD0736">
        <w:rPr>
          <w:rFonts w:ascii="Calibri" w:hAnsi="Calibri"/>
          <w:sz w:val="22"/>
          <w:szCs w:val="22"/>
        </w:rPr>
        <w:t xml:space="preserve">in </w:t>
      </w:r>
      <w:r w:rsidR="00E174AE">
        <w:rPr>
          <w:rFonts w:ascii="Calibri" w:hAnsi="Calibri"/>
          <w:sz w:val="22"/>
          <w:szCs w:val="22"/>
        </w:rPr>
        <w:t>seven</w:t>
      </w:r>
      <w:r w:rsidRPr="00BD0736">
        <w:rPr>
          <w:rFonts w:ascii="Calibri" w:hAnsi="Calibri"/>
          <w:sz w:val="22"/>
          <w:szCs w:val="22"/>
        </w:rPr>
        <w:t xml:space="preserve"> villages</w:t>
      </w:r>
      <w:r>
        <w:rPr>
          <w:rFonts w:ascii="Calibri" w:hAnsi="Calibri"/>
          <w:sz w:val="22"/>
          <w:szCs w:val="22"/>
        </w:rPr>
        <w:t xml:space="preserve"> </w:t>
      </w:r>
      <w:r w:rsidRPr="00BD0736">
        <w:rPr>
          <w:rFonts w:ascii="Calibri" w:hAnsi="Calibri"/>
          <w:sz w:val="22"/>
          <w:szCs w:val="22"/>
        </w:rPr>
        <w:t xml:space="preserve">between 1990 </w:t>
      </w:r>
      <w:r>
        <w:rPr>
          <w:rFonts w:ascii="Calibri" w:hAnsi="Calibri"/>
          <w:sz w:val="22"/>
          <w:szCs w:val="22"/>
        </w:rPr>
        <w:t>and 1992</w:t>
      </w:r>
      <w:r w:rsidRPr="00BD0736">
        <w:rPr>
          <w:rFonts w:ascii="Calibri" w:hAnsi="Calibri"/>
          <w:sz w:val="22"/>
          <w:szCs w:val="22"/>
        </w:rPr>
        <w:t>. Each village was divided into 5 to 6 sectors. Within each sector, a random inhabitant was selected each month</w:t>
      </w:r>
      <w:r>
        <w:rPr>
          <w:rFonts w:ascii="Calibri" w:hAnsi="Calibri"/>
          <w:sz w:val="22"/>
          <w:szCs w:val="22"/>
        </w:rPr>
        <w:t xml:space="preserve">. </w:t>
      </w:r>
      <w:r w:rsidRPr="00BD0736">
        <w:rPr>
          <w:rFonts w:ascii="Calibri" w:hAnsi="Calibri"/>
          <w:sz w:val="22"/>
          <w:szCs w:val="22"/>
        </w:rPr>
        <w:t>Human landing catches were carried out inside and outside the ho</w:t>
      </w:r>
      <w:r>
        <w:rPr>
          <w:rFonts w:ascii="Calibri" w:hAnsi="Calibri"/>
          <w:sz w:val="22"/>
          <w:szCs w:val="22"/>
        </w:rPr>
        <w:t>use between sunset and sunrise</w:t>
      </w:r>
      <w:r w:rsidR="005656D5">
        <w:rPr>
          <w:rFonts w:ascii="Calibri" w:hAnsi="Calibri"/>
          <w:sz w:val="22"/>
          <w:szCs w:val="22"/>
        </w:rPr>
        <w:t xml:space="preserve"> </w:t>
      </w:r>
      <w:r w:rsidR="005656D5">
        <w:rPr>
          <w:rFonts w:ascii="Calibri" w:hAnsi="Calibri"/>
          <w:sz w:val="22"/>
          <w:szCs w:val="22"/>
        </w:rPr>
        <w:fldChar w:fldCharType="begin"/>
      </w:r>
      <w:r w:rsidR="005656D5">
        <w:rPr>
          <w:rFonts w:ascii="Calibri" w:hAnsi="Calibri"/>
          <w:sz w:val="22"/>
          <w:szCs w:val="22"/>
        </w:rPr>
        <w:instrText xml:space="preserve"> ADDIN ZOTERO_ITEM CSL_CITATION {"citationID":"b8oos7odo","properties":{"formattedCitation":"[1]","plainCitation":"[1]"},"citationItems":[{"id":202,"uris":["http://zotero.org/users/local/1CwETzZ5/items/NKZKA9SG"],"uri":["http://zotero.org/users/local/1CwETzZ5/items/NKZKA9SG"],"itemData":{"id":202,"type":"article-journal","title":"Spatial and temporal variation in abundance of Anopheles (Diptera: Culicidae) in a malaria endemic area in Papua New Guinea","container-title":"J Med Entomol","page":"193-205","volume":"34","author":[{"family":"Hii","given":"J"},{"family":"Smith","given":"T"},{"family":"Mai","given":"A"},{"family":"Mellor","given":"S"},{"family":"Lewis","given":"D"},{"family":"Alexander","given":"N"},{"family":"Alpers","given":"M"}],"issued":{"date-parts":[["1997"]]}}}],"schema":"https://github.com/citation-style-language/schema/raw/master/csl-citation.json"} </w:instrText>
      </w:r>
      <w:r w:rsidR="005656D5">
        <w:rPr>
          <w:rFonts w:ascii="Calibri" w:hAnsi="Calibri"/>
          <w:sz w:val="22"/>
          <w:szCs w:val="22"/>
        </w:rPr>
        <w:fldChar w:fldCharType="separate"/>
      </w:r>
      <w:r w:rsidR="005656D5" w:rsidRPr="005656D5">
        <w:rPr>
          <w:rFonts w:ascii="Calibri" w:hAnsi="Calibri"/>
          <w:sz w:val="22"/>
        </w:rPr>
        <w:t>[1]</w:t>
      </w:r>
      <w:r w:rsidR="005656D5">
        <w:rPr>
          <w:rFonts w:ascii="Calibri" w:hAnsi="Calibri"/>
          <w:sz w:val="22"/>
          <w:szCs w:val="22"/>
        </w:rPr>
        <w:fldChar w:fldCharType="end"/>
      </w:r>
      <w:r>
        <w:rPr>
          <w:rFonts w:ascii="Calibri" w:hAnsi="Calibri"/>
          <w:sz w:val="22"/>
          <w:szCs w:val="22"/>
        </w:rPr>
        <w:t xml:space="preserve">. </w:t>
      </w:r>
      <w:r w:rsidRPr="00BD0736">
        <w:rPr>
          <w:rFonts w:ascii="Calibri" w:hAnsi="Calibri"/>
          <w:sz w:val="22"/>
          <w:szCs w:val="22"/>
        </w:rPr>
        <w:t xml:space="preserve">Indoor and outdoor resting catches were also performed but not included in the analysis in order to focus on feeding mosquitoes. </w:t>
      </w:r>
      <w:proofErr w:type="spellStart"/>
      <w:r w:rsidRPr="00BD0736">
        <w:rPr>
          <w:rFonts w:ascii="Calibri" w:hAnsi="Calibri"/>
          <w:sz w:val="22"/>
          <w:szCs w:val="22"/>
        </w:rPr>
        <w:t>Sporozoite</w:t>
      </w:r>
      <w:proofErr w:type="spellEnd"/>
      <w:r w:rsidRPr="00BD073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positivity was determined by an ELISA test for </w:t>
      </w:r>
      <w:proofErr w:type="spellStart"/>
      <w:r>
        <w:rPr>
          <w:rFonts w:ascii="Calibri" w:hAnsi="Calibri"/>
          <w:sz w:val="22"/>
          <w:szCs w:val="22"/>
        </w:rPr>
        <w:t>circumsporozoite</w:t>
      </w:r>
      <w:proofErr w:type="spellEnd"/>
      <w:r>
        <w:rPr>
          <w:rFonts w:ascii="Calibri" w:hAnsi="Calibri"/>
          <w:sz w:val="22"/>
          <w:szCs w:val="22"/>
        </w:rPr>
        <w:t xml:space="preserve"> antigen in the head and thorax </w:t>
      </w:r>
      <w:r>
        <w:rPr>
          <w:rFonts w:ascii="Calibri" w:hAnsi="Calibri"/>
          <w:sz w:val="22"/>
          <w:szCs w:val="22"/>
        </w:rPr>
        <w:fldChar w:fldCharType="begin"/>
      </w:r>
      <w:r w:rsidR="005656D5">
        <w:rPr>
          <w:rFonts w:ascii="Calibri" w:hAnsi="Calibri"/>
          <w:sz w:val="22"/>
          <w:szCs w:val="22"/>
        </w:rPr>
        <w:instrText xml:space="preserve"> ADDIN ZOTERO_ITEM CSL_CITATION {"citationID":"3wz2l2x4","properties":{"formattedCitation":"[2]","plainCitation":"[2]"},"citationItems":[{"id":203,"uris":["http://zotero.org/users/local/1CwETzZ5/items/C652A8JK"],"uri":["http://zotero.org/users/local/1CwETzZ5/items/C652A8JK"],"itemData":{"id":203,"type":"article-journal","title":"Area effects of bednet use in a malaria-endemic area in Papua New Guinea","container-title":"Trans Roy Soc Trop Med Hyg","page":"7-13","volume":"95","author":[{"family":"Hii","given":"J"},{"family":"Smith","given":"T"},{"family":"Vounatsou","given":"P"},{"family":"Alexander","given":"N"},{"family":"Mai","given":"A"},{"family":"Ibam","given":"E"},{"family":"Alpers","given":"M"}],"issued":{"date-parts":[["2001"]]}}}],"schema":"https://github.com/citation-style-language/schema/raw/master/csl-citation.json"} </w:instrText>
      </w:r>
      <w:r>
        <w:rPr>
          <w:rFonts w:ascii="Calibri" w:hAnsi="Calibri"/>
          <w:sz w:val="22"/>
          <w:szCs w:val="22"/>
        </w:rPr>
        <w:fldChar w:fldCharType="separate"/>
      </w:r>
      <w:r w:rsidR="005656D5" w:rsidRPr="005656D5">
        <w:rPr>
          <w:rFonts w:ascii="Calibri" w:hAnsi="Calibri"/>
          <w:sz w:val="22"/>
        </w:rPr>
        <w:t>[2]</w:t>
      </w:r>
      <w:r>
        <w:rPr>
          <w:rFonts w:ascii="Calibri" w:hAnsi="Calibri"/>
          <w:sz w:val="22"/>
          <w:szCs w:val="22"/>
        </w:rPr>
        <w:fldChar w:fldCharType="end"/>
      </w:r>
      <w:r>
        <w:rPr>
          <w:rFonts w:ascii="Calibri" w:hAnsi="Calibri"/>
          <w:sz w:val="22"/>
          <w:szCs w:val="22"/>
        </w:rPr>
        <w:t xml:space="preserve">. </w:t>
      </w:r>
    </w:p>
    <w:p w:rsidR="00D74C97" w:rsidRDefault="00D74C97" w:rsidP="00D74C97">
      <w:pPr>
        <w:keepNext/>
        <w:widowControl w:val="0"/>
        <w:spacing w:line="288" w:lineRule="auto"/>
        <w:jc w:val="both"/>
        <w:rPr>
          <w:rFonts w:ascii="Calibri" w:hAnsi="Calibri"/>
          <w:sz w:val="22"/>
          <w:szCs w:val="22"/>
        </w:rPr>
      </w:pPr>
    </w:p>
    <w:p w:rsidR="00D74C97" w:rsidRDefault="00D74C97" w:rsidP="0066666B">
      <w:pPr>
        <w:tabs>
          <w:tab w:val="right" w:pos="360"/>
          <w:tab w:val="left" w:pos="540"/>
        </w:tabs>
        <w:spacing w:line="288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Of the 47345 mosquitoes tested for </w:t>
      </w:r>
      <w:r w:rsidRPr="00101871">
        <w:rPr>
          <w:rFonts w:ascii="Calibri" w:hAnsi="Calibri"/>
          <w:i/>
          <w:sz w:val="22"/>
          <w:szCs w:val="22"/>
        </w:rPr>
        <w:t xml:space="preserve">P </w:t>
      </w:r>
      <w:proofErr w:type="spellStart"/>
      <w:r w:rsidRPr="00101871">
        <w:rPr>
          <w:rFonts w:ascii="Calibri" w:hAnsi="Calibri"/>
          <w:i/>
          <w:sz w:val="22"/>
          <w:szCs w:val="22"/>
        </w:rPr>
        <w:t>vivax</w:t>
      </w:r>
      <w:proofErr w:type="spellEnd"/>
      <w:r>
        <w:rPr>
          <w:rFonts w:ascii="Calibri" w:hAnsi="Calibri"/>
          <w:i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160 (0.3%) were positive. For </w:t>
      </w:r>
      <w:r w:rsidRPr="002939B8">
        <w:rPr>
          <w:rFonts w:ascii="Calibri" w:hAnsi="Calibri"/>
          <w:i/>
          <w:sz w:val="22"/>
          <w:szCs w:val="22"/>
        </w:rPr>
        <w:t>P falciparum</w:t>
      </w:r>
      <w:r>
        <w:rPr>
          <w:rFonts w:ascii="Calibri" w:hAnsi="Calibri"/>
          <w:sz w:val="22"/>
          <w:szCs w:val="22"/>
        </w:rPr>
        <w:t xml:space="preserve">, 47355 were tested and 343 (0.7%) were positive. </w:t>
      </w:r>
      <w:r w:rsidRPr="00D87EEF">
        <w:rPr>
          <w:rFonts w:ascii="Calibri" w:hAnsi="Calibri"/>
          <w:sz w:val="22"/>
          <w:szCs w:val="22"/>
        </w:rPr>
        <w:t>The seasonal pattern</w:t>
      </w:r>
      <w:r>
        <w:rPr>
          <w:rFonts w:ascii="Calibri" w:hAnsi="Calibri"/>
          <w:sz w:val="22"/>
          <w:szCs w:val="22"/>
        </w:rPr>
        <w:t>s</w:t>
      </w:r>
      <w:r w:rsidRPr="00D87EEF">
        <w:rPr>
          <w:rFonts w:ascii="Calibri" w:hAnsi="Calibri"/>
          <w:sz w:val="22"/>
          <w:szCs w:val="22"/>
        </w:rPr>
        <w:t xml:space="preserve"> for </w:t>
      </w:r>
      <w:r w:rsidRPr="00D87EEF">
        <w:rPr>
          <w:rFonts w:ascii="Calibri" w:hAnsi="Calibri"/>
          <w:i/>
          <w:sz w:val="22"/>
          <w:szCs w:val="22"/>
        </w:rPr>
        <w:t>P falciparum</w:t>
      </w:r>
      <w:r w:rsidRPr="00D87EEF">
        <w:rPr>
          <w:rFonts w:ascii="Calibri" w:hAnsi="Calibri"/>
          <w:sz w:val="22"/>
          <w:szCs w:val="22"/>
        </w:rPr>
        <w:t xml:space="preserve"> and </w:t>
      </w:r>
      <w:r w:rsidRPr="00D87EEF">
        <w:rPr>
          <w:rFonts w:ascii="Calibri" w:hAnsi="Calibri"/>
          <w:i/>
          <w:sz w:val="22"/>
          <w:szCs w:val="22"/>
        </w:rPr>
        <w:t xml:space="preserve">P </w:t>
      </w:r>
      <w:proofErr w:type="spellStart"/>
      <w:r w:rsidRPr="00D87EEF">
        <w:rPr>
          <w:rFonts w:ascii="Calibri" w:hAnsi="Calibri"/>
          <w:i/>
          <w:sz w:val="22"/>
          <w:szCs w:val="22"/>
        </w:rPr>
        <w:t>vivax</w:t>
      </w:r>
      <w:proofErr w:type="spellEnd"/>
      <w:r w:rsidR="004F66B9">
        <w:rPr>
          <w:rFonts w:ascii="Calibri" w:hAnsi="Calibri"/>
          <w:sz w:val="22"/>
          <w:szCs w:val="22"/>
        </w:rPr>
        <w:t xml:space="preserve"> are similar (</w:t>
      </w:r>
      <w:r w:rsidR="00B07A4F">
        <w:rPr>
          <w:rFonts w:ascii="Calibri" w:hAnsi="Calibri"/>
          <w:sz w:val="22"/>
          <w:szCs w:val="22"/>
        </w:rPr>
        <w:t>Fig</w:t>
      </w:r>
      <w:r w:rsidR="004F66B9">
        <w:rPr>
          <w:rFonts w:ascii="Calibri" w:hAnsi="Calibri"/>
          <w:sz w:val="22"/>
          <w:szCs w:val="22"/>
        </w:rPr>
        <w:t xml:space="preserve"> A</w:t>
      </w:r>
      <w:r>
        <w:rPr>
          <w:rFonts w:ascii="Calibri" w:hAnsi="Calibri"/>
          <w:sz w:val="22"/>
          <w:szCs w:val="22"/>
        </w:rPr>
        <w:t xml:space="preserve">). </w:t>
      </w:r>
    </w:p>
    <w:p w:rsidR="0066666B" w:rsidRDefault="0066666B" w:rsidP="0066666B">
      <w:pPr>
        <w:tabs>
          <w:tab w:val="right" w:pos="360"/>
          <w:tab w:val="left" w:pos="540"/>
        </w:tabs>
        <w:spacing w:line="288" w:lineRule="auto"/>
        <w:jc w:val="both"/>
        <w:rPr>
          <w:rFonts w:ascii="Calibri" w:hAnsi="Calibr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D74C97" w:rsidTr="00E62F12">
        <w:tc>
          <w:tcPr>
            <w:tcW w:w="8856" w:type="dxa"/>
          </w:tcPr>
          <w:p w:rsidR="00D74C97" w:rsidRDefault="00B07A4F" w:rsidP="00B07A4F">
            <w:pPr>
              <w:keepNext/>
              <w:widowControl w:val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Fig</w:t>
            </w:r>
            <w:r w:rsidR="004F66B9">
              <w:rPr>
                <w:rFonts w:ascii="Calibri" w:hAnsi="Calibri"/>
                <w:sz w:val="22"/>
                <w:szCs w:val="22"/>
              </w:rPr>
              <w:t xml:space="preserve"> A</w:t>
            </w:r>
            <w:r w:rsidR="00D74C97">
              <w:rPr>
                <w:rFonts w:ascii="Calibri" w:hAnsi="Calibri"/>
                <w:sz w:val="22"/>
                <w:szCs w:val="22"/>
              </w:rPr>
              <w:t xml:space="preserve">. Proportion of mosquitoes tested </w:t>
            </w:r>
            <w:proofErr w:type="spellStart"/>
            <w:r w:rsidR="00D74C97">
              <w:rPr>
                <w:rFonts w:ascii="Calibri" w:hAnsi="Calibri"/>
                <w:sz w:val="22"/>
                <w:szCs w:val="22"/>
              </w:rPr>
              <w:t>sporozoite</w:t>
            </w:r>
            <w:proofErr w:type="spellEnd"/>
            <w:r w:rsidR="00D74C97">
              <w:rPr>
                <w:rFonts w:ascii="Calibri" w:hAnsi="Calibri"/>
                <w:sz w:val="22"/>
                <w:szCs w:val="22"/>
              </w:rPr>
              <w:t xml:space="preserve"> positive by monthly survey </w:t>
            </w:r>
          </w:p>
        </w:tc>
      </w:tr>
      <w:tr w:rsidR="00D74C97" w:rsidRPr="00CE41B0" w:rsidTr="00E62F12">
        <w:tc>
          <w:tcPr>
            <w:tcW w:w="8856" w:type="dxa"/>
          </w:tcPr>
          <w:p w:rsidR="00EE562E" w:rsidRDefault="00EE562E" w:rsidP="00EE562E">
            <w:pPr>
              <w:keepNext/>
              <w:widowControl w:val="0"/>
              <w:jc w:val="both"/>
              <w:rPr>
                <w:rFonts w:ascii="Calibri" w:hAnsi="Calibri"/>
                <w:noProof/>
                <w:sz w:val="20"/>
                <w:szCs w:val="22"/>
                <w:lang w:val="en-GB"/>
              </w:rPr>
            </w:pPr>
          </w:p>
          <w:p w:rsidR="00885AA6" w:rsidRDefault="00885AA6" w:rsidP="00EE562E">
            <w:pPr>
              <w:keepNext/>
              <w:widowControl w:val="0"/>
              <w:jc w:val="both"/>
              <w:rPr>
                <w:rFonts w:ascii="Calibri" w:hAnsi="Calibri"/>
                <w:noProof/>
                <w:sz w:val="20"/>
                <w:szCs w:val="22"/>
                <w:lang w:val="en-GB"/>
              </w:rPr>
            </w:pPr>
            <w:r>
              <w:rPr>
                <w:rFonts w:ascii="Calibri" w:hAnsi="Calibri"/>
                <w:noProof/>
                <w:sz w:val="20"/>
                <w:szCs w:val="22"/>
                <w:lang w:val="en-GB"/>
              </w:rPr>
              <w:drawing>
                <wp:inline distT="0" distB="0" distL="0" distR="0">
                  <wp:extent cx="5251978" cy="36985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3702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5AA6" w:rsidRPr="00CE41B0" w:rsidRDefault="00885AA6" w:rsidP="00EE562E">
            <w:pPr>
              <w:keepNext/>
              <w:widowControl w:val="0"/>
              <w:jc w:val="both"/>
              <w:rPr>
                <w:rFonts w:ascii="Calibri" w:hAnsi="Calibri"/>
                <w:sz w:val="20"/>
                <w:szCs w:val="22"/>
              </w:rPr>
            </w:pPr>
          </w:p>
        </w:tc>
      </w:tr>
    </w:tbl>
    <w:p w:rsidR="00D74C97" w:rsidRPr="00CE41B0" w:rsidRDefault="00D74C97" w:rsidP="00D74C97">
      <w:pPr>
        <w:tabs>
          <w:tab w:val="right" w:pos="360"/>
          <w:tab w:val="left" w:pos="540"/>
        </w:tabs>
        <w:rPr>
          <w:rFonts w:ascii="Calibri" w:hAnsi="Calibri"/>
          <w:i/>
          <w:sz w:val="20"/>
          <w:szCs w:val="22"/>
          <w:lang w:val="en-GB"/>
        </w:rPr>
      </w:pPr>
      <w:r w:rsidRPr="00CE41B0">
        <w:rPr>
          <w:rFonts w:ascii="Calibri" w:hAnsi="Calibri"/>
          <w:sz w:val="20"/>
          <w:szCs w:val="22"/>
          <w:lang w:val="en-GB"/>
        </w:rPr>
        <w:t xml:space="preserve">Blue dotted line: </w:t>
      </w:r>
      <w:r w:rsidRPr="00CE41B0">
        <w:rPr>
          <w:rFonts w:ascii="Calibri" w:hAnsi="Calibri"/>
          <w:i/>
          <w:sz w:val="20"/>
          <w:szCs w:val="22"/>
          <w:lang w:val="en-GB"/>
        </w:rPr>
        <w:t>P falciparum</w:t>
      </w:r>
      <w:r w:rsidRPr="00CE41B0">
        <w:rPr>
          <w:rFonts w:ascii="Calibri" w:hAnsi="Calibri"/>
          <w:sz w:val="20"/>
          <w:szCs w:val="22"/>
          <w:lang w:val="en-GB"/>
        </w:rPr>
        <w:t xml:space="preserve">, Red solid line: </w:t>
      </w:r>
      <w:r w:rsidRPr="00CE41B0">
        <w:rPr>
          <w:rFonts w:ascii="Calibri" w:hAnsi="Calibri"/>
          <w:i/>
          <w:sz w:val="20"/>
          <w:szCs w:val="22"/>
          <w:lang w:val="en-GB"/>
        </w:rPr>
        <w:t xml:space="preserve">P </w:t>
      </w:r>
      <w:proofErr w:type="spellStart"/>
      <w:r w:rsidRPr="00CE41B0">
        <w:rPr>
          <w:rFonts w:ascii="Calibri" w:hAnsi="Calibri"/>
          <w:i/>
          <w:sz w:val="20"/>
          <w:szCs w:val="22"/>
          <w:lang w:val="en-GB"/>
        </w:rPr>
        <w:t>vivax</w:t>
      </w:r>
      <w:proofErr w:type="spellEnd"/>
    </w:p>
    <w:p w:rsidR="00D74C97" w:rsidRDefault="00D74C97">
      <w:pPr>
        <w:rPr>
          <w:lang w:val="en-GB"/>
        </w:rPr>
      </w:pPr>
    </w:p>
    <w:p w:rsidR="000A7F0A" w:rsidRPr="00D74C97" w:rsidRDefault="000A7F0A">
      <w:pPr>
        <w:rPr>
          <w:lang w:val="en-GB"/>
        </w:rPr>
      </w:pPr>
    </w:p>
    <w:p w:rsidR="005656D5" w:rsidRPr="005656D5" w:rsidRDefault="005656D5" w:rsidP="005656D5">
      <w:pPr>
        <w:pStyle w:val="Bibliography"/>
        <w:rPr>
          <w:rFonts w:asciiTheme="minorHAnsi" w:hAnsiTheme="minorHAnsi"/>
          <w:sz w:val="22"/>
          <w:szCs w:val="22"/>
        </w:rPr>
      </w:pPr>
      <w:r w:rsidRPr="005656D5">
        <w:rPr>
          <w:rFonts w:asciiTheme="minorHAnsi" w:hAnsiTheme="minorHAnsi"/>
          <w:sz w:val="22"/>
          <w:szCs w:val="22"/>
        </w:rPr>
        <w:fldChar w:fldCharType="begin"/>
      </w:r>
      <w:r w:rsidRPr="005656D5">
        <w:rPr>
          <w:rFonts w:asciiTheme="minorHAnsi" w:hAnsiTheme="minorHAnsi"/>
          <w:sz w:val="22"/>
          <w:szCs w:val="22"/>
        </w:rPr>
        <w:instrText xml:space="preserve"> ADDIN ZOTERO_BIBL {"custom":[]} CSL_BIBLIOGRAPHY </w:instrText>
      </w:r>
      <w:r w:rsidRPr="005656D5">
        <w:rPr>
          <w:rFonts w:asciiTheme="minorHAnsi" w:hAnsiTheme="minorHAnsi"/>
          <w:sz w:val="22"/>
          <w:szCs w:val="22"/>
        </w:rPr>
        <w:fldChar w:fldCharType="separate"/>
      </w:r>
      <w:r w:rsidRPr="005656D5">
        <w:rPr>
          <w:rFonts w:asciiTheme="minorHAnsi" w:hAnsiTheme="minorHAnsi"/>
          <w:sz w:val="22"/>
          <w:szCs w:val="22"/>
        </w:rPr>
        <w:t xml:space="preserve">1. </w:t>
      </w:r>
      <w:r w:rsidRPr="005656D5">
        <w:rPr>
          <w:rFonts w:asciiTheme="minorHAnsi" w:hAnsiTheme="minorHAnsi"/>
          <w:sz w:val="22"/>
          <w:szCs w:val="22"/>
        </w:rPr>
        <w:tab/>
        <w:t xml:space="preserve">Hii J, Smith T, Mai A, Mellor S, Lewis D, Alexander N, et al. Spatial and temporal variation in abundance of Anopheles (Diptera: Culicidae) in a malaria endemic area in Papua New Guinea. J Med Entomol 1997;34:193–205. </w:t>
      </w:r>
    </w:p>
    <w:p w:rsidR="0029500D" w:rsidRPr="008F0014" w:rsidRDefault="005656D5" w:rsidP="00197D31">
      <w:pPr>
        <w:pStyle w:val="Bibliography"/>
      </w:pPr>
      <w:r w:rsidRPr="005656D5">
        <w:rPr>
          <w:rFonts w:asciiTheme="minorHAnsi" w:hAnsiTheme="minorHAnsi"/>
          <w:sz w:val="22"/>
          <w:szCs w:val="22"/>
        </w:rPr>
        <w:t xml:space="preserve">2. </w:t>
      </w:r>
      <w:r w:rsidRPr="005656D5">
        <w:rPr>
          <w:rFonts w:asciiTheme="minorHAnsi" w:hAnsiTheme="minorHAnsi"/>
          <w:sz w:val="22"/>
          <w:szCs w:val="22"/>
        </w:rPr>
        <w:tab/>
        <w:t xml:space="preserve">Hii J, Smith T, Vounatsou P, Alexander N, Mai A, Ibam E, et al. Area effects of bednet use in a malaria-endemic area in Papua New Guinea. Trans Roy Soc Trop Med Hyg 2001;95:7–13. </w:t>
      </w:r>
      <w:r w:rsidRPr="005656D5">
        <w:rPr>
          <w:rFonts w:asciiTheme="minorHAnsi" w:hAnsiTheme="minorHAnsi"/>
          <w:sz w:val="22"/>
          <w:szCs w:val="22"/>
        </w:rPr>
        <w:fldChar w:fldCharType="end"/>
      </w:r>
      <w:bookmarkStart w:id="0" w:name="_GoBack"/>
      <w:bookmarkEnd w:id="0"/>
    </w:p>
    <w:sectPr w:rsidR="0029500D" w:rsidRPr="008F00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7"/>
    <w:rsid w:val="000A7F0A"/>
    <w:rsid w:val="00197D31"/>
    <w:rsid w:val="0029500D"/>
    <w:rsid w:val="002F7380"/>
    <w:rsid w:val="004B0366"/>
    <w:rsid w:val="004F66B9"/>
    <w:rsid w:val="005310FB"/>
    <w:rsid w:val="005656D5"/>
    <w:rsid w:val="0066666B"/>
    <w:rsid w:val="00885AA6"/>
    <w:rsid w:val="008F0014"/>
    <w:rsid w:val="0090361D"/>
    <w:rsid w:val="00B07A4F"/>
    <w:rsid w:val="00CE41B0"/>
    <w:rsid w:val="00D74C97"/>
    <w:rsid w:val="00E174AE"/>
    <w:rsid w:val="00EE562E"/>
    <w:rsid w:val="00F6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C97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4C97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5656D5"/>
    <w:pPr>
      <w:tabs>
        <w:tab w:val="left" w:pos="384"/>
      </w:tabs>
      <w:spacing w:after="240"/>
      <w:ind w:left="384" w:hanging="38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6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62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C97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4C97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5656D5"/>
    <w:pPr>
      <w:tabs>
        <w:tab w:val="left" w:pos="384"/>
      </w:tabs>
      <w:spacing w:after="240"/>
      <w:ind w:left="384" w:hanging="38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56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62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SwissTPH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Ross</dc:creator>
  <cp:lastModifiedBy>Amanda Ross</cp:lastModifiedBy>
  <cp:revision>32</cp:revision>
  <dcterms:created xsi:type="dcterms:W3CDTF">2015-04-16T14:45:00Z</dcterms:created>
  <dcterms:modified xsi:type="dcterms:W3CDTF">2016-04-20T18:13:00Z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zotero-version="4.0.21.2"&gt;&lt;session id="0y36D2tz"/&gt;&lt;style id="http://www.zotero.org/styles/vancouver-brackets-only-year-no-issue" hasBibliography="1" bibliographyStyleHasBeenSet="1"/&gt;&lt;prefs&gt;&lt;pref name="fieldType" value="Field"/&gt;&lt;pref</vt:lpwstr>
  </property>
  <property fmtid="{D5CDD505-2E9C-101B-9397-08002B2CF9AE}" pid="3" name="ZOTERO_PREF_2">
    <vt:lpwstr> name="storeReferences" value="true"/&gt;&lt;pref name="automaticJournalAbbreviations" value="true"/&gt;&lt;pref name="noteType" value="0"/&gt;&lt;/prefs&gt;&lt;/data&gt;</vt:lpwstr>
  </property>
</Properties>
</file>