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AE" w:rsidRPr="003D6DAE" w:rsidRDefault="003D6DAE" w:rsidP="008937CD">
      <w:pPr>
        <w:pStyle w:val="Title"/>
        <w:rPr>
          <w:rFonts w:asciiTheme="minorBidi" w:hAnsiTheme="minorBidi" w:cstheme="minorBidi"/>
          <w:sz w:val="24"/>
        </w:rPr>
      </w:pPr>
      <w:r w:rsidRPr="003D6DAE">
        <w:rPr>
          <w:rFonts w:asciiTheme="minorBidi" w:hAnsiTheme="minorBidi" w:cstheme="minorBidi"/>
          <w:sz w:val="24"/>
        </w:rPr>
        <w:t xml:space="preserve">STARD </w:t>
      </w:r>
      <w:r w:rsidR="008937CD">
        <w:rPr>
          <w:rFonts w:asciiTheme="minorBidi" w:hAnsiTheme="minorBidi" w:cstheme="minorBidi"/>
          <w:sz w:val="24"/>
        </w:rPr>
        <w:t>CHECKLIST</w:t>
      </w:r>
    </w:p>
    <w:p w:rsidR="003D6DAE" w:rsidRPr="003D6DAE" w:rsidRDefault="003D6DAE" w:rsidP="003D6DAE">
      <w:pPr>
        <w:jc w:val="center"/>
        <w:rPr>
          <w:rFonts w:asciiTheme="minorBidi" w:hAnsiTheme="minorBidi"/>
          <w:i/>
          <w:iCs/>
          <w:sz w:val="24"/>
          <w:szCs w:val="24"/>
        </w:rPr>
      </w:pPr>
      <w:r w:rsidRPr="003D6DAE">
        <w:rPr>
          <w:rFonts w:asciiTheme="minorBidi" w:hAnsiTheme="minorBidi"/>
          <w:i/>
          <w:iCs/>
          <w:sz w:val="24"/>
          <w:szCs w:val="24"/>
        </w:rPr>
        <w:t>(</w:t>
      </w:r>
      <w:proofErr w:type="gramStart"/>
      <w:r w:rsidRPr="003D6DAE">
        <w:rPr>
          <w:rFonts w:asciiTheme="minorBidi" w:hAnsiTheme="minorBidi"/>
          <w:i/>
          <w:iCs/>
          <w:sz w:val="24"/>
          <w:szCs w:val="24"/>
        </w:rPr>
        <w:t>version</w:t>
      </w:r>
      <w:proofErr w:type="gramEnd"/>
      <w:r w:rsidRPr="003D6DAE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2015</w:t>
      </w:r>
      <w:r w:rsidRPr="003D6DAE">
        <w:rPr>
          <w:rFonts w:asciiTheme="minorBidi" w:hAnsiTheme="minorBidi"/>
          <w:i/>
          <w:iCs/>
          <w:sz w:val="24"/>
          <w:szCs w:val="24"/>
        </w:rPr>
        <w:t>)</w:t>
      </w:r>
    </w:p>
    <w:p w:rsidR="003D6DAE" w:rsidRDefault="003D6DAE" w:rsidP="003B725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FFFFFF"/>
          <w:sz w:val="24"/>
          <w:szCs w:val="24"/>
        </w:rPr>
      </w:pPr>
    </w:p>
    <w:p w:rsidR="003D6DAE" w:rsidRPr="006B5E96" w:rsidRDefault="003D6DAE" w:rsidP="003B725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FFFFFF"/>
          <w:sz w:val="24"/>
          <w:szCs w:val="24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217"/>
        <w:gridCol w:w="540"/>
        <w:gridCol w:w="6930"/>
      </w:tblGrid>
      <w:tr w:rsidR="0073777C" w:rsidRPr="006B5E96" w:rsidTr="0073777C">
        <w:trPr>
          <w:cantSplit/>
          <w:trHeight w:val="375"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Section and Topic</w:t>
            </w: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93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A66BEE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TITLE/ABSTRACT/</w:t>
            </w:r>
          </w:p>
          <w:p w:rsidR="0073777C" w:rsidRPr="006B5E96" w:rsidRDefault="0073777C" w:rsidP="00A66BEE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KEYWORDS</w:t>
            </w: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930" w:type="dxa"/>
          </w:tcPr>
          <w:p w:rsidR="0073777C" w:rsidRPr="006B5E96" w:rsidRDefault="0073777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6930" w:type="dxa"/>
          </w:tcPr>
          <w:p w:rsidR="0073777C" w:rsidRPr="006B5E96" w:rsidRDefault="0073777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6B5E96">
              <w:rPr>
                <w:rFonts w:asciiTheme="minorBidi" w:hAnsiTheme="minorBidi"/>
                <w:i/>
                <w:iCs/>
                <w:sz w:val="24"/>
                <w:szCs w:val="24"/>
              </w:rPr>
              <w:t>Identification as a study of diagnostic accuracy using at least one measure of accuracy (such as sensitivity, specificity, predictive values, or AUC):</w:t>
            </w:r>
          </w:p>
          <w:p w:rsidR="0073777C" w:rsidRPr="006B5E96" w:rsidRDefault="0073777C" w:rsidP="006354C3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73777C" w:rsidRPr="006B5E96" w:rsidRDefault="0073777C" w:rsidP="006354C3">
            <w:pPr>
              <w:pStyle w:val="Table"/>
              <w:spacing w:before="0" w:after="0" w:line="264" w:lineRule="auto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Study state development and evaluation of </w:t>
            </w:r>
            <w:r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urine-based ELISA and dipstick test as </w:t>
            </w:r>
            <w:r w:rsidRPr="006B5E96">
              <w:rPr>
                <w:rFonts w:asciiTheme="minorBidi" w:eastAsia="Calibri" w:hAnsiTheme="minorBidi" w:cstheme="minorBidi"/>
                <w:sz w:val="24"/>
                <w:szCs w:val="24"/>
              </w:rPr>
              <w:t>noninvasive diagnostics</w:t>
            </w:r>
            <w:r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for VL and PKDL.</w:t>
            </w: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ABSTRACT</w:t>
            </w: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930" w:type="dxa"/>
          </w:tcPr>
          <w:p w:rsidR="0073777C" w:rsidRPr="006B5E96" w:rsidRDefault="0073777C" w:rsidP="00A24588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6930" w:type="dxa"/>
          </w:tcPr>
          <w:p w:rsidR="0073777C" w:rsidRPr="006B5E96" w:rsidRDefault="0073777C" w:rsidP="00A24588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>Structured summary of study design, methods, results, and conclusions (for specific guidance, see STARD for Abstracts):</w:t>
            </w:r>
          </w:p>
          <w:p w:rsidR="0073777C" w:rsidRPr="006B5E96" w:rsidRDefault="0073777C" w:rsidP="00A24588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73777C" w:rsidRPr="006B5E96" w:rsidRDefault="0073777C" w:rsidP="00A24588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 xml:space="preserve">Identify the article as a study of diagnostic accuracy using measures of sensitivity, specificity and AUC. </w:t>
            </w:r>
          </w:p>
          <w:p w:rsidR="0073777C" w:rsidRPr="006B5E96" w:rsidRDefault="0073777C" w:rsidP="003B725F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Provides summary of study design, results and conclusion</w:t>
            </w: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INTRODUCTION</w:t>
            </w: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930" w:type="dxa"/>
          </w:tcPr>
          <w:p w:rsidR="0073777C" w:rsidRPr="006B5E96" w:rsidRDefault="0073777C" w:rsidP="00CC56B4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930" w:type="dxa"/>
          </w:tcPr>
          <w:p w:rsidR="0073777C" w:rsidRPr="006B5E96" w:rsidRDefault="0073777C" w:rsidP="00CC56B4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>Scientific and clinical background, including the intended use and clinical role of the index test:</w:t>
            </w:r>
          </w:p>
          <w:p w:rsidR="0073777C" w:rsidRPr="006B5E96" w:rsidRDefault="0073777C" w:rsidP="00CC56B4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73777C" w:rsidRPr="006B5E96" w:rsidRDefault="0073777C" w:rsidP="00CC56B4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State the background of the work such as routine diagnostics and other similar test available</w:t>
            </w:r>
          </w:p>
          <w:p w:rsidR="0073777C" w:rsidRPr="006B5E96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6930" w:type="dxa"/>
          </w:tcPr>
          <w:p w:rsidR="0073777C" w:rsidRPr="006B5E96" w:rsidRDefault="0073777C" w:rsidP="00CC56B4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>Study objectives and hypotheses:</w:t>
            </w:r>
          </w:p>
          <w:p w:rsidR="0073777C" w:rsidRPr="006B5E96" w:rsidRDefault="0073777C" w:rsidP="00CC56B4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73777C" w:rsidRPr="006B5E96" w:rsidRDefault="0073777C" w:rsidP="007D2E44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Study objectives such as development of noninvasive test and its comparison with reference test of tissue aspiration and with rK39 strip test.</w:t>
            </w: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METHODS</w:t>
            </w: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93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>Study design</w:t>
            </w: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5</w:t>
            </w:r>
          </w:p>
        </w:tc>
        <w:tc>
          <w:tcPr>
            <w:tcW w:w="6930" w:type="dxa"/>
          </w:tcPr>
          <w:p w:rsidR="0073777C" w:rsidRPr="006B5E96" w:rsidRDefault="0073777C" w:rsidP="000749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6B5E96">
              <w:rPr>
                <w:rFonts w:asciiTheme="minorBidi" w:hAnsiTheme="minorBidi"/>
                <w:i/>
                <w:iCs/>
                <w:sz w:val="24"/>
                <w:szCs w:val="24"/>
              </w:rPr>
              <w:t>Whether data collection was planned before the index test and reference standard were performed (prospective study) or after (retrospective study):</w:t>
            </w:r>
          </w:p>
          <w:p w:rsidR="0073777C" w:rsidRPr="006B5E96" w:rsidRDefault="0073777C" w:rsidP="000749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73777C" w:rsidRPr="006B5E96" w:rsidRDefault="0073777C" w:rsidP="000749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6B5E96">
              <w:rPr>
                <w:rFonts w:asciiTheme="minorBidi" w:hAnsiTheme="minorBidi"/>
                <w:sz w:val="24"/>
                <w:szCs w:val="24"/>
              </w:rPr>
              <w:t>This study is a prospective</w:t>
            </w:r>
            <w:r w:rsidRPr="006B5E96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study which were planned before the reference and index tests were performed </w:t>
            </w: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>Participants</w:t>
            </w: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6930" w:type="dxa"/>
          </w:tcPr>
          <w:p w:rsidR="0073777C" w:rsidRPr="006B5E96" w:rsidRDefault="0073777C" w:rsidP="007B0521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 xml:space="preserve">Eligibility criteria: </w:t>
            </w:r>
          </w:p>
          <w:p w:rsidR="0073777C" w:rsidRPr="006B5E96" w:rsidRDefault="0073777C" w:rsidP="007B0521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</w:p>
          <w:p w:rsidR="0073777C" w:rsidRPr="006B5E96" w:rsidRDefault="0073777C" w:rsidP="007B0521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 xml:space="preserve">Confirmed VL patients of both sexes living in and around the endemic area and ready to give consent. </w:t>
            </w: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6930" w:type="dxa"/>
          </w:tcPr>
          <w:p w:rsidR="0073777C" w:rsidRPr="006B5E96" w:rsidRDefault="0073777C" w:rsidP="000749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  <w:r w:rsidRPr="006B5E96"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>On what basis potentially eligible participants were identified (such as symptoms, results from previous tests, inclusion in registry):</w:t>
            </w:r>
          </w:p>
          <w:p w:rsidR="0073777C" w:rsidRPr="006B5E96" w:rsidRDefault="0073777C" w:rsidP="000749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</w:p>
          <w:p w:rsidR="0073777C" w:rsidRPr="006B5E96" w:rsidRDefault="0073777C" w:rsidP="007B0521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Participants were recruited based on clinical symptoms, other test results and tissue aspiration with rK39 rapid tests. Urine samples were collected after disease confirmation.</w:t>
            </w: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930" w:type="dxa"/>
          </w:tcPr>
          <w:p w:rsidR="0073777C" w:rsidRPr="006B5E96" w:rsidRDefault="0073777C" w:rsidP="00137D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  <w:r w:rsidRPr="006B5E96"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>Where and when potentially eligible participants were identified (setting, location and dates):</w:t>
            </w:r>
          </w:p>
          <w:p w:rsidR="0073777C" w:rsidRPr="006B5E96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73777C" w:rsidRPr="006B5E96" w:rsidRDefault="0073777C" w:rsidP="007D2E44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Urine samples of confirmed cases and other diseases were provided by three centers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, Patna, Muzaffarpur and Kolkata</w:t>
            </w:r>
            <w:r w:rsidRPr="006B5E96">
              <w:rPr>
                <w:rFonts w:asciiTheme="minorBidi" w:hAnsiTheme="minorBidi" w:cstheme="minorBidi"/>
                <w:sz w:val="24"/>
                <w:szCs w:val="24"/>
              </w:rPr>
              <w:t xml:space="preserve"> where reference test were done. Urine samples of healthy participants were collected in the institute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, IICB</w:t>
            </w:r>
            <w:r w:rsidRPr="006B5E96">
              <w:rPr>
                <w:rFonts w:asciiTheme="minorBidi" w:hAnsiTheme="minorBidi" w:cstheme="minorBidi"/>
                <w:sz w:val="24"/>
                <w:szCs w:val="24"/>
              </w:rPr>
              <w:t xml:space="preserve"> where index test were conducted.</w:t>
            </w: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930" w:type="dxa"/>
          </w:tcPr>
          <w:p w:rsidR="0073777C" w:rsidRPr="006B5E96" w:rsidRDefault="0073777C" w:rsidP="005112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  <w:r w:rsidRPr="006B5E96"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 xml:space="preserve">Whether participants formed a consecutive, random or </w:t>
            </w:r>
            <w:r w:rsidRPr="0073777C"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>convenience series Test methods:</w:t>
            </w:r>
          </w:p>
          <w:p w:rsidR="0073777C" w:rsidRPr="006B5E96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73777C" w:rsidRPr="006B5E96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Reference test was not performed separately for the study. Tissue aspiration and rK39 strip tests were routinely performed for the diagnosis of VL.</w:t>
            </w: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>Test methods</w:t>
            </w: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10a</w:t>
            </w:r>
          </w:p>
        </w:tc>
        <w:tc>
          <w:tcPr>
            <w:tcW w:w="693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>Index test, in sufficient detail to allow replication</w:t>
            </w:r>
            <w:r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>:</w:t>
            </w:r>
          </w:p>
          <w:p w:rsidR="0073777C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73777C" w:rsidRPr="006B5E96" w:rsidRDefault="0073777C" w:rsidP="006B5E96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Urine-based ELISA and dipstick test were developed and evaluated for diagnosis of VL and PKDL. Details available in the manuscript.</w:t>
            </w: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</w:tcPr>
          <w:p w:rsidR="0073777C" w:rsidRPr="006B5E96" w:rsidRDefault="0073777C" w:rsidP="00CC56B4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10b</w:t>
            </w:r>
          </w:p>
        </w:tc>
        <w:tc>
          <w:tcPr>
            <w:tcW w:w="6930" w:type="dxa"/>
          </w:tcPr>
          <w:p w:rsidR="0073777C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>Reference standard, in sufficient detail to allow replication</w:t>
            </w:r>
            <w:r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>:</w:t>
            </w:r>
          </w:p>
          <w:p w:rsidR="0073777C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</w:p>
          <w:p w:rsidR="0073777C" w:rsidRPr="006B5E96" w:rsidRDefault="0073777C" w:rsidP="006B5E96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 xml:space="preserve">Reference standard is splenic or bone marrow aspirations for detection of </w:t>
            </w:r>
            <w:r w:rsidRPr="00C4125B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>L. donovani</w:t>
            </w:r>
            <w:r w:rsidRPr="006B5E96">
              <w:rPr>
                <w:rFonts w:asciiTheme="minorBidi" w:hAnsiTheme="minorBidi" w:cstheme="minorBidi"/>
                <w:sz w:val="24"/>
                <w:szCs w:val="24"/>
              </w:rPr>
              <w:t xml:space="preserve"> parasite i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n</w:t>
            </w:r>
            <w:r w:rsidRPr="006B5E96">
              <w:rPr>
                <w:rFonts w:asciiTheme="minorBidi" w:hAnsiTheme="minorBidi" w:cstheme="minorBidi"/>
                <w:sz w:val="24"/>
                <w:szCs w:val="24"/>
              </w:rPr>
              <w:t xml:space="preserve"> the tissues.</w:t>
            </w: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</w:tcPr>
          <w:p w:rsidR="0073777C" w:rsidRPr="006B5E96" w:rsidRDefault="0073777C" w:rsidP="00CC56B4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11</w:t>
            </w:r>
          </w:p>
        </w:tc>
        <w:tc>
          <w:tcPr>
            <w:tcW w:w="693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>Rationale for choosing the reference standard (if alternatives exist)</w:t>
            </w:r>
            <w:r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>:</w:t>
            </w:r>
          </w:p>
          <w:p w:rsidR="0073777C" w:rsidRDefault="0073777C" w:rsidP="00B8082C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73777C" w:rsidRPr="006B5E96" w:rsidRDefault="0073777C" w:rsidP="00B8082C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Gold standard for the diagnosis of VL is tissue aspiration. This is the first line of diagnostics routinely used by the practitioners.</w:t>
            </w: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12a</w:t>
            </w:r>
          </w:p>
        </w:tc>
        <w:tc>
          <w:tcPr>
            <w:tcW w:w="6930" w:type="dxa"/>
          </w:tcPr>
          <w:p w:rsidR="0073777C" w:rsidRDefault="0073777C" w:rsidP="00F039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  <w:r w:rsidRPr="006B5E96"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>Definition of and rationale for test positivity cut-offs or result categories of the index test, distinguishing pre-specified from exploratory</w:t>
            </w:r>
            <w:r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>:</w:t>
            </w:r>
          </w:p>
          <w:p w:rsidR="0073777C" w:rsidRDefault="0073777C" w:rsidP="00F039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</w:p>
          <w:p w:rsidR="0073777C" w:rsidRPr="006B5E96" w:rsidRDefault="0073777C" w:rsidP="006E54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 xml:space="preserve">Diagnostic accuracy of the index test </w:t>
            </w:r>
            <w:r w:rsidR="00C0353C">
              <w:rPr>
                <w:rFonts w:asciiTheme="minorBidi" w:hAnsiTheme="minorBidi"/>
                <w:color w:val="000000"/>
                <w:sz w:val="24"/>
                <w:szCs w:val="24"/>
              </w:rPr>
              <w:t>was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calculated using </w:t>
            </w:r>
            <w:proofErr w:type="spellStart"/>
            <w:r>
              <w:rPr>
                <w:rFonts w:asciiTheme="minorBidi" w:hAnsiTheme="minorBidi"/>
                <w:color w:val="000000"/>
                <w:sz w:val="24"/>
                <w:szCs w:val="24"/>
              </w:rPr>
              <w:t>Graphpad</w:t>
            </w:r>
            <w:proofErr w:type="spellEnd"/>
            <w:r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prism software and it was not pre-specified as the index test is developed during the study.</w:t>
            </w: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12b</w:t>
            </w:r>
          </w:p>
        </w:tc>
        <w:tc>
          <w:tcPr>
            <w:tcW w:w="6930" w:type="dxa"/>
          </w:tcPr>
          <w:p w:rsidR="0073777C" w:rsidRDefault="0073777C" w:rsidP="006757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  <w:r w:rsidRPr="006B5E96"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 xml:space="preserve">Definition of and rationale for test positivity cut-offs or result categories of the reference standard, distinguishing pre-specified from </w:t>
            </w:r>
            <w:r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>e</w:t>
            </w:r>
            <w:r w:rsidRPr="006B5E96"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>xploratory</w:t>
            </w:r>
            <w:r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>:</w:t>
            </w:r>
          </w:p>
          <w:p w:rsidR="0073777C" w:rsidRDefault="0073777C" w:rsidP="006B5E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</w:p>
          <w:p w:rsidR="0073777C" w:rsidRPr="006B5E96" w:rsidRDefault="0073777C" w:rsidP="006E54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6E54FF">
              <w:rPr>
                <w:rFonts w:asciiTheme="minorBidi" w:hAnsiTheme="minorBidi"/>
                <w:color w:val="000000"/>
                <w:sz w:val="24"/>
                <w:szCs w:val="24"/>
              </w:rPr>
              <w:t>Reference test were used with known cases thus sensitivities and specificities of the tests were pre-determined.</w:t>
            </w: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13a</w:t>
            </w:r>
          </w:p>
        </w:tc>
        <w:tc>
          <w:tcPr>
            <w:tcW w:w="6930" w:type="dxa"/>
          </w:tcPr>
          <w:p w:rsidR="0073777C" w:rsidRDefault="0073777C" w:rsidP="00A66B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  <w:r w:rsidRPr="006B5E96"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>Whether clinical information and reference standard results were available to the performers/readers of the index test</w:t>
            </w:r>
          </w:p>
          <w:p w:rsidR="0073777C" w:rsidRDefault="0073777C" w:rsidP="00A66B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</w:p>
          <w:p w:rsidR="0073777C" w:rsidRPr="006B5E96" w:rsidRDefault="0073777C" w:rsidP="006757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675770">
              <w:rPr>
                <w:rFonts w:asciiTheme="minorBidi" w:hAnsiTheme="minorBidi"/>
                <w:color w:val="000000"/>
                <w:sz w:val="24"/>
                <w:szCs w:val="24"/>
              </w:rPr>
              <w:t>Yes, as index tests were performed with samples which were performed with reference test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.</w:t>
            </w: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13b</w:t>
            </w:r>
          </w:p>
        </w:tc>
        <w:tc>
          <w:tcPr>
            <w:tcW w:w="6930" w:type="dxa"/>
          </w:tcPr>
          <w:p w:rsidR="0073777C" w:rsidRDefault="0073777C" w:rsidP="006757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  <w:r w:rsidRPr="006B5E96"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>Whether clinical information and index test results were available to the assessors of the reference standard</w:t>
            </w:r>
            <w:r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 xml:space="preserve"> analysis:</w:t>
            </w:r>
          </w:p>
          <w:p w:rsidR="0073777C" w:rsidRDefault="0073777C" w:rsidP="006757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</w:p>
          <w:p w:rsidR="0073777C" w:rsidRPr="006B5E96" w:rsidRDefault="0073777C" w:rsidP="006757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  <w:r w:rsidRPr="00675770">
              <w:rPr>
                <w:rFonts w:asciiTheme="minorBidi" w:hAnsiTheme="minorBidi"/>
                <w:color w:val="000000"/>
                <w:sz w:val="24"/>
                <w:szCs w:val="24"/>
              </w:rPr>
              <w:t>Yes</w:t>
            </w: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14</w:t>
            </w:r>
          </w:p>
        </w:tc>
        <w:tc>
          <w:tcPr>
            <w:tcW w:w="6930" w:type="dxa"/>
          </w:tcPr>
          <w:p w:rsidR="0073777C" w:rsidRDefault="0073777C" w:rsidP="00A66B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  <w:r w:rsidRPr="006B5E96"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>Methods for estimating or comparing measures of diagnostic accuracy</w:t>
            </w:r>
            <w:r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>.</w:t>
            </w:r>
          </w:p>
          <w:p w:rsidR="0073777C" w:rsidRDefault="0073777C" w:rsidP="00A66B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</w:p>
          <w:p w:rsidR="0073777C" w:rsidRPr="00A61215" w:rsidRDefault="0073777C" w:rsidP="00A612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ROC curve were plotted and sens</w:t>
            </w:r>
            <w:r w:rsidR="00C4125B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itivity, specificity, cut-offs 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and AUC of the tests were calculated.</w:t>
            </w: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6930" w:type="dxa"/>
          </w:tcPr>
          <w:p w:rsidR="0073777C" w:rsidRPr="006B5E96" w:rsidRDefault="0073777C" w:rsidP="006B5E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  <w:r w:rsidRPr="006B5E96"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>How indeterminate index test or reference standard results were handled</w:t>
            </w:r>
          </w:p>
          <w:p w:rsidR="0073777C" w:rsidRDefault="0073777C" w:rsidP="006B5E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</w:p>
          <w:p w:rsidR="0073777C" w:rsidRPr="006B5E96" w:rsidRDefault="0073777C" w:rsidP="00C4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  <w:r w:rsidRPr="00252AF4">
              <w:rPr>
                <w:rFonts w:asciiTheme="minorBidi" w:hAnsiTheme="minorBidi"/>
                <w:color w:val="000000"/>
                <w:sz w:val="24"/>
                <w:szCs w:val="24"/>
              </w:rPr>
              <w:t>Indeterminate reference test were discarded f</w:t>
            </w:r>
            <w:r w:rsidR="00C4125B">
              <w:rPr>
                <w:rFonts w:asciiTheme="minorBidi" w:hAnsiTheme="minorBidi"/>
                <w:color w:val="000000"/>
                <w:sz w:val="24"/>
                <w:szCs w:val="24"/>
              </w:rPr>
              <w:t>ro</w:t>
            </w:r>
            <w:r w:rsidRPr="00252AF4">
              <w:rPr>
                <w:rFonts w:asciiTheme="minorBidi" w:hAnsiTheme="minorBidi"/>
                <w:color w:val="000000"/>
                <w:sz w:val="24"/>
                <w:szCs w:val="24"/>
              </w:rPr>
              <w:t>m the study where as uncertain results of index tests were re-evaluated.</w:t>
            </w: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930" w:type="dxa"/>
          </w:tcPr>
          <w:p w:rsidR="0073777C" w:rsidRDefault="0073777C" w:rsidP="006B5E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  <w:r w:rsidRPr="006B5E96"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 xml:space="preserve">How </w:t>
            </w:r>
            <w:r w:rsidRPr="00314B08"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>missing data</w:t>
            </w:r>
            <w:r w:rsidRPr="006B5E96"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 xml:space="preserve"> on the index test and reference standard were handled</w:t>
            </w:r>
          </w:p>
          <w:p w:rsidR="0073777C" w:rsidRDefault="0073777C" w:rsidP="006B5E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</w:p>
          <w:p w:rsidR="0073777C" w:rsidRPr="00A61215" w:rsidRDefault="0073777C" w:rsidP="006B5E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4"/>
                <w:szCs w:val="24"/>
              </w:rPr>
            </w:pPr>
          </w:p>
          <w:p w:rsidR="0073777C" w:rsidRPr="00314B08" w:rsidRDefault="00314B08" w:rsidP="00A66B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314B08">
              <w:rPr>
                <w:rFonts w:asciiTheme="minorBidi" w:hAnsiTheme="minorBidi"/>
                <w:color w:val="000000"/>
                <w:sz w:val="24"/>
                <w:szCs w:val="24"/>
              </w:rPr>
              <w:t>NA</w:t>
            </w: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930" w:type="dxa"/>
          </w:tcPr>
          <w:p w:rsidR="0073777C" w:rsidRDefault="0073777C" w:rsidP="00A66B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  <w:r w:rsidRPr="006B5E96"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>Any analyses of variability in diagnostic accuracy, distinguishing pre-specified from exploratory</w:t>
            </w:r>
            <w:r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>:</w:t>
            </w:r>
          </w:p>
          <w:p w:rsidR="0073777C" w:rsidRDefault="0073777C" w:rsidP="00A66B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</w:p>
          <w:p w:rsidR="0073777C" w:rsidRPr="00A61215" w:rsidRDefault="0073777C" w:rsidP="00A66B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61215">
              <w:rPr>
                <w:rFonts w:asciiTheme="minorBidi" w:hAnsiTheme="minorBidi"/>
                <w:color w:val="000000"/>
                <w:sz w:val="24"/>
                <w:szCs w:val="24"/>
              </w:rPr>
              <w:t>No</w:t>
            </w: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930" w:type="dxa"/>
          </w:tcPr>
          <w:p w:rsidR="0073777C" w:rsidRDefault="0073777C" w:rsidP="006B5E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  <w:r w:rsidRPr="006B5E96"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>Intended sample size and how it was determined</w:t>
            </w:r>
            <w:r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>:</w:t>
            </w:r>
          </w:p>
          <w:p w:rsidR="00314B08" w:rsidRDefault="00314B08" w:rsidP="006B5E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</w:p>
          <w:p w:rsidR="0073777C" w:rsidRPr="00A61215" w:rsidRDefault="0060534D" w:rsidP="006A77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A</w:t>
            </w:r>
            <w:r w:rsidR="006A7776">
              <w:rPr>
                <w:rFonts w:asciiTheme="minorBidi" w:hAnsiTheme="minorBidi"/>
                <w:color w:val="000000"/>
                <w:sz w:val="24"/>
                <w:szCs w:val="24"/>
              </w:rPr>
              <w:t>nticipation of</w:t>
            </w:r>
            <w:r w:rsidR="00314B08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95% sensitivity with 95% confidence interval </w:t>
            </w:r>
            <w:r w:rsidR="0085565A">
              <w:rPr>
                <w:rFonts w:asciiTheme="minorBidi" w:hAnsiTheme="minorBidi"/>
                <w:color w:val="000000"/>
                <w:sz w:val="24"/>
                <w:szCs w:val="24"/>
              </w:rPr>
              <w:t>a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 w:rsidR="00314B08">
              <w:rPr>
                <w:rFonts w:asciiTheme="minorBidi" w:hAnsiTheme="minorBidi"/>
                <w:color w:val="000000"/>
                <w:sz w:val="24"/>
                <w:szCs w:val="24"/>
              </w:rPr>
              <w:t>0.8 power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114 samples were estimated, however, we successfully evaluated 97 samples.</w:t>
            </w: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both"/>
              <w:rPr>
                <w:rFonts w:asciiTheme="minorBidi" w:hAnsiTheme="minorBidi" w:cstheme="minorBidi"/>
                <w:iCs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iCs/>
                <w:sz w:val="24"/>
                <w:szCs w:val="24"/>
              </w:rPr>
              <w:t>RESULTS</w:t>
            </w: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iCs/>
                <w:sz w:val="24"/>
                <w:szCs w:val="24"/>
              </w:rPr>
            </w:pPr>
          </w:p>
        </w:tc>
        <w:tc>
          <w:tcPr>
            <w:tcW w:w="693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both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>Participants</w:t>
            </w: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6930" w:type="dxa"/>
          </w:tcPr>
          <w:p w:rsidR="0073777C" w:rsidRDefault="0073777C" w:rsidP="006B5E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  <w:r w:rsidRPr="006B5E96"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>Flow of participants, using a diagram</w:t>
            </w:r>
            <w:r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>.</w:t>
            </w:r>
          </w:p>
          <w:p w:rsidR="0073777C" w:rsidRDefault="0073777C" w:rsidP="006B5E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</w:p>
          <w:p w:rsidR="0073777C" w:rsidRPr="005675F0" w:rsidRDefault="0073777C" w:rsidP="00A612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5675F0">
              <w:rPr>
                <w:rFonts w:asciiTheme="minorBidi" w:hAnsiTheme="minorBidi"/>
                <w:color w:val="000000"/>
                <w:sz w:val="24"/>
                <w:szCs w:val="24"/>
              </w:rPr>
              <w:t>Presented in Annexure</w:t>
            </w:r>
            <w:r w:rsidR="00076C35" w:rsidRPr="005675F0">
              <w:rPr>
                <w:rFonts w:asciiTheme="minorBidi" w:hAnsiTheme="minorBidi"/>
                <w:color w:val="000000"/>
                <w:sz w:val="24"/>
                <w:szCs w:val="24"/>
              </w:rPr>
              <w:t>-1</w:t>
            </w: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20</w:t>
            </w:r>
          </w:p>
        </w:tc>
        <w:tc>
          <w:tcPr>
            <w:tcW w:w="6930" w:type="dxa"/>
          </w:tcPr>
          <w:p w:rsidR="0073777C" w:rsidRDefault="0073777C" w:rsidP="006B5E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  <w:r w:rsidRPr="006B5E96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 </w:t>
            </w:r>
            <w:r w:rsidRPr="006B5E96"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>Baseline demographic and clinical characteristics of participants</w:t>
            </w:r>
            <w:r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>:</w:t>
            </w:r>
          </w:p>
          <w:p w:rsidR="0073777C" w:rsidRDefault="0073777C" w:rsidP="006B5E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</w:p>
          <w:p w:rsidR="0073777C" w:rsidRPr="005675F0" w:rsidRDefault="0073777C" w:rsidP="00A612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5675F0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Presented in Annexure </w:t>
            </w:r>
            <w:r w:rsidR="005675F0" w:rsidRPr="005675F0">
              <w:rPr>
                <w:rFonts w:asciiTheme="minorBidi" w:hAnsiTheme="minorBidi"/>
                <w:color w:val="000000"/>
                <w:sz w:val="24"/>
                <w:szCs w:val="24"/>
              </w:rPr>
              <w:t>-2</w:t>
            </w: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21a</w:t>
            </w:r>
          </w:p>
        </w:tc>
        <w:tc>
          <w:tcPr>
            <w:tcW w:w="6930" w:type="dxa"/>
          </w:tcPr>
          <w:p w:rsidR="0073777C" w:rsidRDefault="0073777C" w:rsidP="007D2E44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i/>
                <w:iCs/>
                <w:color w:val="000000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i/>
                <w:iCs/>
                <w:color w:val="000000"/>
                <w:sz w:val="24"/>
                <w:szCs w:val="24"/>
              </w:rPr>
              <w:t>Distribution of severity of disease in those with the target condition</w:t>
            </w:r>
          </w:p>
          <w:p w:rsidR="0073777C" w:rsidRDefault="0073777C" w:rsidP="007D2E44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i/>
                <w:iCs/>
                <w:color w:val="000000"/>
                <w:sz w:val="24"/>
                <w:szCs w:val="24"/>
              </w:rPr>
            </w:pPr>
          </w:p>
          <w:p w:rsidR="0073777C" w:rsidRPr="008358B7" w:rsidRDefault="0073777C" w:rsidP="008358B7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8358B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Not determined</w:t>
            </w: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21b</w:t>
            </w:r>
          </w:p>
        </w:tc>
        <w:tc>
          <w:tcPr>
            <w:tcW w:w="6930" w:type="dxa"/>
          </w:tcPr>
          <w:p w:rsidR="0073777C" w:rsidRDefault="0073777C" w:rsidP="006B5E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  <w:r w:rsidRPr="006B5E96"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>Distribution of alternative diagnoses in those without the target condition</w:t>
            </w:r>
          </w:p>
          <w:p w:rsidR="0073777C" w:rsidRDefault="0073777C" w:rsidP="006B5E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</w:p>
          <w:p w:rsidR="0073777C" w:rsidRPr="006B5E96" w:rsidRDefault="0073777C" w:rsidP="008358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8358B7">
              <w:rPr>
                <w:rFonts w:asciiTheme="minorBidi" w:hAnsiTheme="minorBidi"/>
                <w:color w:val="000000"/>
                <w:sz w:val="24"/>
                <w:szCs w:val="24"/>
              </w:rPr>
              <w:t>Performed with malaria, viral fever and typhoid and tuberculosis.</w:t>
            </w: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22</w:t>
            </w:r>
          </w:p>
        </w:tc>
        <w:tc>
          <w:tcPr>
            <w:tcW w:w="6930" w:type="dxa"/>
          </w:tcPr>
          <w:p w:rsidR="0073777C" w:rsidRDefault="0073777C" w:rsidP="006B5E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  <w:r w:rsidRPr="006B5E96"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>Time interval and any clinical interventions between index test and reference standard</w:t>
            </w:r>
          </w:p>
          <w:p w:rsidR="0073777C" w:rsidRDefault="0073777C" w:rsidP="006B5E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</w:p>
          <w:p w:rsidR="0073777C" w:rsidRPr="006B5E96" w:rsidRDefault="0073777C" w:rsidP="008358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Both the tests were performed before the treatment started, reference test followed by index test with 48 hrs.</w:t>
            </w: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>Test results</w:t>
            </w: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23</w:t>
            </w:r>
          </w:p>
        </w:tc>
        <w:tc>
          <w:tcPr>
            <w:tcW w:w="6930" w:type="dxa"/>
          </w:tcPr>
          <w:p w:rsidR="0073777C" w:rsidRDefault="0073777C" w:rsidP="006B5E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  <w:r w:rsidRPr="006B5E96"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>Cross tabulation of the index test results (or their distribution) by the results of the reference standard</w:t>
            </w:r>
          </w:p>
          <w:p w:rsidR="0073777C" w:rsidRDefault="0073777C" w:rsidP="006B5E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</w:p>
          <w:p w:rsidR="0073777C" w:rsidRPr="008358B7" w:rsidRDefault="0073777C" w:rsidP="008358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8358B7">
              <w:rPr>
                <w:rFonts w:asciiTheme="minorBidi" w:hAnsiTheme="minorBidi"/>
                <w:color w:val="000000"/>
                <w:sz w:val="24"/>
                <w:szCs w:val="24"/>
              </w:rPr>
              <w:t>Results of both the index test urine-based ELISA and dipstick test were tabulated in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 w:rsidRPr="008358B7">
              <w:rPr>
                <w:rFonts w:asciiTheme="minorBidi" w:hAnsiTheme="minorBidi"/>
                <w:color w:val="000000"/>
                <w:sz w:val="24"/>
                <w:szCs w:val="24"/>
              </w:rPr>
              <w:t>Table 1 with rK39 strip test result. Participants who were tested positive in the reference test were only included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thus not compared with the index tests.</w:t>
            </w: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24</w:t>
            </w:r>
          </w:p>
        </w:tc>
        <w:tc>
          <w:tcPr>
            <w:tcW w:w="6930" w:type="dxa"/>
          </w:tcPr>
          <w:p w:rsidR="0073777C" w:rsidRDefault="0073777C" w:rsidP="006B5E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  <w:r w:rsidRPr="006B5E96"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>Estimates of diagnostic accuracy and their precision (such as 95% confidence intervals)</w:t>
            </w:r>
          </w:p>
          <w:p w:rsidR="0073777C" w:rsidRDefault="0073777C" w:rsidP="006B5E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</w:p>
          <w:p w:rsidR="0073777C" w:rsidRPr="006B5E96" w:rsidRDefault="0073777C" w:rsidP="004872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More than 95% sensitivity and specificity were estimated for the test with 95% confidence interval and 0.8 power of the study.</w:t>
            </w: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25</w:t>
            </w:r>
          </w:p>
        </w:tc>
        <w:tc>
          <w:tcPr>
            <w:tcW w:w="6930" w:type="dxa"/>
          </w:tcPr>
          <w:p w:rsidR="0073777C" w:rsidRDefault="0073777C" w:rsidP="006B5E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  <w:r w:rsidRPr="006B5E96"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>Any adverse events from performing the index test or the reference standard</w:t>
            </w:r>
          </w:p>
          <w:p w:rsidR="0073777C" w:rsidRDefault="0073777C" w:rsidP="006B5E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</w:p>
          <w:p w:rsidR="0073777C" w:rsidRPr="008358B7" w:rsidRDefault="0073777C" w:rsidP="008358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8358B7">
              <w:rPr>
                <w:rFonts w:asciiTheme="minorBidi" w:hAnsiTheme="minorBidi"/>
                <w:color w:val="000000"/>
                <w:sz w:val="24"/>
                <w:szCs w:val="24"/>
              </w:rPr>
              <w:t>No</w:t>
            </w: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DISCUSSION</w:t>
            </w: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93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26</w:t>
            </w:r>
          </w:p>
        </w:tc>
        <w:tc>
          <w:tcPr>
            <w:tcW w:w="6930" w:type="dxa"/>
          </w:tcPr>
          <w:p w:rsidR="0073777C" w:rsidRDefault="0073777C" w:rsidP="006B5E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  <w:r w:rsidRPr="006B5E96"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 xml:space="preserve">Study limitations, including sources of potential bias, statistical uncertainty, and </w:t>
            </w:r>
            <w:proofErr w:type="spellStart"/>
            <w:r w:rsidRPr="006B5E96"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>generalisability</w:t>
            </w:r>
            <w:proofErr w:type="spellEnd"/>
            <w:r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>:</w:t>
            </w:r>
          </w:p>
          <w:p w:rsidR="0073777C" w:rsidRDefault="0073777C" w:rsidP="006B5E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</w:pPr>
          </w:p>
          <w:p w:rsidR="0073777C" w:rsidRPr="006B5E96" w:rsidRDefault="0073777C" w:rsidP="000540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 xml:space="preserve">Study was conducted with confirmed cases in reference standard test. </w:t>
            </w:r>
            <w:r w:rsidR="0005405F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Therefore 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reference test</w:t>
            </w:r>
            <w:r w:rsidR="0005405F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was not blind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.</w:t>
            </w: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27</w:t>
            </w:r>
          </w:p>
        </w:tc>
        <w:tc>
          <w:tcPr>
            <w:tcW w:w="6930" w:type="dxa"/>
          </w:tcPr>
          <w:p w:rsidR="0073777C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i/>
                <w:iCs/>
                <w:color w:val="000000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i/>
                <w:iCs/>
                <w:color w:val="000000"/>
                <w:sz w:val="24"/>
                <w:szCs w:val="24"/>
              </w:rPr>
              <w:t>Implications for practice, including the intended use and clinical role of the index test</w:t>
            </w:r>
            <w:r>
              <w:rPr>
                <w:rFonts w:asciiTheme="minorBidi" w:hAnsiTheme="minorBidi" w:cstheme="minorBidi"/>
                <w:i/>
                <w:iCs/>
                <w:color w:val="000000"/>
                <w:sz w:val="24"/>
                <w:szCs w:val="24"/>
              </w:rPr>
              <w:t>;</w:t>
            </w:r>
          </w:p>
          <w:p w:rsidR="0073777C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i/>
                <w:iCs/>
                <w:color w:val="000000"/>
                <w:sz w:val="24"/>
                <w:szCs w:val="24"/>
              </w:rPr>
            </w:pPr>
          </w:p>
          <w:p w:rsidR="0073777C" w:rsidRPr="00DA78EE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Discussed in discussion section.</w:t>
            </w: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OTHER INFORMATION</w:t>
            </w: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93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28</w:t>
            </w:r>
          </w:p>
        </w:tc>
        <w:tc>
          <w:tcPr>
            <w:tcW w:w="6930" w:type="dxa"/>
          </w:tcPr>
          <w:p w:rsidR="0073777C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DA78EE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>Registration number and name of registry</w:t>
            </w:r>
            <w:r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>:</w:t>
            </w:r>
          </w:p>
          <w:p w:rsidR="0073777C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</w:p>
          <w:p w:rsidR="0073777C" w:rsidRPr="00DA78EE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DA78EE">
              <w:rPr>
                <w:rFonts w:asciiTheme="minorBidi" w:hAnsiTheme="minorBidi" w:cstheme="minorBidi"/>
                <w:sz w:val="24"/>
                <w:szCs w:val="24"/>
              </w:rPr>
              <w:t>NA</w:t>
            </w: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29</w:t>
            </w:r>
          </w:p>
        </w:tc>
        <w:tc>
          <w:tcPr>
            <w:tcW w:w="6930" w:type="dxa"/>
          </w:tcPr>
          <w:p w:rsidR="0073777C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i/>
                <w:iCs/>
                <w:color w:val="000000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i/>
                <w:iCs/>
                <w:color w:val="000000"/>
                <w:sz w:val="24"/>
                <w:szCs w:val="24"/>
              </w:rPr>
              <w:t>Where the full study protocol can be accessed</w:t>
            </w:r>
            <w:r>
              <w:rPr>
                <w:rFonts w:asciiTheme="minorBidi" w:hAnsiTheme="minorBidi" w:cstheme="minorBidi"/>
                <w:i/>
                <w:iCs/>
                <w:color w:val="000000"/>
                <w:sz w:val="24"/>
                <w:szCs w:val="24"/>
              </w:rPr>
              <w:t>:</w:t>
            </w:r>
          </w:p>
          <w:p w:rsidR="0073777C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i/>
                <w:iCs/>
                <w:color w:val="000000"/>
                <w:sz w:val="24"/>
                <w:szCs w:val="24"/>
              </w:rPr>
            </w:pPr>
          </w:p>
          <w:p w:rsidR="0073777C" w:rsidRPr="00BA1A77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BA1A7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YES</w:t>
            </w:r>
          </w:p>
        </w:tc>
      </w:tr>
      <w:tr w:rsidR="0073777C" w:rsidRPr="006B5E96" w:rsidTr="0073777C">
        <w:trPr>
          <w:cantSplit/>
        </w:trPr>
        <w:tc>
          <w:tcPr>
            <w:tcW w:w="2217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40" w:type="dxa"/>
          </w:tcPr>
          <w:p w:rsidR="0073777C" w:rsidRPr="006B5E96" w:rsidRDefault="0073777C" w:rsidP="00BC1FAD">
            <w:pPr>
              <w:pStyle w:val="Table"/>
              <w:spacing w:before="0" w:after="0" w:line="264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B5E96">
              <w:rPr>
                <w:rFonts w:asciiTheme="minorBidi" w:hAnsiTheme="minorBidi" w:cstheme="minorBidi"/>
                <w:sz w:val="24"/>
                <w:szCs w:val="24"/>
              </w:rPr>
              <w:t>30</w:t>
            </w:r>
          </w:p>
        </w:tc>
        <w:tc>
          <w:tcPr>
            <w:tcW w:w="6930" w:type="dxa"/>
          </w:tcPr>
          <w:p w:rsidR="0073777C" w:rsidRPr="006B5E96" w:rsidRDefault="0073777C" w:rsidP="006B5E96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6B5E96">
              <w:rPr>
                <w:rFonts w:asciiTheme="minorBidi" w:hAnsiTheme="minorBidi"/>
                <w:i/>
                <w:iCs/>
                <w:color w:val="000000"/>
                <w:sz w:val="24"/>
                <w:szCs w:val="24"/>
              </w:rPr>
              <w:t>Sources of funding and other support; role of funders</w:t>
            </w:r>
          </w:p>
          <w:p w:rsidR="0073777C" w:rsidRPr="00BA1A77" w:rsidRDefault="0073777C" w:rsidP="00A53529">
            <w:pPr>
              <w:pStyle w:val="Table"/>
              <w:spacing w:before="0" w:after="0" w:line="264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This study w</w:t>
            </w:r>
            <w:r w:rsidR="00A53529">
              <w:rPr>
                <w:rFonts w:asciiTheme="minorBidi" w:hAnsiTheme="minorBidi" w:cstheme="minorBidi"/>
                <w:sz w:val="24"/>
                <w:szCs w:val="24"/>
              </w:rPr>
              <w:t>as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funded by Council of Scientific and Industrial Research, India.</w:t>
            </w:r>
          </w:p>
        </w:tc>
      </w:tr>
    </w:tbl>
    <w:p w:rsidR="003B725F" w:rsidRPr="006B5E96" w:rsidRDefault="003B725F" w:rsidP="003B725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FFFFFF"/>
          <w:sz w:val="24"/>
          <w:szCs w:val="24"/>
        </w:rPr>
      </w:pPr>
    </w:p>
    <w:p w:rsidR="003B725F" w:rsidRPr="006B5E96" w:rsidRDefault="003B725F" w:rsidP="00FC339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24"/>
          <w:szCs w:val="24"/>
        </w:rPr>
      </w:pPr>
    </w:p>
    <w:p w:rsidR="003B725F" w:rsidRPr="006B5E96" w:rsidRDefault="003B725F" w:rsidP="00FC339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24"/>
          <w:szCs w:val="24"/>
        </w:rPr>
      </w:pPr>
    </w:p>
    <w:p w:rsidR="003B725F" w:rsidRPr="006B5E96" w:rsidRDefault="003B725F" w:rsidP="00FC339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24"/>
          <w:szCs w:val="24"/>
        </w:rPr>
      </w:pPr>
    </w:p>
    <w:p w:rsidR="003B725F" w:rsidRPr="006B5E96" w:rsidRDefault="003B725F" w:rsidP="00FC339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24"/>
          <w:szCs w:val="24"/>
        </w:rPr>
      </w:pPr>
    </w:p>
    <w:p w:rsidR="003B725F" w:rsidRPr="006B5E96" w:rsidRDefault="003B725F" w:rsidP="00FC339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24"/>
          <w:szCs w:val="24"/>
        </w:rPr>
      </w:pPr>
    </w:p>
    <w:p w:rsidR="003B725F" w:rsidRPr="006B5E96" w:rsidRDefault="003B725F" w:rsidP="00FC339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24"/>
          <w:szCs w:val="24"/>
        </w:rPr>
      </w:pPr>
    </w:p>
    <w:p w:rsidR="003B725F" w:rsidRPr="006B5E96" w:rsidRDefault="003B725F" w:rsidP="00FC339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24"/>
          <w:szCs w:val="24"/>
        </w:rPr>
      </w:pPr>
    </w:p>
    <w:sectPr w:rsidR="003B725F" w:rsidRPr="006B5E96" w:rsidSect="00E55A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3393"/>
    <w:rsid w:val="00001672"/>
    <w:rsid w:val="00002A3D"/>
    <w:rsid w:val="00004169"/>
    <w:rsid w:val="00004B36"/>
    <w:rsid w:val="000063C4"/>
    <w:rsid w:val="00007C95"/>
    <w:rsid w:val="000142FC"/>
    <w:rsid w:val="00015813"/>
    <w:rsid w:val="000163F7"/>
    <w:rsid w:val="00031C9F"/>
    <w:rsid w:val="00045A73"/>
    <w:rsid w:val="00047DD1"/>
    <w:rsid w:val="0005012F"/>
    <w:rsid w:val="000528A0"/>
    <w:rsid w:val="0005405F"/>
    <w:rsid w:val="0005451F"/>
    <w:rsid w:val="000556CB"/>
    <w:rsid w:val="00056F47"/>
    <w:rsid w:val="0005719C"/>
    <w:rsid w:val="00064C56"/>
    <w:rsid w:val="00073269"/>
    <w:rsid w:val="0007345A"/>
    <w:rsid w:val="00074992"/>
    <w:rsid w:val="00075C2F"/>
    <w:rsid w:val="00076C35"/>
    <w:rsid w:val="0008231C"/>
    <w:rsid w:val="00086C18"/>
    <w:rsid w:val="00091D8A"/>
    <w:rsid w:val="00092236"/>
    <w:rsid w:val="000945B5"/>
    <w:rsid w:val="000A1779"/>
    <w:rsid w:val="000A1B3D"/>
    <w:rsid w:val="000B53FA"/>
    <w:rsid w:val="000B64EE"/>
    <w:rsid w:val="000B6F4D"/>
    <w:rsid w:val="000C0760"/>
    <w:rsid w:val="000C6259"/>
    <w:rsid w:val="000C7931"/>
    <w:rsid w:val="000D5A67"/>
    <w:rsid w:val="000E20DB"/>
    <w:rsid w:val="000F08AB"/>
    <w:rsid w:val="001057CC"/>
    <w:rsid w:val="001073EF"/>
    <w:rsid w:val="00110AFC"/>
    <w:rsid w:val="00111898"/>
    <w:rsid w:val="001118EE"/>
    <w:rsid w:val="0011351E"/>
    <w:rsid w:val="00120971"/>
    <w:rsid w:val="00122369"/>
    <w:rsid w:val="001232EF"/>
    <w:rsid w:val="00126D42"/>
    <w:rsid w:val="001306A5"/>
    <w:rsid w:val="00133B7A"/>
    <w:rsid w:val="00135FD7"/>
    <w:rsid w:val="00137DAC"/>
    <w:rsid w:val="00137E29"/>
    <w:rsid w:val="00140379"/>
    <w:rsid w:val="001417A7"/>
    <w:rsid w:val="00143EEC"/>
    <w:rsid w:val="00147F32"/>
    <w:rsid w:val="001627B0"/>
    <w:rsid w:val="00166589"/>
    <w:rsid w:val="00176922"/>
    <w:rsid w:val="0018016B"/>
    <w:rsid w:val="0018686F"/>
    <w:rsid w:val="00187A6E"/>
    <w:rsid w:val="001904C9"/>
    <w:rsid w:val="00190E0E"/>
    <w:rsid w:val="00192D44"/>
    <w:rsid w:val="00193B94"/>
    <w:rsid w:val="00196704"/>
    <w:rsid w:val="001A05D1"/>
    <w:rsid w:val="001A06F8"/>
    <w:rsid w:val="001A490C"/>
    <w:rsid w:val="001A7949"/>
    <w:rsid w:val="001B01BE"/>
    <w:rsid w:val="001B4206"/>
    <w:rsid w:val="001C0468"/>
    <w:rsid w:val="001C379E"/>
    <w:rsid w:val="001C3DA2"/>
    <w:rsid w:val="001C73AB"/>
    <w:rsid w:val="001C7764"/>
    <w:rsid w:val="001C78CC"/>
    <w:rsid w:val="001D5B0A"/>
    <w:rsid w:val="001E09B7"/>
    <w:rsid w:val="001E130A"/>
    <w:rsid w:val="001E165D"/>
    <w:rsid w:val="001E3BA4"/>
    <w:rsid w:val="001E3D99"/>
    <w:rsid w:val="001F2AE4"/>
    <w:rsid w:val="00220845"/>
    <w:rsid w:val="002307D8"/>
    <w:rsid w:val="0023464D"/>
    <w:rsid w:val="00237BB8"/>
    <w:rsid w:val="002425BF"/>
    <w:rsid w:val="00252AF4"/>
    <w:rsid w:val="00254C8B"/>
    <w:rsid w:val="002733FF"/>
    <w:rsid w:val="00285782"/>
    <w:rsid w:val="00286E1B"/>
    <w:rsid w:val="00290365"/>
    <w:rsid w:val="002916C3"/>
    <w:rsid w:val="00295AAC"/>
    <w:rsid w:val="002A0DDA"/>
    <w:rsid w:val="002A1CF9"/>
    <w:rsid w:val="002A2F88"/>
    <w:rsid w:val="002B48C7"/>
    <w:rsid w:val="002C06E3"/>
    <w:rsid w:val="002C10BF"/>
    <w:rsid w:val="002C267B"/>
    <w:rsid w:val="002C2E8C"/>
    <w:rsid w:val="002C3F4C"/>
    <w:rsid w:val="002C4553"/>
    <w:rsid w:val="002C5E0A"/>
    <w:rsid w:val="002C653F"/>
    <w:rsid w:val="002D0640"/>
    <w:rsid w:val="002D483A"/>
    <w:rsid w:val="002E3CAD"/>
    <w:rsid w:val="002E5D15"/>
    <w:rsid w:val="002F4CC2"/>
    <w:rsid w:val="00306604"/>
    <w:rsid w:val="00311E41"/>
    <w:rsid w:val="00312D9A"/>
    <w:rsid w:val="00314B08"/>
    <w:rsid w:val="00317709"/>
    <w:rsid w:val="0032545A"/>
    <w:rsid w:val="003256CD"/>
    <w:rsid w:val="00326EC4"/>
    <w:rsid w:val="00330364"/>
    <w:rsid w:val="00330FB7"/>
    <w:rsid w:val="003342A0"/>
    <w:rsid w:val="00334C2C"/>
    <w:rsid w:val="003414A4"/>
    <w:rsid w:val="00341A18"/>
    <w:rsid w:val="00344176"/>
    <w:rsid w:val="003504CB"/>
    <w:rsid w:val="00353715"/>
    <w:rsid w:val="00361259"/>
    <w:rsid w:val="00362546"/>
    <w:rsid w:val="0036417B"/>
    <w:rsid w:val="003642DB"/>
    <w:rsid w:val="00364439"/>
    <w:rsid w:val="003745DF"/>
    <w:rsid w:val="00382B4D"/>
    <w:rsid w:val="003846C8"/>
    <w:rsid w:val="00390BE9"/>
    <w:rsid w:val="00390C79"/>
    <w:rsid w:val="0039332A"/>
    <w:rsid w:val="00393686"/>
    <w:rsid w:val="00397A7D"/>
    <w:rsid w:val="003A27BD"/>
    <w:rsid w:val="003A6F3B"/>
    <w:rsid w:val="003B725F"/>
    <w:rsid w:val="003C1E0F"/>
    <w:rsid w:val="003D6DAE"/>
    <w:rsid w:val="003D7AB1"/>
    <w:rsid w:val="003E291B"/>
    <w:rsid w:val="003E573D"/>
    <w:rsid w:val="003F3881"/>
    <w:rsid w:val="003F591C"/>
    <w:rsid w:val="004009D3"/>
    <w:rsid w:val="00421C44"/>
    <w:rsid w:val="004222CA"/>
    <w:rsid w:val="00427695"/>
    <w:rsid w:val="0043504C"/>
    <w:rsid w:val="004428E7"/>
    <w:rsid w:val="00442DBB"/>
    <w:rsid w:val="00444D2C"/>
    <w:rsid w:val="00445694"/>
    <w:rsid w:val="00445D99"/>
    <w:rsid w:val="00450412"/>
    <w:rsid w:val="004515A0"/>
    <w:rsid w:val="004519BF"/>
    <w:rsid w:val="00464142"/>
    <w:rsid w:val="004667ED"/>
    <w:rsid w:val="00481587"/>
    <w:rsid w:val="00481C33"/>
    <w:rsid w:val="00483871"/>
    <w:rsid w:val="004848DD"/>
    <w:rsid w:val="00485B74"/>
    <w:rsid w:val="00485D68"/>
    <w:rsid w:val="00486058"/>
    <w:rsid w:val="00486DD3"/>
    <w:rsid w:val="004872EE"/>
    <w:rsid w:val="00487541"/>
    <w:rsid w:val="00487D8F"/>
    <w:rsid w:val="00490E11"/>
    <w:rsid w:val="004A282A"/>
    <w:rsid w:val="004A4AB9"/>
    <w:rsid w:val="004A4BFC"/>
    <w:rsid w:val="004A5C23"/>
    <w:rsid w:val="004A6D8C"/>
    <w:rsid w:val="004A7EB0"/>
    <w:rsid w:val="004B109B"/>
    <w:rsid w:val="004B4ABE"/>
    <w:rsid w:val="004B5F44"/>
    <w:rsid w:val="004B6710"/>
    <w:rsid w:val="004B7E0A"/>
    <w:rsid w:val="004D0BE3"/>
    <w:rsid w:val="004D2EF9"/>
    <w:rsid w:val="004D3190"/>
    <w:rsid w:val="004E0210"/>
    <w:rsid w:val="004E276B"/>
    <w:rsid w:val="004F03D3"/>
    <w:rsid w:val="004F0622"/>
    <w:rsid w:val="004F2960"/>
    <w:rsid w:val="004F5ED6"/>
    <w:rsid w:val="004F798E"/>
    <w:rsid w:val="00504597"/>
    <w:rsid w:val="005069E2"/>
    <w:rsid w:val="005077D7"/>
    <w:rsid w:val="0051123E"/>
    <w:rsid w:val="005122B8"/>
    <w:rsid w:val="00514E0B"/>
    <w:rsid w:val="00515E83"/>
    <w:rsid w:val="00515EF2"/>
    <w:rsid w:val="00517553"/>
    <w:rsid w:val="00523E7D"/>
    <w:rsid w:val="00526F2D"/>
    <w:rsid w:val="005318E1"/>
    <w:rsid w:val="00535EC1"/>
    <w:rsid w:val="00545AB3"/>
    <w:rsid w:val="00545CF7"/>
    <w:rsid w:val="0055160D"/>
    <w:rsid w:val="005552B3"/>
    <w:rsid w:val="005555CB"/>
    <w:rsid w:val="00556DAE"/>
    <w:rsid w:val="0056101F"/>
    <w:rsid w:val="005637FD"/>
    <w:rsid w:val="005655A7"/>
    <w:rsid w:val="00566437"/>
    <w:rsid w:val="00566BD5"/>
    <w:rsid w:val="00567030"/>
    <w:rsid w:val="005675F0"/>
    <w:rsid w:val="00567EF5"/>
    <w:rsid w:val="00571E12"/>
    <w:rsid w:val="00574D7F"/>
    <w:rsid w:val="00575DFF"/>
    <w:rsid w:val="005778E2"/>
    <w:rsid w:val="00580C5D"/>
    <w:rsid w:val="00582729"/>
    <w:rsid w:val="00585682"/>
    <w:rsid w:val="00586B2B"/>
    <w:rsid w:val="005906C1"/>
    <w:rsid w:val="00593347"/>
    <w:rsid w:val="00594962"/>
    <w:rsid w:val="00595592"/>
    <w:rsid w:val="005A0C3D"/>
    <w:rsid w:val="005A75B7"/>
    <w:rsid w:val="005A77DB"/>
    <w:rsid w:val="005B132E"/>
    <w:rsid w:val="005B3974"/>
    <w:rsid w:val="005C4001"/>
    <w:rsid w:val="005D27E6"/>
    <w:rsid w:val="005D76BC"/>
    <w:rsid w:val="005E4498"/>
    <w:rsid w:val="005E62CF"/>
    <w:rsid w:val="005F06A1"/>
    <w:rsid w:val="0060534D"/>
    <w:rsid w:val="006231D3"/>
    <w:rsid w:val="0062496E"/>
    <w:rsid w:val="006354C3"/>
    <w:rsid w:val="00637929"/>
    <w:rsid w:val="006412AF"/>
    <w:rsid w:val="00643586"/>
    <w:rsid w:val="00643670"/>
    <w:rsid w:val="00643B4F"/>
    <w:rsid w:val="00645E21"/>
    <w:rsid w:val="00652191"/>
    <w:rsid w:val="00655A59"/>
    <w:rsid w:val="006612EF"/>
    <w:rsid w:val="00663642"/>
    <w:rsid w:val="0066575D"/>
    <w:rsid w:val="006669D9"/>
    <w:rsid w:val="00673DB2"/>
    <w:rsid w:val="00675770"/>
    <w:rsid w:val="00676B11"/>
    <w:rsid w:val="006773EC"/>
    <w:rsid w:val="00683981"/>
    <w:rsid w:val="00684DB2"/>
    <w:rsid w:val="00690F3D"/>
    <w:rsid w:val="006926A4"/>
    <w:rsid w:val="00693725"/>
    <w:rsid w:val="006A3EE2"/>
    <w:rsid w:val="006A5F95"/>
    <w:rsid w:val="006A7776"/>
    <w:rsid w:val="006B3A3B"/>
    <w:rsid w:val="006B55EA"/>
    <w:rsid w:val="006B5E96"/>
    <w:rsid w:val="006D0797"/>
    <w:rsid w:val="006D0A22"/>
    <w:rsid w:val="006D340E"/>
    <w:rsid w:val="006D7D61"/>
    <w:rsid w:val="006D7F04"/>
    <w:rsid w:val="006E54FF"/>
    <w:rsid w:val="006F1C8B"/>
    <w:rsid w:val="006F4F5E"/>
    <w:rsid w:val="006F5ED2"/>
    <w:rsid w:val="00710E48"/>
    <w:rsid w:val="00713783"/>
    <w:rsid w:val="00714997"/>
    <w:rsid w:val="00717E0D"/>
    <w:rsid w:val="007230EF"/>
    <w:rsid w:val="00724AED"/>
    <w:rsid w:val="00725E7C"/>
    <w:rsid w:val="00730BB6"/>
    <w:rsid w:val="007323F4"/>
    <w:rsid w:val="0073777C"/>
    <w:rsid w:val="00740FA0"/>
    <w:rsid w:val="00744CE6"/>
    <w:rsid w:val="00751E7C"/>
    <w:rsid w:val="00754A8C"/>
    <w:rsid w:val="007606D5"/>
    <w:rsid w:val="00760E41"/>
    <w:rsid w:val="00763F08"/>
    <w:rsid w:val="0076666F"/>
    <w:rsid w:val="00766C13"/>
    <w:rsid w:val="0079320E"/>
    <w:rsid w:val="00796C14"/>
    <w:rsid w:val="007B0521"/>
    <w:rsid w:val="007B510B"/>
    <w:rsid w:val="007C2FC5"/>
    <w:rsid w:val="007D1B25"/>
    <w:rsid w:val="007D2E44"/>
    <w:rsid w:val="007D7098"/>
    <w:rsid w:val="007E009A"/>
    <w:rsid w:val="007E7962"/>
    <w:rsid w:val="007F18EF"/>
    <w:rsid w:val="007F4309"/>
    <w:rsid w:val="007F6FCC"/>
    <w:rsid w:val="007F7B4E"/>
    <w:rsid w:val="00800709"/>
    <w:rsid w:val="00802690"/>
    <w:rsid w:val="008038DC"/>
    <w:rsid w:val="00810A3C"/>
    <w:rsid w:val="00811701"/>
    <w:rsid w:val="0082370F"/>
    <w:rsid w:val="008244F3"/>
    <w:rsid w:val="0083016B"/>
    <w:rsid w:val="0083110B"/>
    <w:rsid w:val="00832171"/>
    <w:rsid w:val="008358B7"/>
    <w:rsid w:val="00842980"/>
    <w:rsid w:val="00842DB8"/>
    <w:rsid w:val="00843805"/>
    <w:rsid w:val="008505E5"/>
    <w:rsid w:val="00851651"/>
    <w:rsid w:val="00854502"/>
    <w:rsid w:val="00855432"/>
    <w:rsid w:val="0085565A"/>
    <w:rsid w:val="00861056"/>
    <w:rsid w:val="008636B7"/>
    <w:rsid w:val="00867295"/>
    <w:rsid w:val="00872F89"/>
    <w:rsid w:val="0087366B"/>
    <w:rsid w:val="00875C0A"/>
    <w:rsid w:val="00880A91"/>
    <w:rsid w:val="00892A0E"/>
    <w:rsid w:val="008937CD"/>
    <w:rsid w:val="008970CB"/>
    <w:rsid w:val="008B19EF"/>
    <w:rsid w:val="008B38A3"/>
    <w:rsid w:val="008C2755"/>
    <w:rsid w:val="008C34DB"/>
    <w:rsid w:val="008C553E"/>
    <w:rsid w:val="008D31F4"/>
    <w:rsid w:val="008D6C65"/>
    <w:rsid w:val="008D702A"/>
    <w:rsid w:val="008E2010"/>
    <w:rsid w:val="008E4209"/>
    <w:rsid w:val="008E456C"/>
    <w:rsid w:val="008E52E7"/>
    <w:rsid w:val="008E7EF4"/>
    <w:rsid w:val="008F0A53"/>
    <w:rsid w:val="008F4321"/>
    <w:rsid w:val="008F777E"/>
    <w:rsid w:val="00921C34"/>
    <w:rsid w:val="009251CE"/>
    <w:rsid w:val="00925A53"/>
    <w:rsid w:val="009264D5"/>
    <w:rsid w:val="00934A4D"/>
    <w:rsid w:val="009363CD"/>
    <w:rsid w:val="009378BE"/>
    <w:rsid w:val="009453D9"/>
    <w:rsid w:val="00946139"/>
    <w:rsid w:val="00957035"/>
    <w:rsid w:val="00957A34"/>
    <w:rsid w:val="009623EC"/>
    <w:rsid w:val="00966084"/>
    <w:rsid w:val="009666EA"/>
    <w:rsid w:val="00980F7E"/>
    <w:rsid w:val="009836F0"/>
    <w:rsid w:val="00983B46"/>
    <w:rsid w:val="00987C47"/>
    <w:rsid w:val="009957A4"/>
    <w:rsid w:val="009959D3"/>
    <w:rsid w:val="009A35DF"/>
    <w:rsid w:val="009A6559"/>
    <w:rsid w:val="009B0BA4"/>
    <w:rsid w:val="009B4B47"/>
    <w:rsid w:val="009C096D"/>
    <w:rsid w:val="009C197A"/>
    <w:rsid w:val="009C28D1"/>
    <w:rsid w:val="009D032C"/>
    <w:rsid w:val="009D1311"/>
    <w:rsid w:val="009D7DBA"/>
    <w:rsid w:val="009E2CAC"/>
    <w:rsid w:val="009F0F6F"/>
    <w:rsid w:val="00A016C8"/>
    <w:rsid w:val="00A138A9"/>
    <w:rsid w:val="00A24588"/>
    <w:rsid w:val="00A249F2"/>
    <w:rsid w:val="00A25C8E"/>
    <w:rsid w:val="00A3254B"/>
    <w:rsid w:val="00A433BB"/>
    <w:rsid w:val="00A50C76"/>
    <w:rsid w:val="00A517B8"/>
    <w:rsid w:val="00A52D90"/>
    <w:rsid w:val="00A53529"/>
    <w:rsid w:val="00A54618"/>
    <w:rsid w:val="00A60F37"/>
    <w:rsid w:val="00A61215"/>
    <w:rsid w:val="00A63BB3"/>
    <w:rsid w:val="00A66BEE"/>
    <w:rsid w:val="00A76734"/>
    <w:rsid w:val="00A7733F"/>
    <w:rsid w:val="00A8283B"/>
    <w:rsid w:val="00A82922"/>
    <w:rsid w:val="00A93839"/>
    <w:rsid w:val="00A9716C"/>
    <w:rsid w:val="00AB664D"/>
    <w:rsid w:val="00AB7BFD"/>
    <w:rsid w:val="00AC20E6"/>
    <w:rsid w:val="00AC76D1"/>
    <w:rsid w:val="00AD4D35"/>
    <w:rsid w:val="00AE3423"/>
    <w:rsid w:val="00AF31BE"/>
    <w:rsid w:val="00AF41D3"/>
    <w:rsid w:val="00B00A3F"/>
    <w:rsid w:val="00B03E4D"/>
    <w:rsid w:val="00B13E37"/>
    <w:rsid w:val="00B1610E"/>
    <w:rsid w:val="00B211C5"/>
    <w:rsid w:val="00B260DA"/>
    <w:rsid w:val="00B27192"/>
    <w:rsid w:val="00B27E62"/>
    <w:rsid w:val="00B30C91"/>
    <w:rsid w:val="00B32A8C"/>
    <w:rsid w:val="00B3498A"/>
    <w:rsid w:val="00B358DE"/>
    <w:rsid w:val="00B40256"/>
    <w:rsid w:val="00B47482"/>
    <w:rsid w:val="00B5102C"/>
    <w:rsid w:val="00B54254"/>
    <w:rsid w:val="00B5688B"/>
    <w:rsid w:val="00B56B58"/>
    <w:rsid w:val="00B56EDA"/>
    <w:rsid w:val="00B622D2"/>
    <w:rsid w:val="00B6576B"/>
    <w:rsid w:val="00B75A42"/>
    <w:rsid w:val="00B770B0"/>
    <w:rsid w:val="00B77ABD"/>
    <w:rsid w:val="00B8082C"/>
    <w:rsid w:val="00B8786F"/>
    <w:rsid w:val="00B9243F"/>
    <w:rsid w:val="00B94C52"/>
    <w:rsid w:val="00B969AE"/>
    <w:rsid w:val="00BA1A77"/>
    <w:rsid w:val="00BC29AB"/>
    <w:rsid w:val="00BC6C90"/>
    <w:rsid w:val="00BC7339"/>
    <w:rsid w:val="00BD3F08"/>
    <w:rsid w:val="00BE4F41"/>
    <w:rsid w:val="00BF2733"/>
    <w:rsid w:val="00BF4CA0"/>
    <w:rsid w:val="00BF75A0"/>
    <w:rsid w:val="00BF7E6B"/>
    <w:rsid w:val="00C0353C"/>
    <w:rsid w:val="00C04505"/>
    <w:rsid w:val="00C10380"/>
    <w:rsid w:val="00C213FC"/>
    <w:rsid w:val="00C406E8"/>
    <w:rsid w:val="00C4125B"/>
    <w:rsid w:val="00C50CB7"/>
    <w:rsid w:val="00C526D6"/>
    <w:rsid w:val="00C566CE"/>
    <w:rsid w:val="00C625B5"/>
    <w:rsid w:val="00C62764"/>
    <w:rsid w:val="00C665B2"/>
    <w:rsid w:val="00C67251"/>
    <w:rsid w:val="00C67A38"/>
    <w:rsid w:val="00C67C66"/>
    <w:rsid w:val="00C70832"/>
    <w:rsid w:val="00C76A10"/>
    <w:rsid w:val="00C802CC"/>
    <w:rsid w:val="00C80649"/>
    <w:rsid w:val="00C806B8"/>
    <w:rsid w:val="00C83349"/>
    <w:rsid w:val="00C8345B"/>
    <w:rsid w:val="00C83FEA"/>
    <w:rsid w:val="00C84184"/>
    <w:rsid w:val="00C85580"/>
    <w:rsid w:val="00C857B3"/>
    <w:rsid w:val="00C91817"/>
    <w:rsid w:val="00C91B34"/>
    <w:rsid w:val="00CA0B27"/>
    <w:rsid w:val="00CA2B11"/>
    <w:rsid w:val="00CB0D2C"/>
    <w:rsid w:val="00CB11BF"/>
    <w:rsid w:val="00CB11F5"/>
    <w:rsid w:val="00CB3843"/>
    <w:rsid w:val="00CB3C32"/>
    <w:rsid w:val="00CB4147"/>
    <w:rsid w:val="00CC264C"/>
    <w:rsid w:val="00CC2DA1"/>
    <w:rsid w:val="00CC56B4"/>
    <w:rsid w:val="00CD037B"/>
    <w:rsid w:val="00CE1E12"/>
    <w:rsid w:val="00CE3CC0"/>
    <w:rsid w:val="00CE418D"/>
    <w:rsid w:val="00CF508F"/>
    <w:rsid w:val="00D036C4"/>
    <w:rsid w:val="00D06BB2"/>
    <w:rsid w:val="00D1163E"/>
    <w:rsid w:val="00D12EE9"/>
    <w:rsid w:val="00D166C1"/>
    <w:rsid w:val="00D25E32"/>
    <w:rsid w:val="00D260B6"/>
    <w:rsid w:val="00D30175"/>
    <w:rsid w:val="00D433AB"/>
    <w:rsid w:val="00D44C0D"/>
    <w:rsid w:val="00D46870"/>
    <w:rsid w:val="00D50083"/>
    <w:rsid w:val="00D54503"/>
    <w:rsid w:val="00D5756F"/>
    <w:rsid w:val="00D5793C"/>
    <w:rsid w:val="00D60316"/>
    <w:rsid w:val="00D6393C"/>
    <w:rsid w:val="00D66B1E"/>
    <w:rsid w:val="00D67FF7"/>
    <w:rsid w:val="00D71562"/>
    <w:rsid w:val="00D7444A"/>
    <w:rsid w:val="00D7767D"/>
    <w:rsid w:val="00D80054"/>
    <w:rsid w:val="00D8566A"/>
    <w:rsid w:val="00D85AE5"/>
    <w:rsid w:val="00D94F36"/>
    <w:rsid w:val="00D97420"/>
    <w:rsid w:val="00D97469"/>
    <w:rsid w:val="00DA09C2"/>
    <w:rsid w:val="00DA20AF"/>
    <w:rsid w:val="00DA78EE"/>
    <w:rsid w:val="00DB2CD2"/>
    <w:rsid w:val="00DB3C93"/>
    <w:rsid w:val="00DB45AA"/>
    <w:rsid w:val="00DC1A24"/>
    <w:rsid w:val="00DC2BDE"/>
    <w:rsid w:val="00DC6C04"/>
    <w:rsid w:val="00DD0C7A"/>
    <w:rsid w:val="00DD1EC3"/>
    <w:rsid w:val="00DD486F"/>
    <w:rsid w:val="00DD7DFF"/>
    <w:rsid w:val="00DF1B64"/>
    <w:rsid w:val="00DF4DE0"/>
    <w:rsid w:val="00DF728E"/>
    <w:rsid w:val="00E1404B"/>
    <w:rsid w:val="00E142D8"/>
    <w:rsid w:val="00E17BA9"/>
    <w:rsid w:val="00E21F9E"/>
    <w:rsid w:val="00E27F9D"/>
    <w:rsid w:val="00E331D1"/>
    <w:rsid w:val="00E33B23"/>
    <w:rsid w:val="00E34231"/>
    <w:rsid w:val="00E34598"/>
    <w:rsid w:val="00E36276"/>
    <w:rsid w:val="00E4010A"/>
    <w:rsid w:val="00E404B9"/>
    <w:rsid w:val="00E42C9D"/>
    <w:rsid w:val="00E50B32"/>
    <w:rsid w:val="00E55ABA"/>
    <w:rsid w:val="00E57BE6"/>
    <w:rsid w:val="00E6008C"/>
    <w:rsid w:val="00E70CFF"/>
    <w:rsid w:val="00E76BE5"/>
    <w:rsid w:val="00E778EE"/>
    <w:rsid w:val="00E93B00"/>
    <w:rsid w:val="00EA00FC"/>
    <w:rsid w:val="00EA032D"/>
    <w:rsid w:val="00EA1686"/>
    <w:rsid w:val="00EA546B"/>
    <w:rsid w:val="00EB5B6D"/>
    <w:rsid w:val="00EB7181"/>
    <w:rsid w:val="00EC1C44"/>
    <w:rsid w:val="00ED2515"/>
    <w:rsid w:val="00ED60EB"/>
    <w:rsid w:val="00EE312E"/>
    <w:rsid w:val="00EE5943"/>
    <w:rsid w:val="00EF05A1"/>
    <w:rsid w:val="00EF221C"/>
    <w:rsid w:val="00F0212C"/>
    <w:rsid w:val="00F0398C"/>
    <w:rsid w:val="00F03C0F"/>
    <w:rsid w:val="00F06D5A"/>
    <w:rsid w:val="00F10C2A"/>
    <w:rsid w:val="00F1109F"/>
    <w:rsid w:val="00F22BD8"/>
    <w:rsid w:val="00F356CB"/>
    <w:rsid w:val="00F36617"/>
    <w:rsid w:val="00F400F2"/>
    <w:rsid w:val="00F417C4"/>
    <w:rsid w:val="00F45898"/>
    <w:rsid w:val="00F8002C"/>
    <w:rsid w:val="00F83B0E"/>
    <w:rsid w:val="00F9050A"/>
    <w:rsid w:val="00F91A07"/>
    <w:rsid w:val="00F91EB7"/>
    <w:rsid w:val="00F93C30"/>
    <w:rsid w:val="00F94D5F"/>
    <w:rsid w:val="00F955F1"/>
    <w:rsid w:val="00FA2EED"/>
    <w:rsid w:val="00FA4E55"/>
    <w:rsid w:val="00FA68E9"/>
    <w:rsid w:val="00FA6921"/>
    <w:rsid w:val="00FA6CF8"/>
    <w:rsid w:val="00FA7C2F"/>
    <w:rsid w:val="00FB031B"/>
    <w:rsid w:val="00FB680E"/>
    <w:rsid w:val="00FC1954"/>
    <w:rsid w:val="00FC3393"/>
    <w:rsid w:val="00FC40C2"/>
    <w:rsid w:val="00FC4C3E"/>
    <w:rsid w:val="00FC5B4E"/>
    <w:rsid w:val="00FD4BED"/>
    <w:rsid w:val="00FD715B"/>
    <w:rsid w:val="00FD7EAB"/>
    <w:rsid w:val="00FE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3B725F"/>
    <w:pPr>
      <w:tabs>
        <w:tab w:val="left" w:pos="355"/>
      </w:tabs>
      <w:spacing w:before="40" w:after="4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styleId="Title">
    <w:name w:val="Title"/>
    <w:basedOn w:val="Normal"/>
    <w:link w:val="TitleChar"/>
    <w:qFormat/>
    <w:rsid w:val="003D6DAE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16"/>
      <w:szCs w:val="24"/>
    </w:rPr>
  </w:style>
  <w:style w:type="character" w:customStyle="1" w:styleId="TitleChar">
    <w:name w:val="Title Char"/>
    <w:basedOn w:val="DefaultParagraphFont"/>
    <w:link w:val="Title"/>
    <w:rsid w:val="003D6DAE"/>
    <w:rPr>
      <w:rFonts w:ascii="Verdana" w:eastAsia="Times New Roman" w:hAnsi="Verdana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Sarfaraz Ejazi</dc:creator>
  <cp:keywords/>
  <dc:description/>
  <cp:lastModifiedBy>Sarfaraz Ejazi</cp:lastModifiedBy>
  <cp:revision>31</cp:revision>
  <dcterms:created xsi:type="dcterms:W3CDTF">2016-04-06T06:54:00Z</dcterms:created>
  <dcterms:modified xsi:type="dcterms:W3CDTF">2016-08-01T15:20:00Z</dcterms:modified>
</cp:coreProperties>
</file>