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7" w:rsidRDefault="00DE49B5" w:rsidP="009E7187">
      <w:pPr>
        <w:spacing w:before="24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Additional table to </w:t>
      </w:r>
      <w:r w:rsidR="009E7187" w:rsidRPr="00113E63">
        <w:rPr>
          <w:rFonts w:ascii="Arial" w:hAnsi="Arial" w:cs="Arial"/>
          <w:sz w:val="24"/>
          <w:szCs w:val="24"/>
          <w:lang w:val="en-US"/>
        </w:rPr>
        <w:t xml:space="preserve">Table 1: Characteristics of the </w:t>
      </w:r>
      <w:r w:rsidR="009E7187">
        <w:rPr>
          <w:rFonts w:ascii="Arial" w:hAnsi="Arial" w:cs="Arial"/>
          <w:sz w:val="24"/>
          <w:szCs w:val="24"/>
          <w:lang w:val="en-US"/>
        </w:rPr>
        <w:t xml:space="preserve">full </w:t>
      </w:r>
      <w:r w:rsidR="009E7187" w:rsidRPr="00113E63">
        <w:rPr>
          <w:rFonts w:ascii="Arial" w:hAnsi="Arial" w:cs="Arial"/>
          <w:sz w:val="24"/>
          <w:szCs w:val="24"/>
          <w:lang w:val="en-US"/>
        </w:rPr>
        <w:t>study population.</w:t>
      </w:r>
      <w:r w:rsidR="009E7187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3"/>
        <w:gridCol w:w="3564"/>
        <w:gridCol w:w="2707"/>
      </w:tblGrid>
      <w:tr w:rsidR="009E7187" w:rsidRPr="00CF1CBF" w:rsidTr="0091365B">
        <w:tc>
          <w:tcPr>
            <w:tcW w:w="3505" w:type="pct"/>
            <w:gridSpan w:val="2"/>
          </w:tcPr>
          <w:p w:rsidR="009E7187" w:rsidRPr="004A6691" w:rsidRDefault="009E7187" w:rsidP="0091365B">
            <w:pPr>
              <w:rPr>
                <w:b/>
                <w:lang w:val="en-US"/>
              </w:rPr>
            </w:pPr>
            <w:r w:rsidRPr="004A6691">
              <w:rPr>
                <w:b/>
                <w:lang w:val="en-US"/>
              </w:rPr>
              <w:t>Characteristic</w:t>
            </w:r>
          </w:p>
        </w:tc>
        <w:tc>
          <w:tcPr>
            <w:tcW w:w="1495" w:type="pct"/>
          </w:tcPr>
          <w:p w:rsidR="009E7187" w:rsidRPr="004A6691" w:rsidRDefault="009E7187" w:rsidP="0091365B">
            <w:pPr>
              <w:jc w:val="center"/>
              <w:rPr>
                <w:b/>
                <w:lang w:val="en-US"/>
              </w:rPr>
            </w:pPr>
            <w:r w:rsidRPr="004A6691">
              <w:rPr>
                <w:b/>
                <w:lang w:val="en-US"/>
              </w:rPr>
              <w:t>N=6957 (100%)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2B202E" w:rsidRDefault="009E7187" w:rsidP="009136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Age</w:t>
            </w:r>
          </w:p>
        </w:tc>
        <w:tc>
          <w:tcPr>
            <w:tcW w:w="1968" w:type="pct"/>
            <w:vMerge w:val="restart"/>
          </w:tcPr>
          <w:p w:rsidR="009E7187" w:rsidRPr="006F655C" w:rsidRDefault="009E7187" w:rsidP="0091365B">
            <w:pPr>
              <w:rPr>
                <w:lang w:val="en-US"/>
              </w:rPr>
            </w:pPr>
            <w:r>
              <w:rPr>
                <w:lang w:val="en-US"/>
              </w:rPr>
              <w:t>Median</w:t>
            </w:r>
            <w:r w:rsidRPr="006F655C">
              <w:rPr>
                <w:lang w:val="en-US"/>
              </w:rPr>
              <w:t xml:space="preserve"> age </w:t>
            </w:r>
            <w:r w:rsidRPr="006F655C">
              <w:rPr>
                <w:rFonts w:cstheme="minorHAnsi"/>
                <w:lang w:val="en-US"/>
              </w:rPr>
              <w:t>±</w:t>
            </w:r>
            <w:r w:rsidRPr="006F655C">
              <w:rPr>
                <w:lang w:val="en-US"/>
              </w:rPr>
              <w:t xml:space="preserve"> </w:t>
            </w:r>
            <w:r>
              <w:rPr>
                <w:lang w:val="en-US"/>
              </w:rPr>
              <w:t>IQR</w:t>
            </w:r>
          </w:p>
          <w:p w:rsidR="009E7187" w:rsidRPr="002B202E" w:rsidRDefault="009E7187" w:rsidP="0091365B">
            <w:pPr>
              <w:rPr>
                <w:lang w:val="en-US"/>
              </w:rPr>
            </w:pPr>
            <w:r w:rsidRPr="002B202E">
              <w:rPr>
                <w:lang w:val="en-US"/>
              </w:rPr>
              <w:t>PSAC</w:t>
            </w:r>
          </w:p>
          <w:p w:rsidR="009E7187" w:rsidRPr="002B202E" w:rsidRDefault="009E7187" w:rsidP="0091365B">
            <w:pPr>
              <w:rPr>
                <w:lang w:val="en-US"/>
              </w:rPr>
            </w:pPr>
            <w:r w:rsidRPr="002B202E">
              <w:rPr>
                <w:lang w:val="en-US"/>
              </w:rPr>
              <w:t>SAC</w:t>
            </w:r>
          </w:p>
          <w:p w:rsidR="009E7187" w:rsidRPr="002B202E" w:rsidRDefault="009E7187" w:rsidP="0091365B">
            <w:pPr>
              <w:rPr>
                <w:lang w:val="en-US"/>
              </w:rPr>
            </w:pPr>
            <w:r w:rsidRPr="002B202E">
              <w:rPr>
                <w:lang w:val="en-US"/>
              </w:rPr>
              <w:t>Adolescents and adults</w:t>
            </w:r>
          </w:p>
          <w:p w:rsidR="009E7187" w:rsidRPr="00AD4244" w:rsidRDefault="009E7187" w:rsidP="0091365B">
            <w:pPr>
              <w:rPr>
                <w:b/>
                <w:lang w:val="en-US"/>
              </w:rPr>
            </w:pPr>
            <w:r w:rsidRPr="00AD4244">
              <w:rPr>
                <w:lang w:val="en-US"/>
              </w:rPr>
              <w:t>Without data</w:t>
            </w:r>
          </w:p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>
              <w:t xml:space="preserve">18 </w:t>
            </w:r>
            <w:r>
              <w:rPr>
                <w:rFonts w:ascii="Calibri" w:hAnsi="Calibri" w:cs="Calibri"/>
              </w:rPr>
              <w:t>± 24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  <w:vMerge/>
          </w:tcPr>
          <w:p w:rsidR="009E7187" w:rsidRDefault="009E7187" w:rsidP="0091365B"/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>
              <w:t>1035 (15</w:t>
            </w:r>
            <w:r w:rsidRPr="008D178B">
              <w:t>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  <w:vMerge/>
          </w:tcPr>
          <w:p w:rsidR="009E7187" w:rsidRDefault="009E7187" w:rsidP="0091365B"/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>
              <w:t>1936 (28</w:t>
            </w:r>
            <w:r w:rsidRPr="008D178B">
              <w:t>%)</w:t>
            </w:r>
          </w:p>
        </w:tc>
      </w:tr>
      <w:tr w:rsidR="009E7187" w:rsidTr="0091365B">
        <w:trPr>
          <w:trHeight w:val="220"/>
        </w:trPr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  <w:vMerge/>
          </w:tcPr>
          <w:p w:rsidR="009E7187" w:rsidRDefault="009E7187" w:rsidP="0091365B"/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>
              <w:t>3933 (56</w:t>
            </w:r>
            <w:r w:rsidRPr="008D178B">
              <w:t>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  <w:vMerge/>
          </w:tcPr>
          <w:p w:rsidR="009E7187" w:rsidRDefault="009E7187" w:rsidP="0091365B"/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 w:rsidRPr="008D178B">
              <w:t>53 (0.8%)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6F655C" w:rsidRDefault="009E7187" w:rsidP="0091365B">
            <w:pPr>
              <w:rPr>
                <w:b/>
                <w:lang w:val="en-US"/>
              </w:rPr>
            </w:pPr>
            <w:r w:rsidRPr="006F655C">
              <w:rPr>
                <w:b/>
                <w:lang w:val="en-US"/>
              </w:rPr>
              <w:t>Gender</w:t>
            </w:r>
          </w:p>
        </w:tc>
        <w:tc>
          <w:tcPr>
            <w:tcW w:w="1968" w:type="pct"/>
          </w:tcPr>
          <w:p w:rsidR="009E7187" w:rsidRPr="002B202E" w:rsidRDefault="009E7187" w:rsidP="0091365B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>
              <w:t>3520 (51</w:t>
            </w:r>
            <w:r w:rsidRPr="002B202E">
              <w:t>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Female</w:t>
            </w:r>
            <w:proofErr w:type="spellEnd"/>
          </w:p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>
              <w:t>3372 (48</w:t>
            </w:r>
            <w:r w:rsidRPr="002B202E">
              <w:t>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Without</w:t>
            </w:r>
            <w:proofErr w:type="spellEnd"/>
            <w:r>
              <w:t xml:space="preserve"> data</w:t>
            </w:r>
          </w:p>
        </w:tc>
        <w:tc>
          <w:tcPr>
            <w:tcW w:w="1495" w:type="pct"/>
          </w:tcPr>
          <w:p w:rsidR="009E7187" w:rsidRDefault="009E7187" w:rsidP="0091365B">
            <w:pPr>
              <w:jc w:val="center"/>
            </w:pPr>
            <w:r w:rsidRPr="002B202E">
              <w:t>65 (0.8%)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6F655C" w:rsidRDefault="009E7187" w:rsidP="0091365B">
            <w:pPr>
              <w:rPr>
                <w:b/>
              </w:rPr>
            </w:pPr>
            <w:proofErr w:type="spellStart"/>
            <w:r w:rsidRPr="006F655C">
              <w:rPr>
                <w:b/>
              </w:rPr>
              <w:t>Environment</w:t>
            </w:r>
            <w:proofErr w:type="spellEnd"/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Urban</w:t>
            </w:r>
            <w:proofErr w:type="spellEnd"/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2B202E">
              <w:t>2165 (31%)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</w:tcPr>
          <w:p w:rsidR="009E7187" w:rsidRDefault="009E7187" w:rsidP="0091365B">
            <w:r>
              <w:t>Rural</w:t>
            </w:r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2B202E">
              <w:t>4792 (69%)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6F655C" w:rsidRDefault="009E7187" w:rsidP="0091365B">
            <w:pPr>
              <w:rPr>
                <w:b/>
              </w:rPr>
            </w:pPr>
            <w:proofErr w:type="spellStart"/>
            <w:r w:rsidRPr="006F655C">
              <w:rPr>
                <w:b/>
              </w:rPr>
              <w:t>Locality</w:t>
            </w:r>
            <w:proofErr w:type="spellEnd"/>
          </w:p>
        </w:tc>
        <w:tc>
          <w:tcPr>
            <w:tcW w:w="1968" w:type="pct"/>
          </w:tcPr>
          <w:p w:rsidR="009E7187" w:rsidRDefault="009E7187" w:rsidP="0091365B">
            <w:r>
              <w:t>Tartagal</w:t>
            </w:r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2B202E">
              <w:t>2927 (42%)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</w:tcPr>
          <w:p w:rsidR="009E7187" w:rsidRDefault="009E7187" w:rsidP="0091365B">
            <w:r>
              <w:t>Orán</w:t>
            </w:r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2B202E">
              <w:t>3603 (52%)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Default="009E7187" w:rsidP="0091365B"/>
        </w:tc>
        <w:tc>
          <w:tcPr>
            <w:tcW w:w="1968" w:type="pct"/>
          </w:tcPr>
          <w:p w:rsidR="009E7187" w:rsidRDefault="009E7187" w:rsidP="0091365B">
            <w:r>
              <w:t>Pichanal</w:t>
            </w:r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2B202E">
              <w:t>427 (6%)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7C6FC1" w:rsidRDefault="009E7187" w:rsidP="0091365B">
            <w:pPr>
              <w:rPr>
                <w:b/>
              </w:rPr>
            </w:pPr>
            <w:proofErr w:type="spellStart"/>
            <w:r w:rsidRPr="007C6FC1">
              <w:rPr>
                <w:b/>
              </w:rPr>
              <w:t>Sanitation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Improved</w:t>
            </w:r>
            <w:proofErr w:type="spellEnd"/>
          </w:p>
        </w:tc>
        <w:tc>
          <w:tcPr>
            <w:tcW w:w="1495" w:type="pct"/>
          </w:tcPr>
          <w:p w:rsidR="009E7187" w:rsidRPr="0050625E" w:rsidRDefault="009E7187" w:rsidP="0091365B">
            <w:pPr>
              <w:jc w:val="center"/>
            </w:pPr>
            <w:r>
              <w:t>1680 (24%)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Pr="007C6FC1" w:rsidRDefault="009E7187" w:rsidP="0091365B">
            <w:pPr>
              <w:rPr>
                <w:b/>
              </w:rPr>
            </w:pP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Unimproved</w:t>
            </w:r>
            <w:proofErr w:type="spellEnd"/>
            <w:r>
              <w:t xml:space="preserve"> </w:t>
            </w:r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50625E">
              <w:t>5056 (7</w:t>
            </w:r>
            <w:r>
              <w:t>3</w:t>
            </w:r>
            <w:r w:rsidRPr="0050625E">
              <w:t>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Pr="007C6FC1" w:rsidRDefault="009E7187" w:rsidP="0091365B">
            <w:pPr>
              <w:rPr>
                <w:b/>
              </w:rPr>
            </w:pP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Without</w:t>
            </w:r>
            <w:proofErr w:type="spellEnd"/>
            <w:r>
              <w:t xml:space="preserve"> data</w:t>
            </w:r>
          </w:p>
        </w:tc>
        <w:tc>
          <w:tcPr>
            <w:tcW w:w="1495" w:type="pct"/>
          </w:tcPr>
          <w:p w:rsidR="009E7187" w:rsidRPr="0050625E" w:rsidRDefault="009E7187" w:rsidP="0091365B">
            <w:pPr>
              <w:jc w:val="center"/>
            </w:pPr>
            <w:r>
              <w:t>221 (3%)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7C6FC1" w:rsidRDefault="009E7187" w:rsidP="0091365B">
            <w:pPr>
              <w:rPr>
                <w:b/>
              </w:rPr>
            </w:pPr>
            <w:proofErr w:type="spellStart"/>
            <w:r w:rsidRPr="007C6FC1">
              <w:rPr>
                <w:b/>
              </w:rPr>
              <w:t>Water</w:t>
            </w:r>
            <w:proofErr w:type="spellEnd"/>
            <w:r w:rsidRPr="007C6FC1">
              <w:rPr>
                <w:b/>
              </w:rPr>
              <w:t xml:space="preserve"> </w:t>
            </w:r>
            <w:proofErr w:type="spellStart"/>
            <w:r w:rsidRPr="007C6FC1">
              <w:rPr>
                <w:b/>
              </w:rPr>
              <w:t>supply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Improved</w:t>
            </w:r>
            <w:proofErr w:type="spellEnd"/>
          </w:p>
        </w:tc>
        <w:tc>
          <w:tcPr>
            <w:tcW w:w="1495" w:type="pct"/>
          </w:tcPr>
          <w:p w:rsidR="009E7187" w:rsidRPr="0050625E" w:rsidRDefault="009E7187" w:rsidP="0091365B">
            <w:pPr>
              <w:jc w:val="center"/>
            </w:pPr>
            <w:r>
              <w:t>5364 (77%)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Pr="007C6FC1" w:rsidRDefault="009E7187" w:rsidP="0091365B">
            <w:pPr>
              <w:rPr>
                <w:b/>
              </w:rPr>
            </w:pP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Unimproved</w:t>
            </w:r>
            <w:proofErr w:type="spellEnd"/>
            <w:r>
              <w:t xml:space="preserve"> </w:t>
            </w:r>
          </w:p>
        </w:tc>
        <w:tc>
          <w:tcPr>
            <w:tcW w:w="1495" w:type="pct"/>
          </w:tcPr>
          <w:p w:rsidR="009E7187" w:rsidRPr="002B202E" w:rsidRDefault="009E7187" w:rsidP="0091365B">
            <w:pPr>
              <w:jc w:val="center"/>
            </w:pPr>
            <w:r w:rsidRPr="0050625E">
              <w:t>1529 (22%)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Pr="007C6FC1" w:rsidRDefault="009E7187" w:rsidP="0091365B">
            <w:pPr>
              <w:rPr>
                <w:b/>
              </w:rPr>
            </w:pP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Without</w:t>
            </w:r>
            <w:proofErr w:type="spellEnd"/>
            <w:r>
              <w:t xml:space="preserve"> data</w:t>
            </w:r>
          </w:p>
        </w:tc>
        <w:tc>
          <w:tcPr>
            <w:tcW w:w="1495" w:type="pct"/>
          </w:tcPr>
          <w:p w:rsidR="009E7187" w:rsidRPr="0050625E" w:rsidRDefault="009E7187" w:rsidP="0091365B">
            <w:pPr>
              <w:jc w:val="center"/>
            </w:pPr>
            <w:r>
              <w:t>64 (0.9%)</w:t>
            </w:r>
          </w:p>
        </w:tc>
      </w:tr>
      <w:tr w:rsidR="009E7187" w:rsidTr="0091365B">
        <w:tc>
          <w:tcPr>
            <w:tcW w:w="1537" w:type="pct"/>
            <w:vMerge w:val="restart"/>
          </w:tcPr>
          <w:p w:rsidR="009E7187" w:rsidRPr="007C6FC1" w:rsidRDefault="009E7187" w:rsidP="0091365B">
            <w:pPr>
              <w:rPr>
                <w:b/>
              </w:rPr>
            </w:pPr>
            <w:proofErr w:type="spellStart"/>
            <w:r w:rsidRPr="007C6FC1">
              <w:rPr>
                <w:b/>
              </w:rPr>
              <w:t>Flooring</w:t>
            </w:r>
            <w:proofErr w:type="spellEnd"/>
            <w:r>
              <w:rPr>
                <w:b/>
              </w:rPr>
              <w:t xml:space="preserve"> material</w:t>
            </w:r>
          </w:p>
        </w:tc>
        <w:tc>
          <w:tcPr>
            <w:tcW w:w="1968" w:type="pct"/>
          </w:tcPr>
          <w:p w:rsidR="009E7187" w:rsidRDefault="009E7187" w:rsidP="0091365B">
            <w:r>
              <w:t xml:space="preserve">Concrete </w:t>
            </w:r>
            <w:proofErr w:type="spellStart"/>
            <w:r>
              <w:t>or</w:t>
            </w:r>
            <w:proofErr w:type="spellEnd"/>
            <w:r>
              <w:t xml:space="preserve"> tile</w:t>
            </w:r>
          </w:p>
        </w:tc>
        <w:tc>
          <w:tcPr>
            <w:tcW w:w="1495" w:type="pct"/>
          </w:tcPr>
          <w:p w:rsidR="009E7187" w:rsidRPr="0050625E" w:rsidRDefault="009E7187" w:rsidP="0091365B">
            <w:pPr>
              <w:jc w:val="center"/>
            </w:pPr>
            <w:r>
              <w:t>3302 (48%)</w:t>
            </w:r>
          </w:p>
        </w:tc>
      </w:tr>
      <w:tr w:rsidR="009E7187" w:rsidTr="0091365B">
        <w:tc>
          <w:tcPr>
            <w:tcW w:w="1537" w:type="pct"/>
            <w:vMerge/>
          </w:tcPr>
          <w:p w:rsidR="009E7187" w:rsidRPr="007C6FC1" w:rsidRDefault="009E7187" w:rsidP="0091365B">
            <w:pPr>
              <w:rPr>
                <w:b/>
              </w:rPr>
            </w:pPr>
          </w:p>
        </w:tc>
        <w:tc>
          <w:tcPr>
            <w:tcW w:w="1968" w:type="pct"/>
          </w:tcPr>
          <w:p w:rsidR="009E7187" w:rsidRDefault="009E7187" w:rsidP="0091365B">
            <w:proofErr w:type="spellStart"/>
            <w:r>
              <w:t>Ground</w:t>
            </w:r>
            <w:proofErr w:type="spellEnd"/>
            <w:r>
              <w:t xml:space="preserve"> </w:t>
            </w:r>
          </w:p>
        </w:tc>
        <w:tc>
          <w:tcPr>
            <w:tcW w:w="1495" w:type="pct"/>
          </w:tcPr>
          <w:p w:rsidR="009E7187" w:rsidRPr="0050625E" w:rsidRDefault="009E7187" w:rsidP="0091365B">
            <w:pPr>
              <w:jc w:val="center"/>
            </w:pPr>
            <w:r>
              <w:t>3522 (52</w:t>
            </w:r>
            <w:r w:rsidRPr="0050625E">
              <w:t>%)</w:t>
            </w:r>
          </w:p>
        </w:tc>
      </w:tr>
    </w:tbl>
    <w:p w:rsidR="009E7187" w:rsidRDefault="009E7187" w:rsidP="009E7187">
      <w:pPr>
        <w:spacing w:before="240" w:line="48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*Categorization of water supply and sanitation as improved or unimproved is based in the WHO/UNIFEF JMP definitions </w:t>
      </w:r>
      <w:r>
        <w:rPr>
          <w:rFonts w:ascii="Arial" w:hAnsi="Arial" w:cs="Arial"/>
          <w:sz w:val="24"/>
          <w:szCs w:val="24"/>
          <w:lang w:val="en-US"/>
        </w:rPr>
        <w:fldChar w:fldCharType="begin" w:fldLock="1"/>
      </w:r>
      <w:r>
        <w:rPr>
          <w:rFonts w:ascii="Arial" w:hAnsi="Arial" w:cs="Arial"/>
          <w:sz w:val="24"/>
          <w:szCs w:val="24"/>
          <w:lang w:val="en-US"/>
        </w:rPr>
        <w:instrText>ADDIN CSL_CITATION { "citationItems" : [ { "id" : "ITEM-1", "itemData" : { "ISBN" : "978 92 4 156326 0", "author" : [ { "dropping-particle" : "", "family" : "World Health Organization and UNICEF. Joint Monitoring Programme for Water Supply and Sanitation", "given" : "", "non-dropping-particle" : "", "parse-names" : false, "suffix" : "" } ], "container-title" : "WHO/UNICEF Joint Monitoring Programme for Water Supply and Sanitation", "id" : "ITEM-1", "issued" : { "date-parts" : [ [ "2006" ] ] }, "publisher" : "WHO Press, World Health Organization, 20 Avenue Appia, 1211 Geneva 27, Switzerland", "title" : "Core questions on drinking-water and sanitation for household surveys.", "type" : "book" }, "uris" : [ "http://www.mendeley.com/documents/?uuid=78c8e4f3-86eb-4dea-9425-bb56e783f33a" ] } ], "mendeley" : { "formattedCitation" : "(27)", "plainTextFormattedCitation" : "(27)", "previouslyFormattedCitation" : "(27)" }, "properties" : { "noteIndex" : 0 }, "schema" : "https://github.com/citation-style-language/schema/raw/master/csl-citation.json" }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Pr="00CF1CBF">
        <w:rPr>
          <w:rFonts w:ascii="Arial" w:hAnsi="Arial" w:cs="Arial"/>
          <w:noProof/>
          <w:sz w:val="24"/>
          <w:szCs w:val="24"/>
          <w:lang w:val="en-US"/>
        </w:rPr>
        <w:t>(27)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013CC8" w:rsidRPr="009E7187" w:rsidRDefault="00E326B4">
      <w:pPr>
        <w:rPr>
          <w:lang w:val="en-US"/>
        </w:rPr>
      </w:pPr>
    </w:p>
    <w:sectPr w:rsidR="00013CC8" w:rsidRPr="009E7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7"/>
    <w:rsid w:val="009E7187"/>
    <w:rsid w:val="00A71C2C"/>
    <w:rsid w:val="00DE49B5"/>
    <w:rsid w:val="00E326B4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7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7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2015-08-27T23:05:00Z</dcterms:created>
  <dcterms:modified xsi:type="dcterms:W3CDTF">2015-08-27T23:05:00Z</dcterms:modified>
</cp:coreProperties>
</file>